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80" w:after="283"/>
        <w:jc w:val="center"/>
        <w:rPr/>
      </w:pPr>
      <w:r>
        <w:rPr/>
        <w:drawing>
          <wp:inline distT="0" distB="0" distL="0" distR="0">
            <wp:extent cx="174307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33400"/>
                    </a:xfrm>
                    <a:prstGeom prst="rect">
                      <a:avLst/>
                    </a:prstGeom>
                  </pic:spPr>
                </pic:pic>
              </a:graphicData>
            </a:graphic>
          </wp:inline>
        </w:drawing>
      </w:r>
      <w:bookmarkStart w:id="0" w:name="i-1"/>
      <w:bookmarkEnd w:id="0"/>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120" w:after="283"/>
        <w:jc w:val="center"/>
        <w:rPr/>
      </w:pPr>
      <w:r>
        <w:rPr>
          <w:color w:val="000000"/>
        </w:rPr>
        <w:t xml:space="preserve">☒ </w:t>
      </w:r>
      <w:r>
        <w:rPr>
          <w:rFonts w:ascii="Times New Roman;serif" w:hAnsi="Times New Roman;serif"/>
          <w:b/>
          <w:color w:val="000000"/>
          <w:sz w:val="20"/>
        </w:rPr>
        <w:t>QUARTERLY REPORT 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40" w:after="283"/>
        <w:jc w:val="center"/>
        <w:rPr/>
      </w:pPr>
      <w:r>
        <w:rPr>
          <w:color w:val="000000"/>
        </w:rPr>
        <w:t xml:space="preserve">☐ </w:t>
      </w:r>
      <w:r>
        <w:rPr>
          <w:rFonts w:ascii="Times New Roman;serif" w:hAnsi="Times New Roman;serif"/>
          <w:b/>
          <w:color w:val="000000"/>
          <w:sz w:val="20"/>
        </w:rPr>
        <w:t>TRANSITION REPORT 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1-32740</w:t>
      </w:r>
    </w:p>
    <w:p>
      <w:pPr>
        <w:pStyle w:val="TextBody"/>
        <w:bidi w:val="0"/>
        <w:spacing w:lineRule="auto" w:line="240" w:before="100" w:after="283"/>
        <w:jc w:val="center"/>
        <w:rPr>
          <w:rFonts w:ascii="Times New Roman;serif" w:hAnsi="Times New Roman;serif"/>
          <w:b/>
          <w:color w:val="000000"/>
          <w:sz w:val="32"/>
        </w:rPr>
      </w:pPr>
      <w:r>
        <w:rPr>
          <w:rFonts w:ascii="Times New Roman;serif" w:hAnsi="Times New Roman;serif"/>
          <w:b/>
          <w:color w:val="000000"/>
          <w:sz w:val="32"/>
        </w:rPr>
        <w:t>ENERGY TRANSFER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8111 Westchester Drive, Suite 600, Dallas, Texas 75225</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(214) 981-0700</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4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397" w:type="dxa"/>
        <w:jc w:val="center"/>
        <w:tblInd w:w="0" w:type="dxa"/>
        <w:tblLayout w:type="fixed"/>
        <w:tblCellMar>
          <w:top w:w="28" w:type="dxa"/>
          <w:left w:w="28" w:type="dxa"/>
          <w:bottom w:w="28" w:type="dxa"/>
          <w:right w:w="28" w:type="dxa"/>
        </w:tblCellMar>
      </w:tblPr>
      <w:tblGrid>
        <w:gridCol w:w="1449"/>
        <w:gridCol w:w="1277"/>
        <w:gridCol w:w="1294"/>
        <w:gridCol w:w="109"/>
        <w:gridCol w:w="109"/>
        <w:gridCol w:w="109"/>
        <w:gridCol w:w="484"/>
        <w:gridCol w:w="484"/>
        <w:gridCol w:w="486"/>
        <w:gridCol w:w="109"/>
        <w:gridCol w:w="109"/>
        <w:gridCol w:w="109"/>
        <w:gridCol w:w="956"/>
        <w:gridCol w:w="956"/>
        <w:gridCol w:w="1357"/>
      </w:tblGrid>
      <w:tr>
        <w:trPr/>
        <w:tc>
          <w:tcPr>
            <w:tcW w:w="144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At July 31, 2026, the registrant had 3,443,299,601 common units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FORM 10-Q</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148"/>
        <w:gridCol w:w="2729"/>
        <w:gridCol w:w="2674"/>
        <w:gridCol w:w="481"/>
        <w:gridCol w:w="481"/>
        <w:gridCol w:w="692"/>
      </w:tblGrid>
      <w:tr>
        <w:trPr/>
        <w:tc>
          <w:tcPr>
            <w:tcW w:w="3148"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69f33b76caf478b872d467e12c121c1_13">
              <w:r>
                <w:rPr>
                  <w:rStyle w:val="InternetLink"/>
                  <w:rFonts w:ascii="Times New Roman;serif" w:hAnsi="Times New Roman;serif"/>
                  <w:b/>
                  <w:color w:val="0000FF"/>
                  <w:sz w:val="20"/>
                  <w:u w:val="single"/>
                </w:rPr>
                <w:t>PART I – FINANCIAL INFORMATION</w:t>
              </w:r>
            </w:hyperlink>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6">
              <w:r>
                <w:rPr>
                  <w:rStyle w:val="InternetLink"/>
                  <w:rFonts w:ascii="Times New Roman;serif" w:hAnsi="Times New Roman;serif"/>
                  <w:b w:val="false"/>
                  <w:color w:val="0000FF"/>
                  <w:sz w:val="20"/>
                  <w:u w:val="single"/>
                </w:rPr>
                <w:t>ITEM 1. FINANCIAL STATEMENTS (unaudited)</w:t>
              </w:r>
            </w:hyperlink>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9">
              <w:r>
                <w:rPr>
                  <w:rStyle w:val="InternetLink"/>
                  <w:rFonts w:ascii="Times New Roman;serif" w:hAnsi="Times New Roman;serif"/>
                  <w:b w:val="false"/>
                  <w:color w:val="0000FF"/>
                  <w:sz w:val="20"/>
                  <w:u w:val="single"/>
                </w:rPr>
                <w:t>Consolidated Balance Sheets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9">
              <w:r>
                <w:rPr>
                  <w:rStyle w:val="InternetLink"/>
                  <w:rFonts w:ascii="Times New Roman;serif" w:hAnsi="Times New Roman;serif"/>
                  <w:b w:val="false"/>
                  <w:color w:val="0000FF"/>
                  <w:sz w:val="20"/>
                  <w:u w:val="single"/>
                </w:rPr>
                <w:t>5</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22">
              <w:r>
                <w:rPr>
                  <w:rStyle w:val="InternetLink"/>
                  <w:rFonts w:ascii="Times New Roman;serif" w:hAnsi="Times New Roman;serif"/>
                  <w:b w:val="false"/>
                  <w:color w:val="0000FF"/>
                  <w:sz w:val="20"/>
                  <w:u w:val="single"/>
                </w:rPr>
                <w:t>Consolidated Statements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22">
              <w:r>
                <w:rPr>
                  <w:rStyle w:val="InternetLink"/>
                  <w:rFonts w:ascii="Times New Roman;serif" w:hAnsi="Times New Roman;serif"/>
                  <w:b w:val="false"/>
                  <w:color w:val="0000FF"/>
                  <w:sz w:val="20"/>
                  <w:u w:val="single"/>
                </w:rPr>
                <w:t>7</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9f33b76caf478b872d467e12c121c1_25">
              <w:r>
                <w:rPr>
                  <w:rStyle w:val="InternetLink"/>
                  <w:rFonts w:ascii="Times New Roman;serif" w:hAnsi="Times New Roman;serif"/>
                  <w:b w:val="false"/>
                  <w:color w:val="0000FF"/>
                  <w:sz w:val="20"/>
                  <w:u w:val="single"/>
                </w:rPr>
                <w:t>Consolidated Statements of Comprehensive Income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25">
              <w:r>
                <w:rPr>
                  <w:rStyle w:val="InternetLink"/>
                  <w:rFonts w:ascii="Times New Roman;serif" w:hAnsi="Times New Roman;serif"/>
                  <w:b w:val="false"/>
                  <w:color w:val="0000FF"/>
                  <w:sz w:val="20"/>
                  <w:u w:val="single"/>
                </w:rPr>
                <w:t>8</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28">
              <w:r>
                <w:rPr>
                  <w:rStyle w:val="InternetLink"/>
                  <w:rFonts w:ascii="Times New Roman;serif" w:hAnsi="Times New Roman;serif"/>
                  <w:b w:val="false"/>
                  <w:color w:val="0000FF"/>
                  <w:sz w:val="20"/>
                  <w:u w:val="single"/>
                </w:rPr>
                <w:t>Consolidated Statements of Equity</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28">
              <w:r>
                <w:rPr>
                  <w:rStyle w:val="InternetLink"/>
                  <w:rFonts w:ascii="Times New Roman;serif" w:hAnsi="Times New Roman;serif"/>
                  <w:b w:val="false"/>
                  <w:color w:val="0000FF"/>
                  <w:sz w:val="20"/>
                  <w:u w:val="single"/>
                </w:rPr>
                <w:t>9</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31">
              <w:r>
                <w:rPr>
                  <w:rStyle w:val="InternetLink"/>
                  <w:rFonts w:ascii="Times New Roman;serif" w:hAnsi="Times New Roman;serif"/>
                  <w:b w:val="false"/>
                  <w:color w:val="0000FF"/>
                  <w:sz w:val="20"/>
                  <w:u w:val="single"/>
                </w:rPr>
                <w:t>Consolidated Statements of Cash Flows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31">
              <w:r>
                <w:rPr>
                  <w:rStyle w:val="InternetLink"/>
                  <w:rFonts w:ascii="Times New Roman;serif" w:hAnsi="Times New Roman;serif"/>
                  <w:b w:val="false"/>
                  <w:color w:val="0000FF"/>
                  <w:sz w:val="20"/>
                  <w:u w:val="single"/>
                </w:rPr>
                <w:t>10</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34">
              <w:r>
                <w:rPr>
                  <w:rStyle w:val="InternetLink"/>
                  <w:rFonts w:ascii="Times New Roman;serif" w:hAnsi="Times New Roman;serif"/>
                  <w:b w:val="false"/>
                  <w:color w:val="0000FF"/>
                  <w:sz w:val="20"/>
                  <w:u w:val="single"/>
                </w:rPr>
                <w:t>Notes to Consolidated Financial Statements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34">
              <w:r>
                <w:rPr>
                  <w:rStyle w:val="InternetLink"/>
                  <w:rFonts w:ascii="Times New Roman;serif" w:hAnsi="Times New Roman;serif"/>
                  <w:b w:val="false"/>
                  <w:color w:val="0000FF"/>
                  <w:sz w:val="20"/>
                  <w:u w:val="single"/>
                </w:rPr>
                <w:t>11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37">
              <w:r>
                <w:rPr>
                  <w:rStyle w:val="InternetLink"/>
                  <w:rFonts w:ascii="Times New Roman;serif" w:hAnsi="Times New Roman;serif"/>
                  <w:b w:val="false"/>
                  <w:color w:val="0000FF"/>
                  <w:sz w:val="20"/>
                  <w:u w:val="single"/>
                </w:rPr>
                <w:t>1. Organization and Basis of Presentation</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37">
              <w:r>
                <w:rPr>
                  <w:rStyle w:val="InternetLink"/>
                  <w:rFonts w:ascii="Times New Roman;serif" w:hAnsi="Times New Roman;serif"/>
                  <w:b w:val="false"/>
                  <w:color w:val="0000FF"/>
                  <w:sz w:val="20"/>
                  <w:u w:val="single"/>
                </w:rPr>
                <w:t>11</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40">
              <w:r>
                <w:rPr>
                  <w:rStyle w:val="InternetLink"/>
                  <w:rFonts w:ascii="Times New Roman;serif" w:hAnsi="Times New Roman;serif"/>
                  <w:b w:val="false"/>
                  <w:color w:val="0000FF"/>
                  <w:sz w:val="20"/>
                  <w:u w:val="single"/>
                </w:rPr>
                <w:t>2. Acquisitions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40">
              <w:r>
                <w:rPr>
                  <w:rStyle w:val="InternetLink"/>
                  <w:rFonts w:ascii="Times New Roman;serif" w:hAnsi="Times New Roman;serif"/>
                  <w:b w:val="false"/>
                  <w:color w:val="0000FF"/>
                  <w:sz w:val="20"/>
                  <w:u w:val="single"/>
                </w:rPr>
                <w:t>11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43">
              <w:r>
                <w:rPr>
                  <w:rStyle w:val="InternetLink"/>
                  <w:rFonts w:ascii="Times New Roman;serif" w:hAnsi="Times New Roman;serif"/>
                  <w:b w:val="false"/>
                  <w:color w:val="0000FF"/>
                  <w:sz w:val="20"/>
                  <w:u w:val="single"/>
                </w:rPr>
                <w:t>3. Cash and Cash Equivalents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43">
              <w:r>
                <w:rPr>
                  <w:rStyle w:val="InternetLink"/>
                  <w:rFonts w:ascii="Times New Roman;serif" w:hAnsi="Times New Roman;serif"/>
                  <w:b w:val="false"/>
                  <w:color w:val="0000FF"/>
                  <w:sz w:val="20"/>
                  <w:u w:val="single"/>
                </w:rPr>
                <w:t>13</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46">
              <w:r>
                <w:rPr>
                  <w:rStyle w:val="InternetLink"/>
                  <w:rFonts w:ascii="Times New Roman;serif" w:hAnsi="Times New Roman;serif"/>
                  <w:b w:val="false"/>
                  <w:color w:val="0000FF"/>
                  <w:sz w:val="20"/>
                  <w:u w:val="single"/>
                </w:rPr>
                <w:t>4. Inventories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46">
              <w:r>
                <w:rPr>
                  <w:rStyle w:val="InternetLink"/>
                  <w:rFonts w:ascii="Times New Roman;serif" w:hAnsi="Times New Roman;serif"/>
                  <w:b w:val="false"/>
                  <w:color w:val="0000FF"/>
                  <w:sz w:val="20"/>
                  <w:u w:val="single"/>
                </w:rPr>
                <w:t>14</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49">
              <w:r>
                <w:rPr>
                  <w:rStyle w:val="InternetLink"/>
                  <w:rFonts w:ascii="Times New Roman;serif" w:hAnsi="Times New Roman;serif"/>
                  <w:b w:val="false"/>
                  <w:color w:val="0000FF"/>
                  <w:sz w:val="20"/>
                  <w:u w:val="single"/>
                </w:rPr>
                <w:t>5. Fair Value Measures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49">
              <w:r>
                <w:rPr>
                  <w:rStyle w:val="InternetLink"/>
                  <w:rFonts w:ascii="Times New Roman;serif" w:hAnsi="Times New Roman;serif"/>
                  <w:b w:val="false"/>
                  <w:color w:val="0000FF"/>
                  <w:sz w:val="20"/>
                  <w:u w:val="single"/>
                </w:rPr>
                <w:t>15</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52">
              <w:r>
                <w:rPr>
                  <w:rStyle w:val="InternetLink"/>
                  <w:rFonts w:ascii="Times New Roman;serif" w:hAnsi="Times New Roman;serif"/>
                  <w:b w:val="false"/>
                  <w:color w:val="0000FF"/>
                  <w:sz w:val="20"/>
                  <w:u w:val="single"/>
                </w:rPr>
                <w:t>6. Net Income per Common Unit</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52">
              <w:r>
                <w:rPr>
                  <w:rStyle w:val="InternetLink"/>
                  <w:rFonts w:ascii="Times New Roman;serif" w:hAnsi="Times New Roman;serif"/>
                  <w:b w:val="false"/>
                  <w:color w:val="0000FF"/>
                  <w:sz w:val="20"/>
                  <w:u w:val="single"/>
                </w:rPr>
                <w:t>16</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55">
              <w:r>
                <w:rPr>
                  <w:rStyle w:val="InternetLink"/>
                  <w:rFonts w:ascii="Times New Roman;serif" w:hAnsi="Times New Roman;serif"/>
                  <w:b w:val="false"/>
                  <w:color w:val="0000FF"/>
                  <w:sz w:val="20"/>
                  <w:u w:val="single"/>
                </w:rPr>
                <w:t>7. Debt Obligations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55">
              <w:r>
                <w:rPr>
                  <w:rStyle w:val="InternetLink"/>
                  <w:rFonts w:ascii="Times New Roman;serif" w:hAnsi="Times New Roman;serif"/>
                  <w:b w:val="false"/>
                  <w:color w:val="0000FF"/>
                  <w:sz w:val="20"/>
                  <w:u w:val="single"/>
                </w:rPr>
                <w:t>16</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58">
              <w:r>
                <w:rPr>
                  <w:rStyle w:val="InternetLink"/>
                  <w:rFonts w:ascii="Times New Roman;serif" w:hAnsi="Times New Roman;serif"/>
                  <w:b w:val="false"/>
                  <w:color w:val="0000FF"/>
                  <w:sz w:val="20"/>
                  <w:u w:val="single"/>
                </w:rPr>
                <w:t>8. Redeemable Noncontrolling Interests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58">
              <w:r>
                <w:rPr>
                  <w:rStyle w:val="InternetLink"/>
                  <w:rFonts w:ascii="Times New Roman;serif" w:hAnsi="Times New Roman;serif"/>
                  <w:b w:val="false"/>
                  <w:color w:val="0000FF"/>
                  <w:sz w:val="20"/>
                  <w:u w:val="single"/>
                </w:rPr>
                <w:t>18</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61">
              <w:r>
                <w:rPr>
                  <w:rStyle w:val="InternetLink"/>
                  <w:rFonts w:ascii="Times New Roman;serif" w:hAnsi="Times New Roman;serif"/>
                  <w:b w:val="false"/>
                  <w:color w:val="0000FF"/>
                  <w:sz w:val="20"/>
                  <w:u w:val="single"/>
                </w:rPr>
                <w:t>9. Equity</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61">
              <w:r>
                <w:rPr>
                  <w:rStyle w:val="InternetLink"/>
                  <w:rFonts w:ascii="Times New Roman;serif" w:hAnsi="Times New Roman;serif"/>
                  <w:b w:val="false"/>
                  <w:color w:val="0000FF"/>
                  <w:sz w:val="20"/>
                  <w:u w:val="single"/>
                </w:rPr>
                <w:t>18</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64">
              <w:r>
                <w:rPr>
                  <w:rStyle w:val="InternetLink"/>
                  <w:rFonts w:ascii="Times New Roman;serif" w:hAnsi="Times New Roman;serif"/>
                  <w:b w:val="false"/>
                  <w:color w:val="0000FF"/>
                  <w:sz w:val="20"/>
                  <w:u w:val="single"/>
                </w:rPr>
                <w:t>10. Regulatory Matters, Commitments, Contingencies and Environmental Liabilities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64">
              <w:r>
                <w:rPr>
                  <w:rStyle w:val="InternetLink"/>
                  <w:rFonts w:ascii="Times New Roman;serif" w:hAnsi="Times New Roman;serif"/>
                  <w:b w:val="false"/>
                  <w:color w:val="0000FF"/>
                  <w:sz w:val="20"/>
                  <w:u w:val="single"/>
                </w:rPr>
                <w:t>20</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67">
              <w:r>
                <w:rPr>
                  <w:rStyle w:val="InternetLink"/>
                  <w:rFonts w:ascii="Times New Roman;serif" w:hAnsi="Times New Roman;serif"/>
                  <w:b w:val="false"/>
                  <w:color w:val="0000FF"/>
                  <w:sz w:val="20"/>
                  <w:u w:val="single"/>
                </w:rPr>
                <w:t>11. Revenue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67">
              <w:r>
                <w:rPr>
                  <w:rStyle w:val="InternetLink"/>
                  <w:rFonts w:ascii="Times New Roman;serif" w:hAnsi="Times New Roman;serif"/>
                  <w:b w:val="false"/>
                  <w:color w:val="0000FF"/>
                  <w:sz w:val="20"/>
                  <w:u w:val="single"/>
                </w:rPr>
                <w:t>31</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73">
              <w:r>
                <w:rPr>
                  <w:rStyle w:val="InternetLink"/>
                  <w:rFonts w:ascii="Times New Roman;serif" w:hAnsi="Times New Roman;serif"/>
                  <w:b w:val="false"/>
                  <w:color w:val="0000FF"/>
                  <w:sz w:val="20"/>
                  <w:u w:val="single"/>
                </w:rPr>
                <w:t>12. Derivative Assets and Liabilities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73">
              <w:r>
                <w:rPr>
                  <w:rStyle w:val="InternetLink"/>
                  <w:rFonts w:ascii="Times New Roman;serif" w:hAnsi="Times New Roman;serif"/>
                  <w:b w:val="false"/>
                  <w:color w:val="0000FF"/>
                  <w:sz w:val="20"/>
                  <w:u w:val="single"/>
                </w:rPr>
                <w:t>32</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76">
              <w:r>
                <w:rPr>
                  <w:rStyle w:val="InternetLink"/>
                  <w:rFonts w:ascii="Times New Roman;serif" w:hAnsi="Times New Roman;serif"/>
                  <w:b w:val="false"/>
                  <w:color w:val="0000FF"/>
                  <w:sz w:val="20"/>
                  <w:u w:val="single"/>
                </w:rPr>
                <w:t>13. Reportable Segments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76">
              <w:r>
                <w:rPr>
                  <w:rStyle w:val="InternetLink"/>
                  <w:rFonts w:ascii="Times New Roman;serif" w:hAnsi="Times New Roman;serif"/>
                  <w:b w:val="false"/>
                  <w:color w:val="0000FF"/>
                  <w:sz w:val="20"/>
                  <w:u w:val="single"/>
                </w:rPr>
                <w:t>36</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69f33b76caf478b872d467e12c121c1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85">
              <w:r>
                <w:rPr>
                  <w:rStyle w:val="InternetLink"/>
                  <w:rFonts w:ascii="Times New Roman;serif" w:hAnsi="Times New Roman;serif"/>
                  <w:b w:val="false"/>
                  <w:color w:val="0000FF"/>
                  <w:sz w:val="20"/>
                  <w:u w:val="single"/>
                </w:rPr>
                <w:t>43</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88">
              <w:r>
                <w:rPr>
                  <w:rStyle w:val="InternetLink"/>
                  <w:rFonts w:ascii="Times New Roman;serif" w:hAnsi="Times New Roman;serif"/>
                  <w:b w:val="false"/>
                  <w:color w:val="0000FF"/>
                  <w:sz w:val="20"/>
                  <w:u w:val="single"/>
                </w:rPr>
                <w:t>Recent Developments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88">
              <w:r>
                <w:rPr>
                  <w:rStyle w:val="InternetLink"/>
                  <w:rFonts w:ascii="Times New Roman;serif" w:hAnsi="Times New Roman;serif"/>
                  <w:b w:val="false"/>
                  <w:color w:val="0000FF"/>
                  <w:sz w:val="20"/>
                  <w:u w:val="single"/>
                </w:rPr>
                <w:t>43</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91">
              <w:r>
                <w:rPr>
                  <w:rStyle w:val="InternetLink"/>
                  <w:rFonts w:ascii="Times New Roman;serif" w:hAnsi="Times New Roman;serif"/>
                  <w:b w:val="false"/>
                  <w:color w:val="0000FF"/>
                  <w:sz w:val="20"/>
                  <w:u w:val="single"/>
                </w:rPr>
                <w:t>Results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91">
              <w:r>
                <w:rPr>
                  <w:rStyle w:val="InternetLink"/>
                  <w:rFonts w:ascii="Times New Roman;serif" w:hAnsi="Times New Roman;serif"/>
                  <w:b w:val="false"/>
                  <w:color w:val="0000FF"/>
                  <w:sz w:val="20"/>
                  <w:u w:val="single"/>
                </w:rPr>
                <w:t>47</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94">
              <w:r>
                <w:rPr>
                  <w:rStyle w:val="InternetLink"/>
                  <w:rFonts w:ascii="Times New Roman;serif" w:hAnsi="Times New Roman;serif"/>
                  <w:b w:val="false"/>
                  <w:color w:val="0000FF"/>
                  <w:sz w:val="20"/>
                  <w:u w:val="single"/>
                </w:rPr>
                <w:t>Liquidity and Capital Resources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94">
              <w:r>
                <w:rPr>
                  <w:rStyle w:val="InternetLink"/>
                  <w:rFonts w:ascii="Times New Roman;serif" w:hAnsi="Times New Roman;serif"/>
                  <w:b w:val="false"/>
                  <w:color w:val="0000FF"/>
                  <w:sz w:val="20"/>
                  <w:u w:val="single"/>
                </w:rPr>
                <w:t>60</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97">
              <w:r>
                <w:rPr>
                  <w:rStyle w:val="InternetLink"/>
                  <w:rFonts w:ascii="Times New Roman;serif" w:hAnsi="Times New Roman;serif"/>
                  <w:b w:val="false"/>
                  <w:color w:val="0000FF"/>
                  <w:sz w:val="20"/>
                  <w:u w:val="single"/>
                </w:rPr>
                <w:t>Cash Distributions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97">
              <w:r>
                <w:rPr>
                  <w:rStyle w:val="InternetLink"/>
                  <w:rFonts w:ascii="Times New Roman;serif" w:hAnsi="Times New Roman;serif"/>
                  <w:b w:val="false"/>
                  <w:color w:val="0000FF"/>
                  <w:sz w:val="20"/>
                  <w:u w:val="single"/>
                </w:rPr>
                <w:t>64</w:t>
              </w:r>
            </w:hyperlink>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03">
              <w:r>
                <w:rPr>
                  <w:rStyle w:val="InternetLink"/>
                  <w:rFonts w:ascii="Times New Roman;serif" w:hAnsi="Times New Roman;serif"/>
                  <w:b w:val="false"/>
                  <w:color w:val="0000FF"/>
                  <w:sz w:val="20"/>
                  <w:u w:val="single"/>
                </w:rPr>
                <w:t>ITEM 3. QUANTITATIVE AND QUALITATIVE DISCLOSURES ABOUT MARKET RISK</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03">
              <w:r>
                <w:rPr>
                  <w:rStyle w:val="InternetLink"/>
                  <w:rFonts w:ascii="Times New Roman;serif" w:hAnsi="Times New Roman;serif"/>
                  <w:b w:val="false"/>
                  <w:color w:val="0000FF"/>
                  <w:sz w:val="20"/>
                  <w:u w:val="single"/>
                </w:rPr>
                <w:t>68</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06">
              <w:r>
                <w:rPr>
                  <w:rStyle w:val="InternetLink"/>
                  <w:rFonts w:ascii="Times New Roman;serif" w:hAnsi="Times New Roman;serif"/>
                  <w:b w:val="false"/>
                  <w:color w:val="0000FF"/>
                  <w:sz w:val="20"/>
                  <w:u w:val="single"/>
                </w:rPr>
                <w:t>ITEM 4. CONTROLS AND PROCEDURES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06">
              <w:r>
                <w:rPr>
                  <w:rStyle w:val="InternetLink"/>
                  <w:rFonts w:ascii="Times New Roman;serif" w:hAnsi="Times New Roman;serif"/>
                  <w:b w:val="false"/>
                  <w:color w:val="0000FF"/>
                  <w:sz w:val="20"/>
                  <w:u w:val="single"/>
                </w:rPr>
                <w:t>69</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69f33b76caf478b872d467e12c121c1_109">
              <w:r>
                <w:rPr>
                  <w:rStyle w:val="InternetLink"/>
                  <w:rFonts w:ascii="Times New Roman;serif" w:hAnsi="Times New Roman;serif"/>
                  <w:b/>
                  <w:color w:val="0000FF"/>
                  <w:sz w:val="20"/>
                  <w:u w:val="single"/>
                </w:rPr>
                <w:t>PART II – OTHER INFORMATION</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12">
              <w:r>
                <w:rPr>
                  <w:rStyle w:val="InternetLink"/>
                  <w:rFonts w:ascii="Times New Roman;serif" w:hAnsi="Times New Roman;serif"/>
                  <w:b w:val="false"/>
                  <w:color w:val="0000FF"/>
                  <w:sz w:val="20"/>
                  <w:u w:val="single"/>
                </w:rPr>
                <w:t>ITEM 1. LEGAL PROCEEDINGS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12">
              <w:r>
                <w:rPr>
                  <w:rStyle w:val="InternetLink"/>
                  <w:rFonts w:ascii="Times New Roman;serif" w:hAnsi="Times New Roman;serif"/>
                  <w:b w:val="false"/>
                  <w:color w:val="0000FF"/>
                  <w:sz w:val="20"/>
                  <w:u w:val="single"/>
                </w:rPr>
                <w:t>70</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15">
              <w:r>
                <w:rPr>
                  <w:rStyle w:val="InternetLink"/>
                  <w:rFonts w:ascii="Times New Roman;serif" w:hAnsi="Times New Roman;serif"/>
                  <w:b w:val="false"/>
                  <w:color w:val="0000FF"/>
                  <w:sz w:val="20"/>
                  <w:u w:val="single"/>
                </w:rPr>
                <w:t>ITEM 1A. RISK FACTORS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15">
              <w:r>
                <w:rPr>
                  <w:rStyle w:val="InternetLink"/>
                  <w:rFonts w:ascii="Times New Roman;serif" w:hAnsi="Times New Roman;serif"/>
                  <w:b w:val="false"/>
                  <w:color w:val="0000FF"/>
                  <w:sz w:val="20"/>
                  <w:u w:val="single"/>
                </w:rPr>
                <w:t>70</w:t>
              </w:r>
            </w:hyperlink>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24">
              <w:r>
                <w:rPr>
                  <w:rStyle w:val="InternetLink"/>
                  <w:rFonts w:ascii="Times New Roman;serif" w:hAnsi="Times New Roman;serif"/>
                  <w:b w:val="false"/>
                  <w:color w:val="0000FF"/>
                  <w:sz w:val="20"/>
                  <w:u w:val="single"/>
                </w:rPr>
                <w:t>ITEM 6. EXHIBITS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24">
              <w:r>
                <w:rPr>
                  <w:rStyle w:val="InternetLink"/>
                  <w:rFonts w:ascii="Times New Roman;serif" w:hAnsi="Times New Roman;serif"/>
                  <w:b w:val="false"/>
                  <w:color w:val="0000FF"/>
                  <w:sz w:val="20"/>
                  <w:u w:val="single"/>
                </w:rPr>
                <w:t>71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9f33b76caf478b872d467e12c121c1_127">
              <w:r>
                <w:rPr>
                  <w:rStyle w:val="InternetLink"/>
                  <w:rFonts w:ascii="Times New Roman;serif" w:hAnsi="Times New Roman;serif"/>
                  <w:b w:val="false"/>
                  <w:color w:val="0000FF"/>
                  <w:sz w:val="20"/>
                  <w:u w:val="single"/>
                </w:rPr>
                <w:t>SIGNATURE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9f33b76caf478b872d467e12c121c1_127">
              <w:r>
                <w:rPr>
                  <w:rStyle w:val="InternetLink"/>
                  <w:rFonts w:ascii="Times New Roman;serif" w:hAnsi="Times New Roman;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References to the “Partnership” or “Energy Transfer” refer to Energy Transfer LP. In addition, the following is a list of certain acronyms and terms used throughout this document:</w:t>
      </w:r>
    </w:p>
    <w:tbl>
      <w:tblPr>
        <w:tblW w:w="10205" w:type="dxa"/>
        <w:jc w:val="left"/>
        <w:tblInd w:w="0" w:type="dxa"/>
        <w:tblLayout w:type="fixed"/>
        <w:tblCellMar>
          <w:top w:w="28" w:type="dxa"/>
          <w:left w:w="28" w:type="dxa"/>
          <w:bottom w:w="28" w:type="dxa"/>
          <w:right w:w="28" w:type="dxa"/>
        </w:tblCellMar>
      </w:tblPr>
      <w:tblGrid>
        <w:gridCol w:w="636"/>
        <w:gridCol w:w="484"/>
        <w:gridCol w:w="456"/>
        <w:gridCol w:w="109"/>
        <w:gridCol w:w="109"/>
        <w:gridCol w:w="109"/>
        <w:gridCol w:w="2483"/>
        <w:gridCol w:w="2379"/>
        <w:gridCol w:w="3440"/>
      </w:tblGrid>
      <w:tr>
        <w:trPr/>
        <w:tc>
          <w:tcPr>
            <w:tcW w:w="6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 day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Bakken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Refers collectively to Dakota Access and Energy Transfer Crude Oil Pipeline and/or Energy Transfer Crude Oil Company, LLC, a non-wholly owned subsidiary of Energy Transfer</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billion British thermal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British thermal unit, an energy measurement used by gas companies to convert the volume of gas used to its heat equivalent, and thus calculate the actual energy content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Citrus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Citrus, LLC, a 50/50 joint venture which owns Florida Gas Transmission Company, LLC, which owns the Florida Gas Transmission Pipeline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Holders of Energy Transfer common units which represent limited partner interests in the Partnership</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Dakota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Dakota Access, LLC, a non-wholly owned subsidiary of Energy Transfer and/or Dakota Access Pipeline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Transfer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Collectively, the Series B Preferred Units, Series F Preferred Units, Series G Preferred Units, Series H Preferred Units and Series I Preferred Units </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Transfer R&amp;M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 (R&amp;M), LLC (formerly Sunoco (R&amp;M), LLC)</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Environmental Protection Agency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ETC Sunoco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ETC Sunoco Holdings LLC (formerly Sunoco, Inc.), a wholly owned subsidiary of Energy Transfer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 Operating, L.P., formerly a non-wholly owned subsidiary of Energy Transfer until its merger into the Partnership in April 2021</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ET-S Permian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ET-S Permian Holdings Company LP, a joint venture between Energy Transfer and Sunoco LP, which owns crude oil and water gathering pipelines and storage assets in the Permian Basin</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EURIBOR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Euro Interbank Offered Rate</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Securities Exchange Act of 1934, as amended</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Explorer Pipeline Company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Federal Energy Regulatory Commission</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first-in, first-out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 of America</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LE GP, LLC, the general partner of Energy Transfer</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 Nolan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collectively, J.C. Nolan Terminal Co., LLC and J.C. Nolan Pipeline Co., LLC, both of which are joint ventures between Energy Transfer and Sunoco LP, which own a diesel fuel storage terminal in Midland, Texas and a 500-mile diesel fuel pipeline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last-in, first-out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thousand barrels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Midcontinent Express Pipeline LLC</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Act of 1938</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liquid, such as propane, butane and natural gasoline</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NuStar Energy L.P.</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NYSE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over-the-counter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Panhandle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Panhandle Eastern Pipe Line and/or Panhandle Eastern Pipe Line Company, LP, a wholly owned subsidiary of Energy Transfer</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Parkland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Parkland Corporation</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Partnership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Transfer’s Agreement of Limited Partnership</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PHMSA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Pipeline and Hazardous Materials Safety Administration</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Unitholders of the Series B Preferred Units, Series F Preferred Units, Series G Preferred Units, Series H Preferred Units and Series I Preferred Units, collectively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Rover Pipeline and/or Rover Pipeline LLC, a non-wholly owned subsidiary of Energy Transfer </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Securities and Exchange Commission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B Fixed-to-Floating Rate Cumulative Redeemable Perpetual Preferred Units</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F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Series F Fixed-Rate Reset Cumulative Redeemable Perpetual Preferred Units</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G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Series G Fixed-Rate Reset Cumulative Redeemable Perpetual Preferred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H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H Fixed-Rate Reset Cumulative Redeemable Perpetual Preferred Units</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I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I Fixed-Rate Perpetual Preferred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Southeast Supply Header, LLC</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Sunoco Pipeline L.P., a wholly owned subsidiary of Energy Transfer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Sunoco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Sunoco LP (NYSE: SUN), a publicly traded partnership and consolidated subsidiary of Energy Transfer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1"/>
        <w:gridCol w:w="2568"/>
        <w:gridCol w:w="36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SunocoCorp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SunocoCorp LLC (NYSE: SUNC), a subsidiary which owns all of Sunoco LP's outstanding Class D Units</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TanQuid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TanQuid GmbH &amp; Co. KG</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Transwestern Pipeline and/or Transwestern Pipeline Company, LLC, a wholly owned subsidiary of Energy Transfer</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USA Compression Partners, LP (NYSE: USAC), a publicly traded partnership and consolidated subsidiary of Energy Transfer</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Cliffs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White Cliffs Pipeline, L.L.C.</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437" w:type="dxa"/>
        <w:jc w:val="left"/>
        <w:tblInd w:w="0" w:type="dxa"/>
        <w:tblLayout w:type="fixed"/>
        <w:tblCellMar>
          <w:top w:w="28" w:type="dxa"/>
          <w:left w:w="28" w:type="dxa"/>
          <w:bottom w:w="28" w:type="dxa"/>
          <w:right w:w="28" w:type="dxa"/>
        </w:tblCellMar>
      </w:tblPr>
      <w:tblGrid>
        <w:gridCol w:w="1340"/>
        <w:gridCol w:w="1178"/>
        <w:gridCol w:w="1186"/>
        <w:gridCol w:w="211"/>
        <w:gridCol w:w="826"/>
        <w:gridCol w:w="109"/>
        <w:gridCol w:w="109"/>
        <w:gridCol w:w="109"/>
        <w:gridCol w:w="109"/>
        <w:gridCol w:w="223"/>
        <w:gridCol w:w="874"/>
        <w:gridCol w:w="163"/>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43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depletion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(39,141)</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0680"/>
                <wp:effectExtent l="0" t="0" r="0" b="0"/>
                <wp:wrapNone/>
                <wp:docPr id="6" name="Frame5"/>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18" w:type="dxa"/>
        <w:jc w:val="left"/>
        <w:tblInd w:w="0" w:type="dxa"/>
        <w:tblLayout w:type="fixed"/>
        <w:tblCellMar>
          <w:top w:w="28" w:type="dxa"/>
          <w:left w:w="28" w:type="dxa"/>
          <w:bottom w:w="28" w:type="dxa"/>
          <w:right w:w="28" w:type="dxa"/>
        </w:tblCellMar>
      </w:tblPr>
      <w:tblGrid>
        <w:gridCol w:w="1297"/>
        <w:gridCol w:w="1142"/>
        <w:gridCol w:w="1146"/>
        <w:gridCol w:w="211"/>
        <w:gridCol w:w="826"/>
        <w:gridCol w:w="109"/>
        <w:gridCol w:w="109"/>
        <w:gridCol w:w="109"/>
        <w:gridCol w:w="109"/>
        <w:gridCol w:w="223"/>
        <w:gridCol w:w="874"/>
        <w:gridCol w:w="163"/>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318"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companies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Unitholders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0680"/>
                <wp:effectExtent l="0" t="0" r="0" b="0"/>
                <wp:wrapNone/>
                <wp:docPr id="7" name="Frame6"/>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unit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95"/>
        <w:gridCol w:w="1607"/>
        <w:gridCol w:w="161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9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transportation and other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General Partner’s interest in 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Unitholders’ interest in 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on redemption of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UNIT: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0680"/>
                <wp:effectExtent l="0" t="0" r="0" b="0"/>
                <wp:wrapNone/>
                <wp:docPr id="8" name="Frame7"/>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95"/>
        <w:gridCol w:w="1710"/>
        <w:gridCol w:w="17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9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value of available-for-sale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related to pension and other postretirement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comprehensive income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redeemable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0680"/>
                <wp:effectExtent l="0" t="0" r="0" b="0"/>
                <wp:wrapNone/>
                <wp:docPr id="9" name="Frame8"/>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3"/>
        <w:gridCol w:w="680"/>
        <w:gridCol w:w="686"/>
        <w:gridCol w:w="235"/>
        <w:gridCol w:w="776"/>
        <w:gridCol w:w="130"/>
        <w:gridCol w:w="109"/>
        <w:gridCol w:w="109"/>
        <w:gridCol w:w="109"/>
        <w:gridCol w:w="258"/>
        <w:gridCol w:w="734"/>
        <w:gridCol w:w="145"/>
        <w:gridCol w:w="109"/>
        <w:gridCol w:w="109"/>
        <w:gridCol w:w="109"/>
        <w:gridCol w:w="280"/>
        <w:gridCol w:w="374"/>
        <w:gridCol w:w="158"/>
        <w:gridCol w:w="109"/>
        <w:gridCol w:w="109"/>
        <w:gridCol w:w="109"/>
        <w:gridCol w:w="196"/>
        <w:gridCol w:w="331"/>
        <w:gridCol w:w="109"/>
        <w:gridCol w:w="109"/>
        <w:gridCol w:w="109"/>
        <w:gridCol w:w="109"/>
        <w:gridCol w:w="280"/>
        <w:gridCol w:w="924"/>
        <w:gridCol w:w="157"/>
        <w:gridCol w:w="109"/>
        <w:gridCol w:w="109"/>
        <w:gridCol w:w="109"/>
        <w:gridCol w:w="196"/>
        <w:gridCol w:w="646"/>
        <w:gridCol w:w="162"/>
      </w:tblGrid>
      <w:tr>
        <w:trPr/>
        <w:tc>
          <w:tcPr>
            <w:tcW w:w="11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USAC equity issued for acquisition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3"/>
        <w:gridCol w:w="680"/>
        <w:gridCol w:w="686"/>
        <w:gridCol w:w="235"/>
        <w:gridCol w:w="776"/>
        <w:gridCol w:w="130"/>
        <w:gridCol w:w="109"/>
        <w:gridCol w:w="109"/>
        <w:gridCol w:w="109"/>
        <w:gridCol w:w="258"/>
        <w:gridCol w:w="734"/>
        <w:gridCol w:w="145"/>
        <w:gridCol w:w="109"/>
        <w:gridCol w:w="109"/>
        <w:gridCol w:w="109"/>
        <w:gridCol w:w="280"/>
        <w:gridCol w:w="374"/>
        <w:gridCol w:w="158"/>
        <w:gridCol w:w="109"/>
        <w:gridCol w:w="109"/>
        <w:gridCol w:w="109"/>
        <w:gridCol w:w="196"/>
        <w:gridCol w:w="331"/>
        <w:gridCol w:w="109"/>
        <w:gridCol w:w="109"/>
        <w:gridCol w:w="109"/>
        <w:gridCol w:w="109"/>
        <w:gridCol w:w="280"/>
        <w:gridCol w:w="924"/>
        <w:gridCol w:w="157"/>
        <w:gridCol w:w="109"/>
        <w:gridCol w:w="109"/>
        <w:gridCol w:w="109"/>
        <w:gridCol w:w="196"/>
        <w:gridCol w:w="646"/>
        <w:gridCol w:w="162"/>
      </w:tblGrid>
      <w:tr>
        <w:trPr/>
        <w:tc>
          <w:tcPr>
            <w:tcW w:w="11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Series F Preferred Units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USAC preferred to USAC common units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0680"/>
                <wp:effectExtent l="0" t="0" r="0" b="0"/>
                <wp:wrapNone/>
                <wp:docPr id="10" name="Frame9"/>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248" w:type="dxa"/>
        <w:jc w:val="left"/>
        <w:tblInd w:w="0" w:type="dxa"/>
        <w:tblLayout w:type="fixed"/>
        <w:tblCellMar>
          <w:top w:w="28" w:type="dxa"/>
          <w:left w:w="28" w:type="dxa"/>
          <w:bottom w:w="28" w:type="dxa"/>
          <w:right w:w="28" w:type="dxa"/>
        </w:tblCellMar>
      </w:tblPr>
      <w:tblGrid>
        <w:gridCol w:w="2537"/>
        <w:gridCol w:w="2227"/>
        <w:gridCol w:w="2240"/>
        <w:gridCol w:w="211"/>
        <w:gridCol w:w="616"/>
        <w:gridCol w:w="109"/>
        <w:gridCol w:w="109"/>
        <w:gridCol w:w="109"/>
        <w:gridCol w:w="109"/>
        <w:gridCol w:w="211"/>
        <w:gridCol w:w="616"/>
        <w:gridCol w:w="154"/>
      </w:tblGrid>
      <w:tr>
        <w:trPr/>
        <w:tc>
          <w:tcPr>
            <w:tcW w:w="253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expense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unvested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 net of effects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J-W Power Company acquisition,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TanQuid acquisition,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Delta acquisition,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other acquisitions,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excluding allowance for equity funds used during construction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in aid of construction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 in excess of cumulative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Energy Transfer preferred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redeemable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partners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redeemable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0680"/>
                <wp:effectExtent l="0" t="0" r="0" b="0"/>
                <wp:wrapNone/>
                <wp:docPr id="11" name="Frame10"/>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 and unit amounts, except per unit data, are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w:t>
      </w:r>
      <w:r>
        <w:rPr>
          <w:rFonts w:ascii="Times New Roman;serif" w:hAnsi="Times New Roman;serif"/>
          <w:b/>
          <w:color w:val="000000"/>
          <w:sz w:val="20"/>
          <w:u w:val="single"/>
        </w:rPr>
        <w:t>ORGANIZATION AND BASIS OF PRESENTATION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presented herein contain the results of Energy Transfer LP and its subsidiaries (the “Partnership,” “we,” “us,” “our” or “Energy Transfer”).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financial information included in this Form 10-Q has been prepared on the same basis as the audited consolidated financial statements included in the Partnership’s Annual Report on Form 10-K for the year ended December 31, 2025, filed with the SEC on February 19, 2026. In the opinion of the Partnership’s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disclosures normally included in annual consolidated financial statements prepared in accordance with GAAP have been omitted pursuant to the rules and regulations of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owns a controlling interest in Sunoco LP. As of June 30, 2026, our interest in Sunoco LP consisted of 100% of the general partner interests and incentive distribution rights, as well as 28.5 million common units. In addition, the Partnership controls SunocoCorp Management LLC, which controls SunocoCorp. SunocoCorp’s only cash-generating asset is its investment in all of Sunoco LP's Class D units; the Partnership does not have a beneficial interest in those Class D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owns a controlling interest in USAC. As of June 30, 2026, our interest in USAC consisted of 100% of the general partner interests and 46.1 million common units of USAC.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operations of certain pipelines and terminals in which we own an undivided interest are proportionately consolidated in the accompanying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These reclassifications had no impact on net income or total equity.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have been prepared in conformity with GAAP, which requires the use of estimates and assumptions made by management that affect the reported amounts of assets, liabilities, revenues, expenses and the accrual for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Financial Accounting Standards Board issued Accounting Standards Update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ASU 2024-03 requires disclosure of specified information about certain costs and expenses in the notes to the consolidated financial statements. ASU 2024-03 is effective for annual periods beginning after December 15, 2026, and interim periods within annual periods beginning after December 15, 2027, with early adoption permitted. ASU 2024-03 is to be applied on a prospective basis, with retrospective application permitted. We are currently evaluating the impact, if any, of ASU 2024-03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2.ACQUISITIONS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 LP</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TanQuid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16, 2026, Sunoco LP completed the acquisition of TanQuid for €206 million ($239 million) and assumed debt with a fair value of €298 million ($346 million). TanQuid owns and operates 15 fuel terminals in Germany and one fuel terminal in Poland. The transaction was funded using cash on hand and amounts available under Sunoco LP’s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was recorded using the acquisition method of accounting which requires, among other things, that assets and liabilities assumed be recognized on the balance sheet at their estimated fair values as of the date of acquisition, with 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date these financial statements were issued, Sunoco LP’s management and the third-party valuation specialist continue to evaluate certain assumptions, which could result in a change to the allocation of the fair value among reporting units or between line items on the consolidated balance sheet, potentially impacting deferred tax balances and/or goodwill. The following table summarizes the preliminary allocation of the purchase price among assets acquired and liabilities assumed.</w:t>
      </w:r>
    </w:p>
    <w:tbl>
      <w:tblPr>
        <w:tblW w:w="5429" w:type="dxa"/>
        <w:jc w:val="left"/>
        <w:tblInd w:w="0" w:type="dxa"/>
        <w:tblLayout w:type="fixed"/>
        <w:tblCellMar>
          <w:top w:w="28" w:type="dxa"/>
          <w:left w:w="28" w:type="dxa"/>
          <w:bottom w:w="28" w:type="dxa"/>
          <w:right w:w="28" w:type="dxa"/>
        </w:tblCellMar>
      </w:tblPr>
      <w:tblGrid>
        <w:gridCol w:w="1238"/>
        <w:gridCol w:w="1089"/>
        <w:gridCol w:w="1093"/>
        <w:gridCol w:w="510"/>
        <w:gridCol w:w="1127"/>
        <w:gridCol w:w="37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As of January 16, 2026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net of cash acquired</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Delta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 2026, Sunoco LP completed the acquisition of Delta Petroleum Group (BVI) Limited (“Delta”) for approximately $81 million, excluding cash and net working capital. The purchase price was allocated $36 million to property, plant and equipment, net, $15 million to intangible assets, and $24 million to goodwill. Delta owns and operates terminals and fuel distribution assets across five Caribbean markets. The transaction was funded using cash on hand and amounts available under Sunoco LP's credit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and second quarters of 2026, Sunoco LP completed other acquisitions for total cash consideration of approximately $50 million and $22 million, respectively, plus working capital. These transactions were accounted for as asset acquisitions.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5, 2026, Sunoco LP entered into a definitive agreement to acquire a U.S.-based fuel distribution network in an all-cash transaction valued at approximately $600 million. The transaction is expected to close in the fourth quarter of 2026, subject to customary closing conditions.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USAC</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J-W Power Company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12, 2026, USAC completed the acquisition of J-W Energy Company (“J-W Energy”) and its subsidiary, J-W Power Company (“J-W Power”), a large privately-held provider of compression services in the United States. USAC purchased all of the issued and outstanding capital stock of J-W Energy from Westerman, Ltd. (the “J-W Power Acquisition”). USAC completed the acquisition for total consideration of approximately $912 million, subject to customary purchase price adjustments, consisting of (i) approximately $455 million in cash and (ii) approximately 18.2 million newly issued USAC common units, which had a fair value on the J-W Power Acquisition date of approximately $457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customary post-closing price adjustments. Upon consummation of the J-W Power Acquisition, J-W Power and J-W Energy became consolidated subsidiaries of USAC.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J-W Power Acquisition added approximately 0.8 million active horsepower and 1.0 million total horsepower to USAC’s fleet across key regions including the Northeast, Mid-Con, Rockies, Gulf Coast, Bakken and Permian Basin. J</w:t>
        <w:noBreakHyphen/>
        <w:t>W Power also owns and operates specialized manufacturing facilities that support its internal compression requirements and those of third</w:t>
        <w:noBreakHyphen/>
        <w:t>party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was recorded using the acquisition method of accounting, which requires, among other things, that assets acquired and liabilities assumed be recognized on the balance sheet at their estimated fair values as of the date of acquisition with 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purchase price among assets acquired and liabilities assumed.</w:t>
      </w:r>
    </w:p>
    <w:tbl>
      <w:tblPr>
        <w:tblW w:w="5429" w:type="dxa"/>
        <w:jc w:val="left"/>
        <w:tblInd w:w="0" w:type="dxa"/>
        <w:tblLayout w:type="fixed"/>
        <w:tblCellMar>
          <w:top w:w="28" w:type="dxa"/>
          <w:left w:w="28" w:type="dxa"/>
          <w:bottom w:w="28" w:type="dxa"/>
          <w:right w:w="28" w:type="dxa"/>
        </w:tblCellMar>
      </w:tblPr>
      <w:tblGrid>
        <w:gridCol w:w="1238"/>
        <w:gridCol w:w="1089"/>
        <w:gridCol w:w="1093"/>
        <w:gridCol w:w="510"/>
        <w:gridCol w:w="1127"/>
        <w:gridCol w:w="37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As of January 12, 2026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Intangible assets, net </w:t>
            </w:r>
            <w:r>
              <w:rPr>
                <w:rFonts w:ascii="Times New Roman;serif" w:hAnsi="Times New Roman;serif"/>
                <w:b w:val="false"/>
                <w:color w:val="000000"/>
                <w:sz w:val="13"/>
              </w:rPr>
              <w:t>(1)</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w:t>
            </w:r>
            <w:r>
              <w:rPr>
                <w:rFonts w:ascii="Times New Roman;serif" w:hAnsi="Times New Roman;serif"/>
                <w:b w:val="false"/>
                <w:color w:val="000000"/>
                <w:sz w:val="12"/>
              </w:rPr>
              <w:t>(2)</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net of cash acquired</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Intangible assets, net consisted of approximately $6.0 million of trade names with a remaining useful life of approximately 3 years.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Goodwill recorded is primarily related to the recognition of deferred tax liabilities arising from acquisition date fair value adjustments with the remainder related to expected commercial and operational synergies, and is subject to change based on final purchase price allocations. None of the goodwill recorded as a result of this transaction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3.</w:t>
      </w:r>
      <w:r>
        <w:rPr>
          <w:rFonts w:ascii="Times New Roman;serif" w:hAnsi="Times New Roman;serif"/>
          <w:b/>
          <w:color w:val="000000"/>
          <w:sz w:val="20"/>
          <w:u w:val="single"/>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 The Partnership’s consolidated balance sheets did not include any material amounts of restricted cash as of June 30, 2026 or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change in operating assets and liabilities, net of effects of acquisitions and divestitures, included in the reconciliation of net income to net cash flows provided by operating activities is comprised as follows:</w:t>
      </w:r>
    </w:p>
    <w:tbl>
      <w:tblPr>
        <w:tblW w:w="8363" w:type="dxa"/>
        <w:jc w:val="left"/>
        <w:tblInd w:w="0" w:type="dxa"/>
        <w:tblLayout w:type="fixed"/>
        <w:tblCellMar>
          <w:top w:w="28" w:type="dxa"/>
          <w:left w:w="28" w:type="dxa"/>
          <w:bottom w:w="28" w:type="dxa"/>
          <w:right w:w="28" w:type="dxa"/>
        </w:tblCellMar>
      </w:tblPr>
      <w:tblGrid>
        <w:gridCol w:w="2217"/>
        <w:gridCol w:w="1948"/>
        <w:gridCol w:w="1954"/>
        <w:gridCol w:w="211"/>
        <w:gridCol w:w="691"/>
        <w:gridCol w:w="109"/>
        <w:gridCol w:w="109"/>
        <w:gridCol w:w="109"/>
        <w:gridCol w:w="109"/>
        <w:gridCol w:w="211"/>
        <w:gridCol w:w="541"/>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companies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companies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 net of effects of acquisitions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 were as follows:</w:t>
      </w:r>
    </w:p>
    <w:tbl>
      <w:tblPr>
        <w:tblW w:w="9503" w:type="dxa"/>
        <w:jc w:val="left"/>
        <w:tblInd w:w="0" w:type="dxa"/>
        <w:tblLayout w:type="fixed"/>
        <w:tblCellMar>
          <w:top w:w="28" w:type="dxa"/>
          <w:left w:w="28" w:type="dxa"/>
          <w:bottom w:w="28" w:type="dxa"/>
          <w:right w:w="28" w:type="dxa"/>
        </w:tblCellMar>
      </w:tblPr>
      <w:tblGrid>
        <w:gridCol w:w="2682"/>
        <w:gridCol w:w="2360"/>
        <w:gridCol w:w="2367"/>
        <w:gridCol w:w="211"/>
        <w:gridCol w:w="616"/>
        <w:gridCol w:w="109"/>
        <w:gridCol w:w="109"/>
        <w:gridCol w:w="109"/>
        <w:gridCol w:w="109"/>
        <w:gridCol w:w="211"/>
        <w:gridCol w:w="466"/>
        <w:gridCol w:w="154"/>
      </w:tblGrid>
      <w:tr>
        <w:trPr/>
        <w:tc>
          <w:tcPr>
            <w:tcW w:w="2682"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new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USAC exercise and conversion of preferred units into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Sunoco LP common units (noncontrolling interest) issued in connection with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USAC common units (noncontrolling interest) issued in connection with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issued in connection with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4.</w:t>
      </w:r>
      <w:r>
        <w:rPr>
          <w:rFonts w:ascii="Times New Roman;serif" w:hAnsi="Times New Roman;serif"/>
          <w:b/>
          <w:color w:val="000000"/>
          <w:sz w:val="20"/>
          <w:u w:val="single"/>
        </w:rPr>
        <w:t>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822" w:type="dxa"/>
        <w:jc w:val="left"/>
        <w:tblInd w:w="0" w:type="dxa"/>
        <w:tblLayout w:type="fixed"/>
        <w:tblCellMar>
          <w:top w:w="28" w:type="dxa"/>
          <w:left w:w="28" w:type="dxa"/>
          <w:bottom w:w="28" w:type="dxa"/>
          <w:right w:w="28" w:type="dxa"/>
        </w:tblCellMar>
      </w:tblPr>
      <w:tblGrid>
        <w:gridCol w:w="1194"/>
        <w:gridCol w:w="1051"/>
        <w:gridCol w:w="1055"/>
        <w:gridCol w:w="211"/>
        <w:gridCol w:w="616"/>
        <w:gridCol w:w="109"/>
        <w:gridCol w:w="109"/>
        <w:gridCol w:w="109"/>
        <w:gridCol w:w="109"/>
        <w:gridCol w:w="271"/>
        <w:gridCol w:w="791"/>
        <w:gridCol w:w="197"/>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refined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principally of natural gas held in storage, NGLs and refined products, crude oil and spare parts, all of which are valued at the lower of cost or net realizable value utilizing the weighted-average cost method, except as described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 LP’s fuel inventories are stated at the lower of cost or market using the LIFO method, except for certain fuel inventories in the Caribbean as discussed below. As of June 30, 2026 and December 31, 2025, Sunoco LP’s fuel inventory balance included lower of cost or market reserves of $19 million and $472 million, respectively. For the three months ended June 30, 2026 and 2025, the Partnership’s cost of products sold included unfavorable LIFO inventory valuation adjustments of $18 million and $40 million, respectively, which decreased net income. For the six months ended June 30, 2026 and 2025, the Partnership’s cost of products sold included favorable LIFO inventory valuation adjustments of $426 million and $21 million, respectively, which increased net income.</w:t>
      </w:r>
    </w:p>
    <w:p>
      <w:pPr>
        <w:pStyle w:val="TextBody"/>
        <w:bidi w:val="0"/>
        <w:spacing w:lineRule="auto" w:line="288" w:before="120" w:after="283"/>
        <w:jc w:val="both"/>
        <w:rPr/>
      </w:pPr>
      <w:r>
        <w:rPr>
          <w:rFonts w:ascii="Times New Roman;serif" w:hAnsi="Times New Roman;serif"/>
          <w:b w:val="false"/>
          <w:color w:val="000000"/>
          <w:sz w:val="20"/>
        </w:rPr>
        <w:t>During the three months ended March 31, 2026, Sunoco LP reduced its overall fuel inventories, resulting in a LIFO liquidation. Based on the assumed impact to cost of products sold if the liquidated inventories had been replaced, the effect of the LIFO liquidation was an increase of $102 million to pre</w:t>
      </w:r>
      <w:r>
        <w:rPr>
          <w:rFonts w:ascii="Times New Roman;serif" w:hAnsi="Times New Roman;serif"/>
          <w:b w:val="false"/>
          <w:color w:val="000000"/>
          <w:sz w:val="20"/>
          <w:shd w:fill="FFFFFF" w:val="clear"/>
        </w:rPr>
        <w:t xml:space="preserve">-tax income, or </w:t>
      </w:r>
      <w:r>
        <w:rPr>
          <w:rFonts w:ascii="Times New Roman;serif" w:hAnsi="Times New Roman;serif"/>
          <w:b w:val="false"/>
          <w:color w:val="000000"/>
          <w:sz w:val="20"/>
        </w:rPr>
        <w:t>$0.03 per common unit</w:t>
      </w:r>
      <w:r>
        <w:rPr>
          <w:color w:val="000000"/>
          <w:shd w:fill="FFFFFF" w:val="clear"/>
        </w:rPr>
        <w:t xml:space="preserve"> </w:t>
      </w:r>
      <w:r>
        <w:rPr>
          <w:rFonts w:ascii="Times New Roman;serif" w:hAnsi="Times New Roman;serif"/>
          <w:b w:val="false"/>
          <w:color w:val="000000"/>
          <w:sz w:val="20"/>
          <w:shd w:fill="FFFFFF" w:val="clear"/>
        </w:rPr>
        <w:t xml:space="preserve">(excluding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income tax impact or any assumed changes to distributions) for the </w:t>
      </w:r>
      <w:r>
        <w:rPr>
          <w:rFonts w:ascii="Times New Roman;serif" w:hAnsi="Times New Roman;serif"/>
          <w:b w:val="false"/>
          <w:color w:val="000000"/>
          <w:sz w:val="20"/>
        </w:rPr>
        <w:t>six months ended June 30, 2026, with no impact to the three months ended June 30, 2026</w:t>
      </w:r>
      <w:r>
        <w:rPr>
          <w:rFonts w:ascii="Times New Roman;serif" w:hAnsi="Times New Roman;serif"/>
          <w:b w:val="false"/>
          <w:color w:val="000000"/>
          <w:sz w:val="20"/>
          <w:shd w:fill="FFFFFF" w:val="clear"/>
        </w:rPr>
        <w:t>. Interim LIFO calculations are based on management’s estimates of expected year-end inventory levels and costs; consequently, these interim estimates are subject to changes during the remainder of the year that could impact the final year-end inventory levels or valuation.</w:t>
      </w:r>
    </w:p>
    <w:p>
      <w:pPr>
        <w:pStyle w:val="TextBody"/>
        <w:bidi w:val="0"/>
        <w:spacing w:lineRule="auto" w:line="288" w:before="120" w:after="283"/>
        <w:jc w:val="both"/>
        <w:rPr/>
      </w:pPr>
      <w:r>
        <w:rPr>
          <w:rFonts w:ascii="Times New Roman;serif" w:hAnsi="Times New Roman;serif"/>
          <w:b w:val="false"/>
          <w:color w:val="000000"/>
          <w:sz w:val="20"/>
        </w:rPr>
        <w:t>Certain of Sunoco LP’s fuel inventories in the Caribbean are stated at the lower of cost or market using the first-in, first-out method, under which the cost of fuel sold consists of older acquisition costs, including transportation and storage costs. These FIFO method inventories totaled</w:t>
      </w:r>
      <w:r>
        <w:rPr>
          <w:color w:val="000000"/>
          <w:shd w:fill="FFFFFF" w:val="clear"/>
        </w:rPr>
        <w:t xml:space="preserve"> </w:t>
      </w:r>
      <w:r>
        <w:rPr>
          <w:rFonts w:ascii="Times New Roman;serif" w:hAnsi="Times New Roman;serif"/>
          <w:b w:val="false"/>
          <w:color w:val="000000"/>
          <w:sz w:val="20"/>
        </w:rPr>
        <w:t>$145 million</w:t>
      </w:r>
      <w:r>
        <w:rPr>
          <w:color w:val="000000"/>
          <w:shd w:fill="FFFFFF" w:val="clear"/>
        </w:rPr>
        <w:t xml:space="preserve"> </w:t>
      </w:r>
      <w:r>
        <w:rPr>
          <w:rFonts w:ascii="Times New Roman;serif" w:hAnsi="Times New Roman;serif"/>
          <w:b w:val="false"/>
          <w:color w:val="000000"/>
          <w:sz w:val="20"/>
          <w:shd w:fill="FFFFFF" w:val="clear"/>
        </w:rPr>
        <w:t xml:space="preserve">and $88 million as of </w:t>
      </w:r>
      <w:r>
        <w:rPr>
          <w:rFonts w:ascii="Times New Roman;serif" w:hAnsi="Times New Roman;serif"/>
          <w:b w:val="false"/>
          <w:color w:val="000000"/>
          <w:sz w:val="20"/>
        </w:rPr>
        <w:t>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5.</w:t>
      </w:r>
      <w:r>
        <w:rPr>
          <w:rFonts w:ascii="Times New Roman;serif" w:hAnsi="Times New Roman;serif"/>
          <w:b/>
          <w:color w:val="000000"/>
          <w:sz w:val="20"/>
          <w:u w:val="single"/>
        </w:rPr>
        <w:t>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and accounts payable approximate their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Commodity derivatives, excluding those designated as normal purchases or normal sales, are recognized as assets or liabilities at fair value on our consolidated balance sheets. Fair value is determined using the highest level of observable inputs available, in accordance with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Exchange-traded contracts, such as futures, swaps and options, are valued using quoted market prices from exchanges including the New York Mercantile Exchange, Intercontinental Exchange or similar platforms. These are classified as Level 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Over-the-counter (OTC) swaps, options and physical forward contracts that are comparable to actively traded instruments are valued using third-party broker quotes, pricing services or relevant exchange data. This category also includes OTC options valued using an option pricing model based on observable market inputs. These instruments are classified as Level 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Less liquid instruments, including non-standard term OTC swaps and options, as well as long-dated contracts, are valued using internally developed models based on historical industry practices. These models incorporate forward price curves, volatility assumptions, time value and other relevant economic factors. These are classified as Level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gross fair value of our financial assets and liabilities measured and recorded at fair value on a recurring basis as of June 30, 2026 and December 31, 2025 based on inputs used to derive their fair values:</w:t>
      </w:r>
    </w:p>
    <w:tbl>
      <w:tblPr>
        <w:tblW w:w="6845" w:type="dxa"/>
        <w:jc w:val="left"/>
        <w:tblInd w:w="0" w:type="dxa"/>
        <w:tblLayout w:type="fixed"/>
        <w:tblCellMar>
          <w:top w:w="28" w:type="dxa"/>
          <w:left w:w="28" w:type="dxa"/>
          <w:bottom w:w="28" w:type="dxa"/>
          <w:right w:w="28" w:type="dxa"/>
        </w:tblCellMar>
      </w:tblPr>
      <w:tblGrid>
        <w:gridCol w:w="891"/>
        <w:gridCol w:w="788"/>
        <w:gridCol w:w="795"/>
        <w:gridCol w:w="321"/>
        <w:gridCol w:w="938"/>
        <w:gridCol w:w="166"/>
        <w:gridCol w:w="109"/>
        <w:gridCol w:w="109"/>
        <w:gridCol w:w="109"/>
        <w:gridCol w:w="272"/>
        <w:gridCol w:w="621"/>
        <w:gridCol w:w="140"/>
        <w:gridCol w:w="140"/>
        <w:gridCol w:w="140"/>
        <w:gridCol w:w="140"/>
        <w:gridCol w:w="272"/>
        <w:gridCol w:w="485"/>
        <w:gridCol w:w="146"/>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w:t>
              <w:b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45" w:type="dxa"/>
        <w:jc w:val="left"/>
        <w:tblInd w:w="0" w:type="dxa"/>
        <w:tblLayout w:type="fixed"/>
        <w:tblCellMar>
          <w:top w:w="28" w:type="dxa"/>
          <w:left w:w="28" w:type="dxa"/>
          <w:bottom w:w="28" w:type="dxa"/>
          <w:right w:w="28" w:type="dxa"/>
        </w:tblCellMar>
      </w:tblPr>
      <w:tblGrid>
        <w:gridCol w:w="892"/>
        <w:gridCol w:w="786"/>
        <w:gridCol w:w="796"/>
        <w:gridCol w:w="349"/>
        <w:gridCol w:w="896"/>
        <w:gridCol w:w="180"/>
        <w:gridCol w:w="109"/>
        <w:gridCol w:w="109"/>
        <w:gridCol w:w="109"/>
        <w:gridCol w:w="272"/>
        <w:gridCol w:w="621"/>
        <w:gridCol w:w="140"/>
        <w:gridCol w:w="140"/>
        <w:gridCol w:w="140"/>
        <w:gridCol w:w="140"/>
        <w:gridCol w:w="272"/>
        <w:gridCol w:w="485"/>
        <w:gridCol w:w="146"/>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w:t>
              <w:b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Level 1</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and carrying amount of our consolidated debt obligations as of June 30, 2026 were $68.27 billion and $68.41 billion, respectively. As of December 31, 2025, the aggregate fair value and carrying amount of our consolidated debt obligations were $68.55 billion and $68.33 billion, respectively. The fair value of our consolidated debt obligations is a Level 2 valuation based on the respective debt obligations’ observable inputs for similar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rFonts w:ascii="Times New Roman;serif" w:hAnsi="Times New Roman;serif"/>
          <w:b/>
          <w:color w:val="000000"/>
          <w:sz w:val="20"/>
        </w:rPr>
        <w:t>6.</w:t>
      </w:r>
      <w:r>
        <w:rPr>
          <w:rFonts w:ascii="Times New Roman;serif" w:hAnsi="Times New Roman;serif"/>
          <w:b/>
          <w:color w:val="000000"/>
          <w:sz w:val="20"/>
          <w:u w:val="single"/>
        </w:rPr>
        <w:t>NET INCOME PER COMMON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income or loss and weighted average units used in computing basic and diluted income per common unit is as follows:</w:t>
      </w:r>
    </w:p>
    <w:tbl>
      <w:tblPr>
        <w:tblW w:w="10205" w:type="dxa"/>
        <w:jc w:val="left"/>
        <w:tblInd w:w="0" w:type="dxa"/>
        <w:tblLayout w:type="fixed"/>
        <w:tblCellMar>
          <w:top w:w="28" w:type="dxa"/>
          <w:left w:w="28" w:type="dxa"/>
          <w:bottom w:w="28" w:type="dxa"/>
          <w:right w:w="28" w:type="dxa"/>
        </w:tblCellMar>
      </w:tblPr>
      <w:tblGrid>
        <w:gridCol w:w="1967"/>
        <w:gridCol w:w="1725"/>
        <w:gridCol w:w="174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6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redeemable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net of 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General Partner’s interest in 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Unitholders’ interest in 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on redemption of preferred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Common Unit: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common unit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Common Unit:</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Dilutive effect of equity-based compensation of subsidiaries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attributable to Common Unitholders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Dilutive effect of unvested restricted unit awards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assuming dilutive effect of unvested restricted unit awards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common unit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Dilutive effects are excluded from the calculation for periods where the impact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rFonts w:ascii="Times New Roman;serif" w:hAnsi="Times New Roman;serif"/>
          <w:b/>
          <w:color w:val="000000"/>
          <w:sz w:val="20"/>
        </w:rPr>
        <w:t>7.</w:t>
      </w:r>
      <w:r>
        <w:rPr>
          <w:rFonts w:ascii="Times New Roman;serif" w:hAnsi="Times New Roman;serif"/>
          <w:b/>
          <w:color w:val="000000"/>
          <w:sz w:val="20"/>
          <w:u w:val="single"/>
        </w:rPr>
        <w:t>DEBT OBLIGATIONS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Notes Issuances and Redemptions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Partnership issued $1.00 billion aggregate principal amount of 4.55% senior notes due 2031, $1.00 billion aggregate principal amount of 5.35% senior notes due 2036 and $1.00 billion aggregate principal amount of 6.30% senior notes due 2056. The Partnership used the net proceeds to refinance existing indebtedness, including to repay commercial paper and borrowings under its 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Partnership redeemed its $1.00 billion aggregate principal amount of 4.75% senior notes due January 2026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Partnership redeemed its $600 million aggregate principal amount of 5.625% senior notes due May 2027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Partnership issued $650 million aggregate principal amount of its Series 2026A Junior Subordinated Notes due 2057 (the “Series 2026A notes”) and $1.10 billion aggregate principal amount of its Series 2026B Junior Subordinated Notes due 2057 (the “Series 2026B notes”). Initially, the Series 2026A notes will bear interest at an annual rate of 6.550% and the Series 2026B notes will bear interest at an annual rate of 6.700%. The Partnership intends to 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proceeds to redeem the Series H Preferred Units, to repay borrowings under its Five-Year Credit Facility and for general partnership purposes.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Senior Notes Issuances and Redemption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issued $600 million aggregate principal amount of 5.375% senior notes due 2031 and $600 million aggregate principal amount of 5.625% senior notes due 2034. These notes will mature on July 15, 2031 and July 15, 2034, respectively, and interest is payable semi-annually on January 15 and July 15 of each year, commencing on July 15, 2026. Sunoco LP used a portion of the net proceeds from this private offering to redeem in full its $500 million aggregate principal amount of 6.000% senior notes due 2026 and its $600 million aggregate principal amount of 6.000% senior notes due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redeemed Parkland’s remaining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2026, Sunoco LP redeemed all of its outstanding 3.875% CAD senior notes due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Facilities and Commercial Paper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revolving credit facility (the “Five-Year Credit Facility”) allows for unsecured borrowings up to $5.00 billion until April 11, 2027, and up to $4.84 billion until April 11, 2029. The Five-Year Credit Facility contains an accordion feature, under which the total aggregate commitment may be increased up to $7.00 billion under certain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Five-Year Credit Facility had $1.21 billion of outstanding borrowings, $1.12 billion of which consisted of commercial paper. The amount available for future borrowings was $3.76 billion, after accounting for outstanding letters of credit in the amount of $24 million. The weighted average interest rate on the total amount outstanding as of June 30, 2026 was 4.00%.</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Sunoco LP’s credit facility, which matures in June 2030, had no outstanding borrowings and $183 million in standby letters of credit. The unused availability on Sunoco LP’s revolving credit facility as of June 30, 2026 was $2.32 billion. The weighted average interest rate on the total amount outstanding as of June 30, 2026 was 5.46%.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Receivables Financing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Sunoco LP’s acquisition of NuStar, the commitments under NuStar’s receivables financing agreement were reduced to zero during a suspension period, for which the period end has not been determined. As of June 30, 2026, this facility had no outstanding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USAC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USAC’s credit facility, which matures in August 2030, had $1.21 billion of outstanding borrowings and $2 million outstanding letters of credit. As of June 30, 2026, USAC’s credit facility had $537 million of remaining unused availability. The weighted average interest rate on the total amount outstanding as of June 30, 2026 was 5.59%.</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Compliance with our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were in compliance with all requirements, tests, limitations and covenants related to our debt agreements as of June 30, 2026. For the quarter ended June 30, 2026, the Partnership’s leverage ratio, as calculated pursuant to the covenant related to its Five-Year Credit Facility, was 3.01x.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both"/>
        <w:rPr/>
      </w:pPr>
      <w:r>
        <w:rPr>
          <w:rFonts w:ascii="Times New Roman;serif" w:hAnsi="Times New Roman;serif"/>
          <w:b/>
          <w:color w:val="000000"/>
          <w:sz w:val="20"/>
        </w:rPr>
        <w:t>8.</w:t>
      </w:r>
      <w:r>
        <w:rPr>
          <w:rFonts w:ascii="Times New Roman;serif" w:hAnsi="Times New Roman;serif"/>
          <w:b/>
          <w:color w:val="000000"/>
          <w:sz w:val="20"/>
          <w:u w:val="single"/>
        </w:rPr>
        <w:t>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redeemable noncontrolling interests in the Partnership’s subsidiaries were reflected as mezzanine equity on the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consisted of the following:</w:t>
      </w:r>
    </w:p>
    <w:tbl>
      <w:tblPr>
        <w:tblW w:w="5897" w:type="dxa"/>
        <w:jc w:val="left"/>
        <w:tblInd w:w="0" w:type="dxa"/>
        <w:tblLayout w:type="fixed"/>
        <w:tblCellMar>
          <w:top w:w="28" w:type="dxa"/>
          <w:left w:w="28" w:type="dxa"/>
          <w:bottom w:w="28" w:type="dxa"/>
          <w:right w:w="28" w:type="dxa"/>
        </w:tblCellMar>
      </w:tblPr>
      <w:tblGrid>
        <w:gridCol w:w="1277"/>
        <w:gridCol w:w="1121"/>
        <w:gridCol w:w="1127"/>
        <w:gridCol w:w="211"/>
        <w:gridCol w:w="466"/>
        <w:gridCol w:w="109"/>
        <w:gridCol w:w="109"/>
        <w:gridCol w:w="109"/>
        <w:gridCol w:w="109"/>
        <w:gridCol w:w="320"/>
        <w:gridCol w:w="705"/>
        <w:gridCol w:w="23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Crestwood Niobrara LLC preferred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redeemable noncontrolling interests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Relates to noncontrolling interest holders in one of the Partnership’s consolidated subsidiaries that have the option to sell their interests to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9.</w:t>
      </w:r>
      <w:r>
        <w:rPr>
          <w:rFonts w:ascii="Times New Roman;serif" w:hAnsi="Times New Roman;serif"/>
          <w:b/>
          <w:color w:val="000000"/>
          <w:sz w:val="20"/>
          <w:u w:val="single"/>
        </w:rPr>
        <w:t>EQUITY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Energy Transfer common units during the six months ended June 30, 2026 were as follows:</w:t>
      </w:r>
    </w:p>
    <w:tbl>
      <w:tblPr>
        <w:tblW w:w="6674" w:type="dxa"/>
        <w:jc w:val="left"/>
        <w:tblInd w:w="0" w:type="dxa"/>
        <w:tblLayout w:type="fixed"/>
        <w:tblCellMar>
          <w:top w:w="28" w:type="dxa"/>
          <w:left w:w="28" w:type="dxa"/>
          <w:bottom w:w="28" w:type="dxa"/>
          <w:right w:w="28" w:type="dxa"/>
        </w:tblCellMar>
      </w:tblPr>
      <w:tblGrid>
        <w:gridCol w:w="1879"/>
        <w:gridCol w:w="1650"/>
        <w:gridCol w:w="1661"/>
        <w:gridCol w:w="434"/>
        <w:gridCol w:w="434"/>
        <w:gridCol w:w="616"/>
      </w:tblGrid>
      <w:tr>
        <w:trPr/>
        <w:tc>
          <w:tcPr>
            <w:tcW w:w="187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units at December 31, 2025</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issued under the distribution reinvestment plan</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issued for acquisition</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vested under equity incentive plans and other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units at June 30, 2026</w:t>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3,443.3 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Energy Transfer did not repurchase any of its common units under its current buyback program. As of June 30, 2026, $880 million remained available to repurchase under the current program.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Distribution Reinvestment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distributions of $25 million were reinvested under the distribution reinvestment program. As of June 30, 2026, a total of 35.1 million Energy Transfer common units remained available to be issued under currently effective registration statements in connection with the distribution reinvestment program.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declared and/or paid with respect to Energy Transfer common units subsequent to December 31, 2025 were as follows: </w:t>
      </w:r>
    </w:p>
    <w:tbl>
      <w:tblPr>
        <w:tblW w:w="683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4"/>
        <w:gridCol w:w="494"/>
        <w:gridCol w:w="497"/>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Energy Transfer Preferred Units</w:t>
      </w:r>
    </w:p>
    <w:p>
      <w:pPr>
        <w:pStyle w:val="TextBody"/>
        <w:bidi w:val="0"/>
        <w:spacing w:lineRule="auto" w:line="288" w:before="120" w:after="283"/>
        <w:jc w:val="both"/>
        <w:rPr/>
      </w:pPr>
      <w:r>
        <w:rPr>
          <w:rFonts w:ascii="Times New Roman;serif" w:hAnsi="Times New Roman;serif"/>
          <w:b w:val="false"/>
          <w:color w:val="000000"/>
          <w:sz w:val="20"/>
        </w:rPr>
        <w:t>As of June 30, 2026 and December 31, 2025, Energy Transfer’s outstanding preferred units included 550,000</w:t>
      </w:r>
      <w:r>
        <w:rPr>
          <w:color w:val="000000"/>
        </w:rPr>
        <w:t xml:space="preserve"> </w:t>
      </w:r>
      <w:r>
        <w:rPr>
          <w:rFonts w:ascii="Times New Roman;serif" w:hAnsi="Times New Roman;serif"/>
          <w:b w:val="false"/>
          <w:color w:val="000000"/>
          <w:sz w:val="20"/>
        </w:rPr>
        <w:t>Series B Preferred Units, 1,484,780 Series G Preferred Units, 900,000 Series H Preferred Units and 41,464,179 Series I Preferred Units. Series H Preferred Units will be redeemed on August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changes in the Energy Transfer Preferred Units:</w:t>
      </w:r>
    </w:p>
    <w:tbl>
      <w:tblPr>
        <w:tblW w:w="7631" w:type="dxa"/>
        <w:jc w:val="left"/>
        <w:tblInd w:w="0" w:type="dxa"/>
        <w:tblLayout w:type="fixed"/>
        <w:tblCellMar>
          <w:top w:w="28" w:type="dxa"/>
          <w:left w:w="28" w:type="dxa"/>
          <w:bottom w:w="28" w:type="dxa"/>
          <w:right w:w="28" w:type="dxa"/>
        </w:tblCellMar>
      </w:tblPr>
      <w:tblGrid>
        <w:gridCol w:w="782"/>
        <w:gridCol w:w="686"/>
        <w:gridCol w:w="692"/>
        <w:gridCol w:w="196"/>
        <w:gridCol w:w="421"/>
        <w:gridCol w:w="109"/>
        <w:gridCol w:w="109"/>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8714" w:type="dxa"/>
        <w:jc w:val="left"/>
        <w:tblInd w:w="0" w:type="dxa"/>
        <w:tblLayout w:type="fixed"/>
        <w:tblCellMar>
          <w:top w:w="28" w:type="dxa"/>
          <w:left w:w="28" w:type="dxa"/>
          <w:bottom w:w="28" w:type="dxa"/>
          <w:right w:w="28" w:type="dxa"/>
        </w:tblCellMar>
      </w:tblPr>
      <w:tblGrid>
        <w:gridCol w:w="814"/>
        <w:gridCol w:w="714"/>
        <w:gridCol w:w="721"/>
        <w:gridCol w:w="196"/>
        <w:gridCol w:w="421"/>
        <w:gridCol w:w="109"/>
        <w:gridCol w:w="109"/>
        <w:gridCol w:w="109"/>
        <w:gridCol w:w="109"/>
        <w:gridCol w:w="239"/>
        <w:gridCol w:w="513"/>
        <w:gridCol w:w="133"/>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F </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preferred units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Partnership’s Series F Fixed-Rate Reset Cumulative Redeemable Perpetual Preferred Units were redeemed in May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on the Energy Transfer Preferred Units were as follows:</w:t>
      </w:r>
    </w:p>
    <w:tbl>
      <w:tblPr>
        <w:tblW w:w="10122"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444"/>
        <w:gridCol w:w="444"/>
        <w:gridCol w:w="447"/>
        <w:gridCol w:w="109"/>
        <w:gridCol w:w="109"/>
        <w:gridCol w:w="109"/>
        <w:gridCol w:w="474"/>
        <w:gridCol w:w="474"/>
        <w:gridCol w:w="477"/>
        <w:gridCol w:w="109"/>
        <w:gridCol w:w="109"/>
        <w:gridCol w:w="109"/>
        <w:gridCol w:w="196"/>
        <w:gridCol w:w="646"/>
        <w:gridCol w:w="109"/>
        <w:gridCol w:w="109"/>
        <w:gridCol w:w="109"/>
        <w:gridCol w:w="109"/>
        <w:gridCol w:w="252"/>
        <w:gridCol w:w="523"/>
        <w:gridCol w:w="140"/>
        <w:gridCol w:w="109"/>
        <w:gridCol w:w="109"/>
        <w:gridCol w:w="109"/>
        <w:gridCol w:w="252"/>
        <w:gridCol w:w="523"/>
        <w:gridCol w:w="140"/>
        <w:gridCol w:w="109"/>
        <w:gridCol w:w="109"/>
        <w:gridCol w:w="109"/>
        <w:gridCol w:w="196"/>
        <w:gridCol w:w="646"/>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B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G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H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I </w:t>
            </w:r>
            <w:r>
              <w:rPr>
                <w:rFonts w:ascii="Times New Roman;serif" w:hAnsi="Times New Roman;serif"/>
                <w:b w:val="false"/>
                <w:color w:val="000000"/>
                <w:sz w:val="12"/>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record date and payment date shown above apply to all Energy Transfer Preferred Units, except for the Series I Preferred Units. For the period ended December 31, 2025, the cash distribution on Series I Preferred Units was paid on February 17, 2026 to unitholders of record as of the close of business on February 4, 2026. For the period ended March 31, 2026, the cash distribution on Series I Preferred Units was paid on May 15, 2026 to unitholders of record as of the close of business on May 4, 2026. For the period ended June 30, 2026, the cash distribution on Series I Preferred Units will be paid on August 14, 2026 to unitholders of record as of the close of business on August 4, 2026. </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Series B, Series G and Series H distributions are currently paid on a semi-annual basis. Distributions on the Series B Preferred Units will begin to be paid quarterly on February 15, 2028. The final distributions on Series H Preferred Units will be paid in conjunction with the Series H Preferred Unit redemption on August 17,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Partnership’s consolidated financial statements include noncontrolling interests in SunocoCorp, Sunoco LP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USAC, as well as other non-wholly owned consolidated joint ventures. The following sections describe cash distributions made by our publicly traded subsidiaries, SunocoCorp, Sunoco LP and USAC, all of which are required to distribute all cash on hand (less appropriate reserves determined by the boards of directors of their respective general partners) subsequent to the end of each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SunocoCorp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SunocoCorp’s common units declared and/or paid by SunocoCorp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 LP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common units and Class D Units declared and/or paid by Sunoco LP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Series A Preferred Units, which are paid semi-annually, were as follows:</w:t>
      </w:r>
    </w:p>
    <w:tbl>
      <w:tblPr>
        <w:tblW w:w="4761" w:type="dxa"/>
        <w:jc w:val="left"/>
        <w:tblInd w:w="0" w:type="dxa"/>
        <w:tblLayout w:type="fixed"/>
        <w:tblCellMar>
          <w:top w:w="28" w:type="dxa"/>
          <w:left w:w="28" w:type="dxa"/>
          <w:bottom w:w="28" w:type="dxa"/>
          <w:right w:w="28" w:type="dxa"/>
        </w:tblCellMar>
      </w:tblPr>
      <w:tblGrid>
        <w:gridCol w:w="471"/>
        <w:gridCol w:w="415"/>
        <w:gridCol w:w="418"/>
        <w:gridCol w:w="109"/>
        <w:gridCol w:w="109"/>
        <w:gridCol w:w="109"/>
        <w:gridCol w:w="109"/>
        <w:gridCol w:w="109"/>
        <w:gridCol w:w="464"/>
        <w:gridCol w:w="464"/>
        <w:gridCol w:w="466"/>
        <w:gridCol w:w="109"/>
        <w:gridCol w:w="109"/>
        <w:gridCol w:w="109"/>
        <w:gridCol w:w="211"/>
        <w:gridCol w:w="82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USAC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USAC’s common units declared and/or paid by USAC subsequent to December 31, 2025 were as follows:</w:t>
      </w:r>
    </w:p>
    <w:tbl>
      <w:tblPr>
        <w:tblW w:w="5031"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494"/>
        <w:gridCol w:w="494"/>
        <w:gridCol w:w="496"/>
        <w:gridCol w:w="109"/>
        <w:gridCol w:w="109"/>
        <w:gridCol w:w="109"/>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AOCI, net of tax:</w:t>
      </w:r>
    </w:p>
    <w:tbl>
      <w:tblPr>
        <w:tblW w:w="8006" w:type="dxa"/>
        <w:jc w:val="left"/>
        <w:tblInd w:w="0" w:type="dxa"/>
        <w:tblLayout w:type="fixed"/>
        <w:tblCellMar>
          <w:top w:w="28" w:type="dxa"/>
          <w:left w:w="28" w:type="dxa"/>
          <w:bottom w:w="28" w:type="dxa"/>
          <w:right w:w="28" w:type="dxa"/>
        </w:tblCellMar>
      </w:tblPr>
      <w:tblGrid>
        <w:gridCol w:w="2043"/>
        <w:gridCol w:w="1798"/>
        <w:gridCol w:w="1799"/>
        <w:gridCol w:w="241"/>
        <w:gridCol w:w="414"/>
        <w:gridCol w:w="125"/>
        <w:gridCol w:w="109"/>
        <w:gridCol w:w="109"/>
        <w:gridCol w:w="109"/>
        <w:gridCol w:w="364"/>
        <w:gridCol w:w="626"/>
        <w:gridCol w:w="269"/>
      </w:tblGrid>
      <w:tr>
        <w:trPr/>
        <w:tc>
          <w:tcPr>
            <w:tcW w:w="204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 related to pensions and other postretirement benefits</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 net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AOCI included in partners’ capital, net of tax</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10.</w:t>
      </w:r>
      <w:r>
        <w:rPr>
          <w:rFonts w:ascii="Times New Roman;serif" w:hAnsi="Times New Roman;serif"/>
          <w:b/>
          <w:color w:val="000000"/>
          <w:sz w:val="20"/>
          <w:u w:val="single"/>
        </w:rPr>
        <w:t>REGULATORY MATTERS, COMMITMENTS, CONTINGENCIES AND ENVIRONMENTAL LIABILITIES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FERC Proceedings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 FERC – Stoneman House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The hearing was set to commence on March 6, 2023; as explained below, this FERC proceeding has been stayed.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 2022, Energy Transfer and Rover filed a Complaint for Declaratory Relief in the United States District Court for the Northern District of Texas (“USDC”)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USDC case. On May 24, 2022, the USDC ordered a stay of the FERC’s enforcement case and the USDC case pending the resolution of two cases pending before the United States Supreme Court. Arguments were heard in those cases on November 7, 2022. On April 14, 2023, the United States Supreme Court held against the government in both cases, finding that the USDC had jurisdiction to hear those suits and to resolve the parties’ constitutional challenges. The cases were remanded to the USDC for further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13, 2023 the USDC ordered that the USDC case would be stayed pending the resolution of another case pending before the United States Supreme Court and that the FERC enforcement case would remain stayed. On November 13, 2023, the FERC appealed the USDC order to the United States Court of Appeals for the Fifth Circuit (the “Fifth Circuit”). On December 11, 2023, FERC filed a motion to withdraw that appeal, which the Fifth Circuit granted on December 12, 2023. The FERC and USDC proceedings were previously stayed pending resolution of the case pending before the United States Supreme Court. The Supreme Court issued a decision in that case on June 27, 2024. The FERC and USDC proceedings remain stayed at this time. The USDC set a scheduling conference for December 16, 2025. The parties have filed several motions to continue the status conference. On July 22, 2026, the USDC held this matter in abeyance, pending the outcome of settlement discussions between the parties. Notwithstanding the foregoing, Energy Transfer and Rover intend to vigorously defend this claim.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 FERC – Tuscarawas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In 2019, Enforcement Staff provided Rover with a notice pursuant to Section 1b.19 of the FERC regulations that Enforcement Staff intended to recommend that the FERC pursue an enforcement action against Rover and the Partnership. On December 16, 2021, FERC issued an Order to Show Cause and Notice of Proposed Penalty (Docket No. IN17-4-000), ordering Rover and Energy Transfer to show cause why they should not be found to have violated Section 7(e) of the NGA, Section 157.20 of FERC’s regulations, and the Rover Pipeline Certificate Order, and assessed civil penalties of $40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Rover and Energy Transfer filed their answer to this order on March 21, 2022, and Enforcement Staff filed a reply on April 20, 2022. Rover and Energy Transfer filed their surreply to this order on May 13, 2022. FERC has taken no further action on the case since that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primary contractor (and one of the subcontractors) responsible for the HDD operations of the Tuscarawas River site have agreed to indemnify Rover and the Partnership for any and all losses, including any fines and penalties from government agencies, resulting from their actions in conducting such HDD operations.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FERC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an order issued on January 16, 2019, the FERC initiated a review of Panhandle’s then-existing rates pursuant to Section 5 of the NGA to determine whether the rates charged by Panhandle are just and reasonable and set the matter for hearing. On August 30, 2019, Panhandle filed a general rate proceeding under Section 4 of the NGA. The NGA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D.C. Circuit, and the Michigan Public Service Commission also subsequently appealed these orders. On April 25, 2023, the D.C. Circuit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D.C. Circuit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rehearing in which it modified certain discussion from its September 25, 2023 order and sustained its prior conclusions. Panhandle has timely filed its Petition for Review with the D.C. Circuit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 issued September 9, 2024, FERC addressed arguments raised on rehearing, modified the discussion in the May 28, 2024 order and continued to reach the same result. On September 18, 2024, Panhandle petitioned the D.C. Circuit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 issued a Notice of Denial of Rehearing by Operation of Law and Providing for Further Consideration. On March 24, 2025, Panhandle petitioned the D.C. Circuit for review of the December 5, 2024 and February 3, 2025 orders. On April 4, 2025, the FERC issued an Order on Rehearing and Clarification. On May 16, 2025, Panhandle petitioned the D.C. Circuit for review of the April 4, 2025 order. On May 19, 2025, the D.C. Circuit consolidated all cases before it and placed the consolidated cases in abeyance pending further order of the D.C. Circuit. On August 12, 2025, the D.C. Circuit issued an order returning all cases to the court’s active docket and issued a briefing schedule. Panhandle filed its initial brief on November 10, 2025, FERC filed its brief on February 9, 2026, intervenors filed their brief on February 23, 2026, and Panhandle filed its reply brief on March 16, 2026. Oral argument is scheduled for September 24,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Energy Transfer purchases, processes and sells natural gas pursuant to long-term contracts and enters into long-term transportation and storage agreements. Such contracts contain terms that are customary in the industry. Energy Transfer believes that the terms of these agreements are commercially reasonable and will not have a material adverse effect on the Partnership’s financial position or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certain non-cancelable rights-of-way (“ROW”) commitments which require fixed payments and either expire upon our chosen abandonment or at various dates in the future. The following table reflects ROW expense included in operating expenses in the accompanying consolidated statements of operations:</w:t>
      </w:r>
    </w:p>
    <w:tbl>
      <w:tblPr>
        <w:tblW w:w="5149" w:type="dxa"/>
        <w:jc w:val="left"/>
        <w:tblInd w:w="0" w:type="dxa"/>
        <w:tblLayout w:type="fixed"/>
        <w:tblCellMar>
          <w:top w:w="28" w:type="dxa"/>
          <w:left w:w="28" w:type="dxa"/>
          <w:bottom w:w="28" w:type="dxa"/>
          <w:right w:w="28" w:type="dxa"/>
        </w:tblCellMar>
      </w:tblPr>
      <w:tblGrid>
        <w:gridCol w:w="462"/>
        <w:gridCol w:w="405"/>
        <w:gridCol w:w="408"/>
        <w:gridCol w:w="226"/>
        <w:gridCol w:w="388"/>
        <w:gridCol w:w="117"/>
        <w:gridCol w:w="117"/>
        <w:gridCol w:w="117"/>
        <w:gridCol w:w="117"/>
        <w:gridCol w:w="226"/>
        <w:gridCol w:w="388"/>
        <w:gridCol w:w="117"/>
        <w:gridCol w:w="109"/>
        <w:gridCol w:w="109"/>
        <w:gridCol w:w="109"/>
        <w:gridCol w:w="211"/>
        <w:gridCol w:w="361"/>
        <w:gridCol w:w="109"/>
        <w:gridCol w:w="109"/>
        <w:gridCol w:w="109"/>
        <w:gridCol w:w="109"/>
        <w:gridCol w:w="211"/>
        <w:gridCol w:w="361"/>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Litigation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from time to time, be involved in litigation and claims arising out of our operations in the normal course of business. Due to the flammable and combustible nature of natural gas and crude oil, the potential exists for personal injury and/or property damage to occur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or our subsidiaries are parties to various legal proceedings, arbitrations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accruals of approximately $133 million and $324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$74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contingent loss amounts disclosed above, we are also party to litigation where contingent gains exist. We and our subsidiaries have recently received favorable verdicts in multiple matters, including against Greenpeace International, et al. and CPS Energy, which total approximately $786 million in the aggregate, including any portions allocable to noncontrolling interests. These contingent gains have not been recorded as of June 30, 2026, because the judgment has not yet been received and/or the matter is still appealable.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sections include descriptions of certain matters that could impact the Partnership’s financial position, results of operations and/or cash flows in future periods. The following sections also include updates to certain matters that have previously been disclosed, even if those matters are not anticipated to have a potentially significant impact on future periods. In addition to the matters disclosed in the following sections, the Partnership is also involved in multiple other matters that could impact future periods, including other lawsuits and arbitration related to the Partnership’s commercial agreements. With respect to such matters, contingencies that met both the probable and reasonably estimable criteria have been included in the accruals disclosed above, and the range of additional losses disclosed above also reflects any relevant amounts for such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Dakota Access Pipeline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27, 2016, the Standing Rock Sioux Tribe (“SRST”) filed a lawsuit in the U.S. District Court for the District of Columbia (the “D.C.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D.C. District Court remanded the case back to the USACE for preparation of an Environmental Impact Statement (“EIS”). On July 6, 2020, the D.C. District Court vacated the easement and ordered the Dakota Access Pipeline to be shut down and emptied of oil by August 5, 2020. Dakota Access and the USACE appealed to the United States Court of Appeals for the District of Columbia Circuit (“D.C. Circuit”) which granted an administrative stay of the District Court’s July 6 order and ordered further briefing on whether to fully stay the July 6 order. On August 5, 2020, the D.C. Circuit (1) granted a stay of the portion of the D.C. District Court order that required Dakota Access to shut the pipeline down and empty it of oil, (2) denied a motion to stay the March 25 order pending a decision on the merits by the D.C. Circuit as to whether the USACE would be required to prepare an EIS and (3) denied a motion to stay the D.C. District Court’s order to vacate the easement during this appeal process. The August 5 order also states that the D.C. Circuit expected the USACE to clarify its position with respect to whether the USACE intended to allow the continued operation of the pipeline notwithstanding the vacatur of the easement and that the D.C. District Court may consider additional relief, if necessary.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10, 2020, the D.C.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the USACE and Dakota Access filed briefs in opposition of the motion for injunction. The motion for injunction was fully briefed as of January 8, 2021.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26, 2021, the D.C. Circuit affirmed the D.C. District Court’s March 25, 2020 order requiring an EIS and its July 6, 2020 order vacating the easement. In this same January 26 order, the D.C. Circuit also overturned the D.C. District Court’s July 6, 2020 order that the pipeline shut down and be emptied of oil. Dakota Access filed for rehearing en banc on April 12, 2021, which the D.C. Circuit denied. On September 20, 2021, Dakota Access filed a petition with the United States Supreme Court to hear the case. Oppositions were filed by the Solicitor General on December 17, 2021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Tribes on December 16, 2021. Dakota Access filed its reply on January 4, 2022. On February 22, 2022, the United States Supreme Court declined to hear the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D.C. District Court scheduled a status conference for February 10, 2021 to discuss the effects of the D.C. Circuit’s January 26, 2021 order on the pending motion for injunctive relief, as well as the USACE’s expectations as to how it will proceed regarding its enforcement discretion regarding the easement. On May 3, 2021, the USACE advised the D.C. District Court that it had not changed its position with respect to its opposition to the Tribes’ motion for injunction. On May 21, 2021, the D.C. District Court denied the plaintiffs’ request for an injunction. On June 22, 2021, the D.C. District Court terminated the consolidated lawsuits and dismissed all remaining outstanding counts without prejudice.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8, 2023, the USACE published the Draft EIS. Comments on the Draft EIS were due on December 13, 2023. In December 2025, the USACE issued a Final EIS concluding that the USACE’s preferred alternative is that the USACE reissue its easement to DAPL subject to additional easement conditions. The USACE published the Notice of Availability of the Record of Decision in the federal register on June 5, 2026. The easement has not yet issued, but is expected to issue in the third or fourth quarter of 2026. The pipeline continues to operate. Energy Transfer cannot determine when or how future lawsuits will be resolved or the impact they may have on the Bakken Pipeline; however, Energy Transfer expects that after the law and complete record are fully considered, any such proceeding will be resolved in a manner that will allow the pipeline to continue to operate.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Standing Rock Sioux Tribe in Federal Court in District of Columbia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late 2024, the SRST sued the USACE arguing that the USACE’s alleged failure to stop Dakota Access from operating violates numerous laws, including the Mineral Leasing Act, the Government Acquisition and Streamlining Act, the National Environmental Policy Act, the Clean Water Act, the National Historic Preservation Act, and the Administrative Procedure Act, as well as the 1868 Fort Laramie Treaty. The SRST requests a permanent injunction or writ of mandamus that would compel the USACE to shut Dakota Access down pending the completion of the USACE’s EIS and decision on whether to grant Dakota Access an easement under the Mineral Leasing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2024, the SRST filed the above referenced complaint. A summons to the USACE was issued on October 17, 2024. Dakota Access, the state of North Dakota and numerous other states intervened in the lawsuit in support of the USACE.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17, 2025, the USACE, Dakota Access and state intervenors (including North Dakota and thirteen other states) each filed a motion to dismiss all of the claims in the new SRST litigation. Also, on January 17, 2025, the SRST filed a motion for partial summary judgment on certain of their claims. On March 28, 2025, the D.C. District Court granted the motions to dismiss. On May 27, 2025, the SRST appealed the dismissal to the D.C. Circuit. On June 23, 2026, the D.C. Circuit dismissed this appeal at the request of the SRST. Dakota Access intends to vigorously defend against this claim.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Williams Antitrust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28, 2024, Louisiana Energy Gateway LLC, The Williams Companies, Inc., and Williams Fields Services Group, LLC (collectively, “Williams”) filed a Petition for Damages against Energy Transfer and Gulf Run Transmission, LLC (“Gulf Run”) in the 42nd Judicial District Court, Parish of DeSoto, State of Louisiana (“42nd District Court”), alleging that Energy Transfer and/or Gulf Run have monopolized, conspired to monopolize, and/or attempted to monopolize the relevant product and geographic market for the movement of natural gas from the Haynesville Shale in northwestern Louisiana south to natural gas facilities in the Louisiana Gulf Coast (the “Relevant Market”), engaged in acquisitions that have directly enabled and incentivized to substantially lessen competition, and engaged in unfair methods of competition and unfair trade practices.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16, 2024, Energy Transfer and Gulf Run removed the case to the U.S. District Court for the Western District of Louisiana (“Federal Court”). On October 4, 2024, Williams filed a Motion to Remand with the Federal Court, seeking to remand the case back to the 42nd District Court. On October 21, 2024, Energy Transfer and Gulf Run filed a consent to remand based on a subsequent change in circumstances. After the case was remanded, on November 18, 2024, Energy Transfer and Gulf Run filed a Peremptory Exception of No Cause, asserting that Williams failed to state a cause of action. The Peremptory Exception was heard on February 10, 2025 and denied. The 42nd District Court has set the case for trial on June 21, 2027.</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Mont Belvieu Incident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2016, a hydrocarbon storage well located on another operator’s facility adjacent to Lone Star NGL Mont Belvieu LP’s (“Lone Star,” now known as Energy Transfer Mont Belvieu NGLs LP) facilities in Mont Belvieu, Texas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experienced an over-pressurization resulting in a subsurface release. The subsurface release caused a fire at Lone Star’s South Terminal and damage to Lone Star’s storage well operations at its South and North Terminals. Normal operations resumed at the facilities in the fall of 2016, with the exception of one of Lone Star’s storage wells at the North Terminal that has not been returned to service. Lone Star has obtained payment for most of the losses it has submitted to the adjacent operator. Lone Star continues to quantify and seek reimbursement for outstanding losses.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MTBE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ETC Sunoco and Energy Transfer R&amp;M (collectively, “Sunoco Defendants”) are defendants in lawsuits alleging methyl tertiary butyl ether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Sunoco Defendants are defendants in two cases: one case initiated by the State of Maryland and one by the Commonwealth of Pennsylvania. The actions brought also named ETO, ETP Holdco Corporation and Sunoco Partners Marketing &amp; Terminals L.P., now known as Energy Transfer Marketing &amp; Terminals L.P., as defendants. ETP Holdco Corporation and Energy Transfer Marketing &amp; Terminals L.P. are wholly owned subsidiaries of Energy Transfer.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Unitholder Litigation Regarding Pipeline Construction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Various purported unitholders of Energy Transfer have filed derivative actions against various past and current officers and members of Energy Transfer’s Board of Directors, LE GP, LLC, and Energy Transfer, as a nominal defendant that assert claims for breach of fiduciary duties, unjust enrichment, waste of corporate assets, breach of Energy Transfer’s Partnership Agreement, tortious interference, abuse of control and gross mismanagement related primarily to matters involving the construction of pipelines in Pennsylvania and Ohio. They also seek damages and changes to Energy Transfer’s corporate governance structure. See Bettiol v. LE GP, Case No. 3:19-cv-02890-X (N.D. Tex.); Davidson v. Kelcy L. Warren, Cause No. DC-20-02322 (44th Judicial District of Dallas County, Texas); Harris v. Kelcy L. Warren, Case No. 2:20-cv-00364-GAM (E.D. Pa.); Barry King v. LE GP, Case No. 3:20-cv-00719-X (N.D. Tex.); Inter-Marketing Group USA, Inc. v. LE GP, et al., Case No. 2022-0139-SG (Del. Ch.); Elliot v. LE GP LLC, Case No. 3:22-cv-01527-B (N.D. Tex.); Chapa v. Kelcy L. Warren, et al., Index No. 611307/2022 (N.Y. Sup. Ct.); Elliot v. LE GP et al, Cause No. DC-22-14194 (Dallas County, Tex.); and Charles King v. LE GP, LLC et al, Cause No. DC-22-14159 (Dallas County, Texas). The Barry King action that was filed in the U.S. District Court for the Northern District of Texas (Case No. 3:20-cv-00719-X) has been consolidated with the Bettiol action. On August 9, 2022, the Elliot action that was filed in the U.S. District Court for the Northern District of Texas (Case No. 3:22-cv-01527-B) was voluntarily dismissed. On July 13, 2026, the plaintiffs in the Bettiol action voluntarily dismissed that action without prejudice.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 2022, another purported unitholder of Energy Transfer, Mike Vega, filed suit, purportedly on behalf of a class, against Energy Transfer and Messrs. Warren, Long, McCrea and Whitehurst. See Vega v. Energy Transfer LP et al., Case No. 1:22-cv-4614 (S.D.N.Y.). The action asserts claims for violations of Sections 10(b) and 20(a) of the Exchange Act and Rule 10b-5 promulgated thereunder related primarily to statements made in connection with the construction of Rover. On August 10, 2022, the court appointed the New Mexico State Investment Council and Public Employees Retirement Association of New Mexico (the “New Mexico Funds”) as lead plaintiffs. New Mexico Funds filed an amended complaint on September 30, 2022 and added as additional defendants Energy Transfer directors John W. McReynolds and Matthew S. Ramsey. On November 7, 2022, the court granted the defendants’ motion to transfer and transferred this action to the U.S. District Court for the Northern District of Texas. On January 27, 2023, the defendants filed their motion to dismiss the New Mexico Funds’ amended complaint.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Cline Class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2017, Perry Cline filed a class action complaint in the Eastern District of Oklahoma (the “Eastern District Court”) against Sunoco, Inc. (R&amp;M), (now known as Energy Transfer R&amp;M) and Energy Transfer Marketing &amp; Terminals L.P. (collectively, “ETMT”) that alleged ETMT failed to make timely payments of oil and gas proceeds from Oklahoma wells and to pay statutory interest for those untimely payments. On October 3, 2019, the Eastern District Court certified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After a bench trial, on August 17, 2020, Judge John Gibney (sitting from the Eastern District of Virginia) issued an opinion that awarded the Class actual damages of $75 million for late payment interest for identified and unidentified royalty owners and interest-on-interest. This amount was later amended to $81 million to account for interest accrued from trial (the “Order”). Judge Gibney also awarded punitive damages in the amount of $75 million. The Class is also seeking attorneys’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27, 2020, ETMT filed its Notice of Appeal with the 10th Circuit Court of Appeals (“10th Circuit”) and appealed the entirety of the Order. The matter was fully briefed, and oral argument was set for November 15, 2021. However, on November 1, 2021, the 10th Circuit dismissed the appeal due to jurisdictional concerns with finality of the Order. En banc rehearing of this decision was denied on November 29, 2021. On December 1, 2021, ETMT filed a Petition for Writ of Mandamus to the 10th Circuit to correct the jurisdictional problems and secure final judgment. On February 2, 2022, the 10th Circuit denied the Petition for Writ of Mandamus, citing that there are other avenues for ETMT to obtain adequate relief. On February 10, 2022, ETMT filed a Motion to Modify the Plan of Allocation Order and Issue a Rule 58 Judgment with the trial court, requesting the Eastern District Court to enter a final judgment in compliance with the Rules. ETMT also filed an injunction with the trial court to enjoin all efforts by plaintiffs to execute on any non-final judgment. On March 31, 2022, Judge Gibney denied the Motion to Modify the Plan of Allocation, reiterating his thoughts that the order constitutes a final judgment. Judge Gibney granted the injunction in part (placing a hold on enforcement efforts for 60 days) and denied the injunction in part. The injunction has since been lifted.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the fact that ETMT has taken the position that the judgment is not final and not subject to execution, the Class engaged in asset discovery and actively tried to collect on the judgment through garnishment proceedings from ETMT’s customers. ETMT unsuccessfully tried to deposit the funds into the Eastern District Court’s Registry. Accordingly, to stop the garnishment proceedings, on December 2, 2022, ETMT wired approximately $161 million to the plaintiff’s approved Plan Administrator, which represented at the time the full amount of the judgment with attorneys’ fees and post-judgment interest. ETMT did so without waiving its ability to pursue its pending appeal or its right to appeal the merits of the judgment. Plaintiff has since dismissed the garnishment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ETMT appealed the denial of the Motion to Modify to the 10th Circuit in an attempt to get a decision on finality. The appeal was fully briefed, and oral argument was held on March 21, 2023. On August 3, 2023, the 10th Circuit ruled in favor of ETMT and found that the Eastern District Court’s plan of allocation (which was part of the final judgment) did not satisfy all finality requirements. The 10th Circuit held that the district court abused its discretion in denying ETMT’s Rule 60(b)(6) Motion to Modify and reversed and remanded for further proceedings. The case was sent back to the trial court so that the Eastern District Court could fix the finality requirements with the judgment. Further, ETMT sought and recovered a return of funds deposited with the Plan Administrator; Class Counsel did not oppose this motion.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a status hearing on September 28, 2023, Class Counsel indicated that it would seek additional interest up until the date that the final judgment is entered. The Eastern District Court asked for briefing on the issue of additional interest and held a hearing on October 17, 2023 to address this issue further and enter a ruling as to whether additional interest should be added to the judgment total. During the hearing, the Eastern District Court ruled that additional interest should be awarded at the 12% statutory rate from the date of the prior improper judgment up until October 17, 2023. However, the Judge tolled the running of interest for the time period during which the Plan Administrator was in possession of ETMT’s funds (between November 2, 2022 and October 10, 2023). Based on this ruling, the Class calculated that approximately $23 million in additional interest should be added to the final judgment. On October 19, 2023, the Eastern District Court entered the new final judgment with a corrected Plan of Allocation. Both parties agree that this newly entered judgment fixes the finality concerns and will allow an appeal to the 10th Circuit on the merits. With the inclusion of additional interest, the total amount awarded to the Class is approximately $104 million in actual damages and $75 million in punitive damages. ETMT appealed the entirety of the judgment to the 10th Circuit. Oral argument took place on November 20, 2024. On November 17, 2025, the 10th Circuit issued its opinion, reversing the issue of punitive damages and affirming the remainder of the Eastern District Court’s findings and rulings. Specifically, the 10th Circuit affirmed the Eastern District Court’s orders granting class certification and denying post-trial class decertification, along with the orders determining the actual damages awarded to the Class, including pre-judgment interest. The 10th Circuit, however, vacated the $75 million punitive damages award and remanded to the Eastern District Court to amend the judgment consistent with this opinion.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2026, the Eastern District Court judge entered an amended Rule 58 Judgment Order (the “Amended Judgment”), which removed punitive damages from the judgment. The Amended Judgment awarded plaintiffs $104 million in actual damages. Post-judgment interest will also accrue from the date of the prior October 19,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judgment. The parties have also stipulated that attorneys’ fees for class counsel would total $5 million if the judgment is ultimately affirmed on appeal.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ETMT appealed the February 23, 2026 final judgment to the 10th Circuit, seeking summary affirmance. The 10th Circuit granted summary affirmance on March 30, 2026. On June 26, 2026, ETMT filed its Petition for Writ of Certiorari to the United States Supreme Court, which is still pending at this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25, 2026, the Class filed a Motion to Show Cause and Enforce Security Providers’ Liability Pursuant to Rule 65.1, asking for an order directing payment of the entire amount of the judgment into the fund established by the Judgment Administrator. The Class argued that the supersedeas bond and parent guaranty expired on their terms and that the full amount of the judgment was due, despite the fact that ETMT timely appealed the Amended Judgment. On May 4, 2026, the Court granted the Class’s Motion to Show Cause and directed the security providers to tender the judgment to the Class. As a result, ETMT paid the entirety of the judgment in the amount of $124 million without prejudice to the rights of ETMT to petition to the United States Supreme Court or any of its rights in the event the judgment is reversed or vacated. ETMT’s position is that no distributions should be made from the fund until the Supreme Court rules on the 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ETMT cannot predict the outcome of the case, nor can ETMT predict the amount of time and expense that will be required to resolve the appeal.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Massachusetts Attorney General v. New England Gas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7, 2011, the Massachusetts Attorney General (the “MA AG”) filed a regulatory complaint with the Massachusetts Department of Public Utilities (“DPU”) against New England Gas Company (“NEG”) with respect to certain environmental cost recoveries. NEG was an operating division of Southern Union Company (“SUG”), and the NEG assets were acquired in connection with the merger transaction with Energy Transfer in March 2012. Subsequent to the merger, in 2013, SUG sold the NEG assets to Liberty Utilities (“Liberty,” and together with NEG and SUG, “Respondents”) and retained certain potential liabilities, including the environmental cost recoveries with respect to the pending complaint before the DPU. Specifically, the MA AG seeks a refund to NEG’s ratepayers for approximately $18 million in legal fees associated with SUG environmental response activities. The MA AG requests that the DPU initiate an investigation into NEG’s collection and reconciliation of recoverable environmental costs, namely: (1) the legal fees charged by the Kasowitz, Benson, Torres &amp; Friedman firm and passed through the recovery mechanism since 2005; (2) the legal fees charged by the Bishop, London &amp; Dodds firm and passed through the recovery mechanisms since 2005; and (3) the legal fees passed through the recovery mechanism that the MA AG contends only qualify for a lesser (i.e., 50%) level of recovery. Respondents maintain that, by tariff, these costs are recoverable through rates charged to NEG customers pursuant to the environmental remediation adjustment clause program. After the Respondents answered the complaint and filed a motion to dismiss in 2011, the Hearing Officer deferred decision on the motion to dismiss and issued a stay of discovery pending resolution of a discovery dispute, which it later lifted on June 24, 2013, permitting the case to resume. However, the MA AG failed to take any further steps to prosecute its claims for nearly seven years. The case remained largely dormant until February 2022, when the Hearing Officer denied the motion to dismiss. After receiving input from the parties, the Hearing Officer entered a procedural schedule on March 16, 2022 (which was amended slightly on August 22, 2022). The parties engaged in discovery and the preparation of pre-filed testimony. Respondents submitted their pre-filed testimony on July 11, 2022. The MA AG served three sets of discovery requests on Respondents on September 9, September 12, and September 20, 2022, to which Respondents timely responded. On October 5, 2022, the MA AG requested that the DPU issue a ruling on whether the information that Respondents redacted in their attorneys’ fees invoices is protected by the attorney-client privilege. On the same day, the MA AG also filed a Motion to Stay the Procedural Schedule pending a ruling on the privilege issue. On October 6, 2022, without even affording Respondents the opportunity to respond, the DPU granted the MA AG’s request to stay the procedural schedule. Accordingly, all previous deadlines (including the MA AG’s October 7, 2022, deadline to submit direct pre-filed testimony) are presently stayed. On October 18, 2023, the DPU issued an Order on Attorney General’s Motion to Compel, ruling on issues originally raised in a motion to compel that the MA AG filed in 2013. The October 18, 2023 Order directed NEG to review its redactions again and, to the extent any invoices are completely redacted or heavily redacted, to provide more lightly redacted versions within 30 days. The October 18, 2023 Order also stated that the DPU will set a new procedural schedule in this matter sometime after NEG complies with the directives in the order, which Respondents have completed as of January 17, 2024. On January 6, 2026, the Hearing Officer issued a memo requesting substantive briefing on the merits of the matter. The MA AG filed its initial brief on April 23, 2026. On May 22, 2026, the Hearing Officer granted an assented motion to extend the briefing schedule setting June 5, 2026 as the deadline for the Respondents’ initial brief and concluding all briefing by July 30, 2026. On May 22, 2026, the Hearing Officer granted an assented motion to extend the briefing schedule setting June 22, 2026 as the deadline for the Respondents’ initial brief and concluding all briefing by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Twin Oaks Pipeline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27, 2025, Daniel and Katherine La Hart filed a Class Action Complaint against SPLP, Energy Transfer, and Energy Transfer R&amp;M in the Court of Common Pleas of Philadelphia County, captioned Daniel La Hart and Katherine La Hart v. Sunoco Pipeline L.P., Energy Transfer, and Energy Transfer R&amp;M; Case No. 250303655. The action is related to the release of jet fuel (the “Release”) from the 14-inch Twin-Oaks to Newark Pipeline (the “Pipeline”) in Upper Makefield Township, Bucks County, Pennsylvania. Seven individual actions have also been filed in the Court of Common Pleas of Philadelphia County related to the Release. Plaintiffs in these cases assert causes of action for negligence, gross negligence, negligence per se, strict liability/abnormally dangerous/ultrahazardous activity, strict liability failure to warn, public nuisance, private nuisance, trespass, negligent infliction of emotional distress and medical monitoring. Plaintiffs seek compensatory damages, punitive damages, declaratory and injunctive relief, and medical monitoring for their alleged exposure to petroleum constituents at their properties and in groundwater. The putative class is comprised of homeowners in the surrounding area from September 1, 2023 to present.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25, 2025, Defendants filed their preliminary objections to Plaintiffs’ Amended Complaints which included an objection based on improper venue, and on June 27, 2025, Defendants filed a Motion to Transfer the cases to the Court of Common Pleas of Bucks County, Pennsylvania on the grounds of forum non conveniens. On July 9, 2025, Plaintiffs filed a Motion for Preliminary Injunction in the class action, seeking inter alia, to enjoin the operation of the Pipeline, which Defendants opposed on July 21, 2025. In connection with the venue issues raised by these filings, the Court of Common Pleas ordered certain discovery, followed by amended pleadings and/or supplemental briefing. Following this discovery, Plaintiffs filed the current operative complaints on January 15, 2026, which add multiple additional defendants, including Energy Transfer Marketing &amp; Terminals L.P. as well as other defendants who were allegedly shippers of product on the Pipeline and contractors who allegedly worked on the Pipeline. Plaintiffs in the individual actions filed third amended complaints on March 5, 2026, further amending the inclusion of certain contractor and shipper defendants. The Court of Common Pleas has ordered a schedule which provides for additional venue-related discovery and a determination of 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Shortly after the original class action complaint was filed, SPLP, Energy Transfer, and Energy Transfer R&amp;M removed the class action to the U.S. District Court for the Eastern District of Pennsylvania (the “E.D. Pa.”) on April 24, 2025. On June 13, 2025, the E.D. Pa. granted Plaintiffs’ motion to remand the case to the Court of Common Pleas of Philadelphia County. Defendants have appealed the remand decision. Following the filing of the second amended class action complaint, the newly-added defendants (including Energy Transfer Marketing &amp; Terminals L.P.) removed the class action to E.D. Pa. on February 20, 2026. Plaintiffs moved to remand on March 23, 2026, which Defendants opposed on April 13, 2026. The class action is stayed pending the resolution of the appeal of the remand decision.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SPLP, Energy Transfer, Energy Transfer R&amp;M and Energy Transfer Marketing &amp; Terminals intend to vigorously defend these claims.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State of Oklahoma Attorney General – Winter Storm Uri</w:t>
      </w:r>
    </w:p>
    <w:p>
      <w:pPr>
        <w:pStyle w:val="TextBody"/>
        <w:bidi w:val="0"/>
        <w:spacing w:lineRule="auto" w:line="288" w:before="120" w:after="283"/>
        <w:jc w:val="both"/>
        <w:rPr/>
      </w:pPr>
      <w:r>
        <w:rPr>
          <w:rFonts w:ascii="Times New Roman;serif" w:hAnsi="Times New Roman;serif"/>
          <w:b w:val="false"/>
          <w:color w:val="000000"/>
          <w:sz w:val="20"/>
        </w:rPr>
        <w:t xml:space="preserve">On April 10, 2024, the State of Oklahoma, through Attorney General Gentner Drummond (“Plaintiff”), filed a petition on behalf of Grand River Dam Authority against defendants ET Gathering &amp; Processing, LLC, successor by merger to Enable Midstream Partners, LP, Enable Oklahoma Intrastate Transmission, LLC, Enable Gas Transmission, LLC and Enable Energy Resources, LLC arising out of Winter Storm Uri in February 2021. Specifically, plaintiff alleges that defendants violated the Oklahoma Antitrust Reform Act (79 O.S. §201, </w:t>
      </w:r>
      <w:r>
        <w:rPr>
          <w:rFonts w:ascii="Times New Roman;serif" w:hAnsi="Times New Roman;serif"/>
          <w:b w:val="false"/>
          <w:i/>
          <w:color w:val="000000"/>
          <w:sz w:val="20"/>
        </w:rPr>
        <w:t>et. seq.</w:t>
      </w:r>
      <w:r>
        <w:rPr>
          <w:rFonts w:ascii="Times New Roman;serif" w:hAnsi="Times New Roman;serif"/>
          <w:b w:val="false"/>
          <w:color w:val="000000"/>
          <w:sz w:val="20"/>
        </w:rPr>
        <w:t xml:space="preserve">) by acting individually and in concert with each other to unreasonably restrain trade in the natural gas market in Oklahoma during the storm. Plaintiff also alleges causes of action for breach of contract, unjust enrichment, fraud, bad faith, conspiracy and negligence. Plaintiff’s petition seeks actual damages, punitive damages, treble damages and attorneys’ fees and costs. However, the actual amount sought was not specified.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 2024, defendants filed a Motion to Dismiss and a Motion to Transfer Venue, along with a Brief in Support. In its Motion to Dismiss, defendants argued that plaintiff’s petition fails to state a claim upon which relief can be granted and also that such claims should be dismissed because collateral estoppel bars plaintiff from bringing allegations inconsistent with earlier agency and judicial findings that the extreme cold weather—not defendants’ conduct—caused the natural gas shortage and resulting high prices during Winter Storm Uri. Defendants also argued that plaintiff’s suit should be dismissed for filing suit in the wrong forum or, alternatively, should be transferred to the correct county of venue (Oklahoma County). Plaintiff filed its response brief on July 12, 2024. A hearing on both motions was held on October 15, 2024. On January 16, 2025, the Judge denied all motions, noting (1) that venue is proper in Osage County, Oklahoma; (2) collateral estoppel does not bar recovery; (3) the plaintiffs can plead inconsistent theories of recovery; and (4) the recovery is public in nature and not foreclosed by statute of limitations. The case then proceeded into the discovery phase.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9, 2026, after significant document discovery was conducted between the parties and the deadline for adding new claims passed in the Court’s scheduling order, Plaintiff filed a motion to consolidate this action with two other pending actions, including State of Oklahoma ex rel. Gentner Drummond, Attorney General of Oklahoma vs. Symmetry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Energy Solutions, LLC (Case No. CJ-2024-78) and State of Oklahoma ex rel. Gentner Drummond, Attorney General of Oklahoma vs. Symmetry Energy Solutions, LLC, ETC Marketing Ltd., et. al. (Case No. CJ-2025-06) (discussed below), both also pending in the District Court of Osage County, but which are in vastly different procedural stages with different parties and claims. Plaintiff also filed a motion for leave to amend its petition to assert new causes of action against Enable in the pending suit with the aim to consolidate the new claims with the two other pending actions. Enable opposed both the motion for consolidation and motion for leave to amend.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19, 2026, the Court granted the State of Oklahoma’s Motion to Consolidate the three pending actions. The Court also granted the State’s Motion to Amend its Petition in part, allowing the State the opportunity to amend to add claims under the Oklahoma Antitrust Reform Act, unjust enrichment, and civil conspiracy. However, the Court denied the State the ability to amend to add a claim under the Oklahoma Consumer Protection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29, 2026, the Enable defendants filed a Motion to Dismiss the amended petition filed in the consolidated action based on failure to plead a claim as a matter of law and based on statute of limitations grounds. On May 26, 2026, the Court denied the Motion to Dismiss. The claims against Enable will now move at the pace of the slower docket control order in the other cases. Defendants cannot predict the ultimate outcome of this litigation but will vigorously defend against these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separate matter filed on January 9, 2025, the Plaintiff filed a petition against ETC Marketing Ltd. and ETC Marketing Inc. (collectively, “ETCM”) and other natural gas marketers in Case No. CJ-25-06 in the District Court of Osage County, Oklahoma, arising out of Winter Storm Uri in February 2021. The Oklahoma Attorney General brought this action on behalf of its state agencies, political subdivisions and the people of the State of Oklahoma. Specifically, Plaintiff alleges that the defendants violated the Oklahoma Antitrust Reform Act (79 O.S. §201, et. seq.) by acting individually and in concert with each other to unreasonably restrain trade in the natural gas market in Oklahoma during the storm. Plaintiff also alleges causes of action for unjust enrichment and violation of the Oklahoma Consumer Protection Act. Plaintiff’s petition seeks damages in excess of $75,000, including actual damages, punitive damages, treble damages, and attorneys’ fees and costs. However, the actual amount sought was not specified.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17, 2025, all defendants (including ETCM) jointly filed a motion to dismiss and brief in support. In the joint motion to dismiss, defendants asserted that FERC’s exclusive jurisdiction preempts all the Attorney General’s state-law claims and, alternatively, that the petition does not state a claim under Oklahoma antitrust law. Further, the motion argues that the Oklahoma Consumer Protection Act claims are time-barred and inconsistent with the statute, and that the unjust enrichment claims are barred by Oklahoma law. Finally, the motion alleges that the Attorney General’s unjust enrichment claims fail as a matter of law because defendants sold natural gas pursuant to valid contracts and the individual consumers were not direct purchasers of natural gas from defendants. On August 19, 2025, the court denied the motion without holding oral argument. The case will now proceed into the discovery phase. The above-referenced Enable case filed by the Oklahoma Attorney General will now be consolidated into this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Defendants cannot predict the ultimate outcome of this litigation but will vigorously defend against these claims.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Tax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Ad Valorem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Rover appealed the Ohio Department of Taxation (the “Department”)’s final determination of the 2019 Ohio true value of the Rover pipeline to the Ohio Board of Tax Appeals (the “BTA”) on September 11, 2020. On March 7, 2024, the BTA remanded the matter to the Department to redetermine the Ohio true value of the Rover pipeline consistent with the opinion of the appraiser the Department engaged for purposes of the BTA hearing. Rover appealed the BTA’s order to the Ohio Supreme Court on April 5, 2024, and the court affirmed the BTA’s order on August 13,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Rover timely petitioned the Department's preliminary assessments of its 2020, 2021, 2022, 2023, 2024, and 2025 Ohio true values, and these petitions remain pending. If it becomes probable that the Ohio Tax Commissioner’s preliminary assessments for tax years 2020 through 2025 are ultimately upheld, then Rover would recognize an additional Ohio public utility personal property tax liability for tax years 2020 through 2025 up to approximately $345 million, including interest. Rover intends to pursue all available legal remedies for the 2020 through 2025 tax years, and Rover cannot predict the outcome of these matters at this time.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10, 2025, Rover filed a complaint against the Ohio Tax Commissioner in the Court of Common Pleas, Franklin County, Ohio. Rover is seeking a declaration that the Tax Commissioner’s 2019 valuation approach, if applied to Rover’s subsequent tax years, would violate certain protections afforded to Rover under the U.S. Constitution and the Ohio Constitution. The Tax Commissioner filed a motion to dismiss on December 8, 2025, and the motion was denied on March 24, 2026. This matter remains pending, and Rover cannot predict the outcome of this matter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New York Motor Fuel Excise Tax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York State issued a motor fuel excise tax assessment to Sunoco, LLC, a wholly owned subsidiary of Sunoco LP, in the amount of approximately $20 million, exclusive of penalties and interest, for the periods of March 2017 through May 2020. Sunoco, LLC filed an appeal with the New York State Division of Tax Appeals challenging the assessment. Sunoco, LLC cannot predict the outcome of this matter at this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USAC Federal Income Tax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2026, USAC settled and closed the IRS’ examination of its U.S. federal income tax returns for the years 2019 and 2020.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our results of operations for any single period, we believe that such costs will not have a material adverse effect on our financial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at this time and reviews undertaken to identify potential exposure, we believe the amount reserved for environmental matters is adequate to cover the potential exposure for cleanup costs.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Environmental Remediation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subsidiaries are responsible for environmental remediation at certain sites,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Certain of our interstate pipelines conduct soil and groundwater remediation related to contamination from past uses of polychlorinated biphenyls (“PCBs”). PCB assessments are ongoing and, in some cases, our subsidiaries could be contractually responsible for contamination caused by other parties.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Certain gathering and processing systems are responsible for soil and groundwater remediation related to releases of hydrocarbons.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Legacy sites related to Sunoco, Inc. that are subject to environmental assessments, including formerly owned terminals and other logistics assets, retail sites that the Partnership no longer operates, closed and/or sold refineries and other formerly owned sites.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Partnership is potentially subject to joint and several liability for the costs of remediation at sites at which it has been identified as a potentially responsible party (“PRP”). As of June 30, 2026, the Partnership had been named as a PRP at approximately 29 identified or potentially identifiable “Superfund” sites under federal and/or comparable state law. The Partnership is usually one of a number of companies identified as a PRP at a site. The Partnership has reviewed the nature and extent of its involvement at each site and other relevant circumstances and, based upon the Partnership’s purported nexus to the sites, believes that its potential liability associated with such sites will not be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tbl>
      <w:tblPr>
        <w:tblW w:w="4981" w:type="dxa"/>
        <w:jc w:val="left"/>
        <w:tblInd w:w="0" w:type="dxa"/>
        <w:tblLayout w:type="fixed"/>
        <w:tblCellMar>
          <w:top w:w="28" w:type="dxa"/>
          <w:left w:w="28" w:type="dxa"/>
          <w:bottom w:w="28" w:type="dxa"/>
          <w:right w:w="28" w:type="dxa"/>
        </w:tblCellMar>
      </w:tblPr>
      <w:tblGrid>
        <w:gridCol w:w="941"/>
        <w:gridCol w:w="827"/>
        <w:gridCol w:w="841"/>
        <w:gridCol w:w="211"/>
        <w:gridCol w:w="466"/>
        <w:gridCol w:w="109"/>
        <w:gridCol w:w="109"/>
        <w:gridCol w:w="109"/>
        <w:gridCol w:w="109"/>
        <w:gridCol w:w="320"/>
        <w:gridCol w:w="705"/>
        <w:gridCol w:w="234"/>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environmental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 wholly 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Partnership recorded $7 million and $13 million, respectively, of expenditures related to environmental cleanup programs. During the three and six months ended June 30, 2025, the Partnership recorded $5 million and $7 million, respectively, of expenditures related to environmental cleanup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also subject to the requirements of the Federal Occupational Safety and Health Act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however, there is no assurance that such costs will not be material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11.</w:t>
      </w:r>
      <w:r>
        <w:rPr>
          <w:rFonts w:ascii="Times New Roman;serif" w:hAnsi="Times New Roman;serif"/>
          <w:b/>
          <w:color w:val="000000"/>
          <w:sz w:val="20"/>
          <w:u w:val="single"/>
        </w:rPr>
        <w:t>REVENUE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consolidated financial statements reflect eight reportable segments, which also represent the level at which the Partnership aggregates revenue for disclosure purposes. Note 13 depicts the disaggregation of revenue by segment.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 Balances with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recognizes a contract asset when making upfront consideration payments to certain customers or when providing services to customers prior to the time at which the Partnership is contractually allowed to bill for such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recognizes a contract liability if the customer’s payment of consideration precedes the Partnership’s fulfillment of the performance obligations. Certain contracts contain provisions requiring customers to pay a fixed minimum fee, but allow customers to apply such fees against services to be provided at a future point in time.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consolidated activity of our contract liabilities:</w:t>
      </w:r>
    </w:p>
    <w:tbl>
      <w:tblPr>
        <w:tblW w:w="4184" w:type="dxa"/>
        <w:jc w:val="left"/>
        <w:tblInd w:w="0" w:type="dxa"/>
        <w:tblLayout w:type="fixed"/>
        <w:tblCellMar>
          <w:top w:w="28" w:type="dxa"/>
          <w:left w:w="28" w:type="dxa"/>
          <w:bottom w:w="28" w:type="dxa"/>
          <w:right w:w="28" w:type="dxa"/>
        </w:tblCellMar>
      </w:tblPr>
      <w:tblGrid>
        <w:gridCol w:w="885"/>
        <w:gridCol w:w="778"/>
        <w:gridCol w:w="781"/>
        <w:gridCol w:w="440"/>
        <w:gridCol w:w="975"/>
        <w:gridCol w:w="32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Liabilities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balances of Sunoco LP’s contract assets and contract liabilities were as follows:</w:t>
      </w:r>
    </w:p>
    <w:tbl>
      <w:tblPr>
        <w:tblW w:w="6819" w:type="dxa"/>
        <w:jc w:val="left"/>
        <w:tblInd w:w="0" w:type="dxa"/>
        <w:tblLayout w:type="fixed"/>
        <w:tblCellMar>
          <w:top w:w="28" w:type="dxa"/>
          <w:left w:w="28" w:type="dxa"/>
          <w:bottom w:w="28" w:type="dxa"/>
          <w:right w:w="28" w:type="dxa"/>
        </w:tblCellMar>
      </w:tblPr>
      <w:tblGrid>
        <w:gridCol w:w="1530"/>
        <w:gridCol w:w="1346"/>
        <w:gridCol w:w="1353"/>
        <w:gridCol w:w="211"/>
        <w:gridCol w:w="466"/>
        <w:gridCol w:w="109"/>
        <w:gridCol w:w="109"/>
        <w:gridCol w:w="109"/>
        <w:gridCol w:w="109"/>
        <w:gridCol w:w="325"/>
        <w:gridCol w:w="720"/>
        <w:gridCol w:w="169"/>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contracts with customers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 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components of the contracts are included in the following table.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transaction price allocated to unsatisfied (or partially satisfied) performance obligations was $34.33 billion. The Partnership expects to recognize this amount as revenue within the time bands illustrated in the following table:</w:t>
      </w:r>
    </w:p>
    <w:tbl>
      <w:tblPr>
        <w:tblW w:w="10205" w:type="dxa"/>
        <w:jc w:val="left"/>
        <w:tblInd w:w="0" w:type="dxa"/>
        <w:tblLayout w:type="fixed"/>
        <w:tblCellMar>
          <w:top w:w="28" w:type="dxa"/>
          <w:left w:w="28" w:type="dxa"/>
          <w:bottom w:w="28" w:type="dxa"/>
          <w:right w:w="28" w:type="dxa"/>
        </w:tblCellMar>
      </w:tblPr>
      <w:tblGrid>
        <w:gridCol w:w="1294"/>
        <w:gridCol w:w="1136"/>
        <w:gridCol w:w="1140"/>
        <w:gridCol w:w="109"/>
        <w:gridCol w:w="109"/>
        <w:gridCol w:w="109"/>
        <w:gridCol w:w="225"/>
        <w:gridCol w:w="657"/>
        <w:gridCol w:w="116"/>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7"/>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expected to be recognized on contracts with customers existing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rFonts w:ascii="Times New Roman;serif" w:hAnsi="Times New Roman;serif"/>
          <w:b/>
          <w:color w:val="000000"/>
          <w:sz w:val="20"/>
        </w:rPr>
        <w:t>12.</w:t>
      </w:r>
      <w:r>
        <w:rPr>
          <w:rFonts w:ascii="Times New Roman;serif" w:hAnsi="Times New Roman;serif"/>
          <w:b/>
          <w:color w:val="000000"/>
          <w:sz w:val="20"/>
          <w:u w:val="single"/>
        </w:rPr>
        <w:t>DERIVATIVE ASSETS AND LIABILITIES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futures and basis swaps, designated as fair value hedges, to hedge our natural gas inventory stored in our Bammel storage facility. At hedge inception, we lock in a margin by purchasing gas in the spot market or off-peak season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futures, swaps and options to hedge the sales price of natural gas we retain for fees in our intrastate transportation and storage segment and operational gas sales in our interstate transportation and storage segment.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our outstanding commodity-related derivatives:</w:t>
      </w:r>
    </w:p>
    <w:tbl>
      <w:tblPr>
        <w:tblW w:w="9370" w:type="dxa"/>
        <w:jc w:val="left"/>
        <w:tblInd w:w="0" w:type="dxa"/>
        <w:tblLayout w:type="fixed"/>
        <w:tblCellMar>
          <w:top w:w="28" w:type="dxa"/>
          <w:left w:w="28" w:type="dxa"/>
          <w:bottom w:w="28" w:type="dxa"/>
          <w:right w:w="28" w:type="dxa"/>
        </w:tblCellMar>
      </w:tblPr>
      <w:tblGrid>
        <w:gridCol w:w="1277"/>
        <w:gridCol w:w="1121"/>
        <w:gridCol w:w="1127"/>
        <w:gridCol w:w="523"/>
        <w:gridCol w:w="527"/>
        <w:gridCol w:w="276"/>
        <w:gridCol w:w="138"/>
        <w:gridCol w:w="138"/>
        <w:gridCol w:w="138"/>
        <w:gridCol w:w="334"/>
        <w:gridCol w:w="334"/>
        <w:gridCol w:w="336"/>
        <w:gridCol w:w="109"/>
        <w:gridCol w:w="109"/>
        <w:gridCol w:w="109"/>
        <w:gridCol w:w="449"/>
        <w:gridCol w:w="451"/>
        <w:gridCol w:w="276"/>
        <w:gridCol w:w="183"/>
        <w:gridCol w:w="183"/>
        <w:gridCol w:w="183"/>
        <w:gridCol w:w="307"/>
        <w:gridCol w:w="307"/>
        <w:gridCol w:w="435"/>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Mark-to-Market Derivatives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2026-2028</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(Megawatt)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NGL and refined products (MBbls)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2026-2042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Fair Value Hedging Derivatives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interest rate swaps to lock in the rate on a portion of our anticipated debt issuances.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rate swaps outstanding, none of which were designated as hedges for accounting purposes:</w:t>
      </w:r>
    </w:p>
    <w:tbl>
      <w:tblPr>
        <w:tblW w:w="10147" w:type="dxa"/>
        <w:jc w:val="left"/>
        <w:tblInd w:w="0" w:type="dxa"/>
        <w:tblLayout w:type="fixed"/>
        <w:tblCellMar>
          <w:top w:w="28" w:type="dxa"/>
          <w:left w:w="28" w:type="dxa"/>
          <w:bottom w:w="28" w:type="dxa"/>
          <w:right w:w="28" w:type="dxa"/>
        </w:tblCellMar>
      </w:tblPr>
      <w:tblGrid>
        <w:gridCol w:w="581"/>
        <w:gridCol w:w="507"/>
        <w:gridCol w:w="516"/>
        <w:gridCol w:w="109"/>
        <w:gridCol w:w="109"/>
        <w:gridCol w:w="109"/>
        <w:gridCol w:w="1750"/>
        <w:gridCol w:w="1750"/>
        <w:gridCol w:w="1764"/>
        <w:gridCol w:w="109"/>
        <w:gridCol w:w="109"/>
        <w:gridCol w:w="109"/>
        <w:gridCol w:w="665"/>
        <w:gridCol w:w="1472"/>
        <w:gridCol w:w="488"/>
      </w:tblGrid>
      <w:tr>
        <w:trPr/>
        <w:tc>
          <w:tcPr>
            <w:tcW w:w="58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 xml:space="preserve">Type </w:t>
            </w:r>
            <w:r>
              <w:rPr>
                <w:rFonts w:ascii="Times New Roman;serif" w:hAnsi="Times New Roman;serif"/>
                <w:b w:val="false"/>
                <w:color w:val="000000"/>
                <w:sz w:val="13"/>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 Outstanding</w:t>
            </w:r>
          </w:p>
        </w:tc>
      </w:tr>
      <w:tr>
        <w:trPr/>
        <w:tc>
          <w:tcPr>
            <w:tcW w:w="1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Sunoco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December 2030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 an average fixed rate of 2.5095% and receive a 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Floating rates are based on EURIBOR. </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The December 2030 interest rate swap was acquired in conjunction with Sunoco LP’s TanQuid acquisition in 2026, with a notional amount of €111 million ($126 million).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is deemed current and netted in deposits paid to vendors within other current assets in the consolidated balance sheets.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financial instruments, failure of a counterparty to perform on a contract could result in our inability to realize amounts that have been recorded on our consolidated balance sheets and recognized in net income or other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Derivative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derivative assets and liabilities:</w:t>
      </w:r>
    </w:p>
    <w:tbl>
      <w:tblPr>
        <w:tblW w:w="9702" w:type="dxa"/>
        <w:jc w:val="left"/>
        <w:tblInd w:w="0" w:type="dxa"/>
        <w:tblLayout w:type="fixed"/>
        <w:tblCellMar>
          <w:top w:w="28" w:type="dxa"/>
          <w:left w:w="28" w:type="dxa"/>
          <w:bottom w:w="28" w:type="dxa"/>
          <w:right w:w="28" w:type="dxa"/>
        </w:tblCellMar>
      </w:tblPr>
      <w:tblGrid>
        <w:gridCol w:w="1549"/>
        <w:gridCol w:w="1360"/>
        <w:gridCol w:w="1365"/>
        <w:gridCol w:w="109"/>
        <w:gridCol w:w="109"/>
        <w:gridCol w:w="109"/>
        <w:gridCol w:w="211"/>
        <w:gridCol w:w="466"/>
        <w:gridCol w:w="109"/>
        <w:gridCol w:w="109"/>
        <w:gridCol w:w="109"/>
        <w:gridCol w:w="109"/>
        <w:gridCol w:w="325"/>
        <w:gridCol w:w="720"/>
        <w:gridCol w:w="169"/>
        <w:gridCol w:w="109"/>
        <w:gridCol w:w="109"/>
        <w:gridCol w:w="109"/>
        <w:gridCol w:w="211"/>
        <w:gridCol w:w="541"/>
        <w:gridCol w:w="109"/>
        <w:gridCol w:w="109"/>
        <w:gridCol w:w="109"/>
        <w:gridCol w:w="109"/>
        <w:gridCol w:w="313"/>
        <w:gridCol w:w="716"/>
        <w:gridCol w:w="23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of Derivative Instruments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margin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margin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our recognized derivative assets and liabilities on a gross basis and amounts offset on the consolidated balance sheets that are subject to enforceable master netting arrangements or similar arrangements:</w:t>
      </w:r>
    </w:p>
    <w:tbl>
      <w:tblPr>
        <w:tblW w:w="10205" w:type="dxa"/>
        <w:jc w:val="left"/>
        <w:tblInd w:w="0" w:type="dxa"/>
        <w:tblLayout w:type="fixed"/>
        <w:tblCellMar>
          <w:top w:w="28" w:type="dxa"/>
          <w:left w:w="28" w:type="dxa"/>
          <w:bottom w:w="28" w:type="dxa"/>
          <w:right w:w="28" w:type="dxa"/>
        </w:tblCellMar>
      </w:tblPr>
      <w:tblGrid>
        <w:gridCol w:w="972"/>
        <w:gridCol w:w="852"/>
        <w:gridCol w:w="858"/>
        <w:gridCol w:w="109"/>
        <w:gridCol w:w="109"/>
        <w:gridCol w:w="109"/>
        <w:gridCol w:w="714"/>
        <w:gridCol w:w="674"/>
        <w:gridCol w:w="676"/>
        <w:gridCol w:w="109"/>
        <w:gridCol w:w="109"/>
        <w:gridCol w:w="109"/>
        <w:gridCol w:w="211"/>
        <w:gridCol w:w="466"/>
        <w:gridCol w:w="109"/>
        <w:gridCol w:w="109"/>
        <w:gridCol w:w="109"/>
        <w:gridCol w:w="109"/>
        <w:gridCol w:w="298"/>
        <w:gridCol w:w="660"/>
        <w:gridCol w:w="155"/>
        <w:gridCol w:w="109"/>
        <w:gridCol w:w="109"/>
        <w:gridCol w:w="109"/>
        <w:gridCol w:w="214"/>
        <w:gridCol w:w="435"/>
        <w:gridCol w:w="110"/>
        <w:gridCol w:w="109"/>
        <w:gridCol w:w="109"/>
        <w:gridCol w:w="109"/>
        <w:gridCol w:w="315"/>
        <w:gridCol w:w="610"/>
        <w:gridCol w:w="24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Derivatives</w:t>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C2C2C"/>
                <w:sz w:val="20"/>
              </w:rPr>
            </w:pPr>
            <w:r>
              <w:rPr>
                <w:rFonts w:ascii="Times New Roman;serif" w:hAnsi="Times New Roman;serif"/>
                <w:b w:val="false"/>
                <w:color w:val="2C2C2C"/>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C2C2C"/>
                <w:sz w:val="20"/>
              </w:rPr>
            </w:pPr>
            <w:r>
              <w:rPr>
                <w:rFonts w:ascii="Times New Roman;serif" w:hAnsi="Times New Roman;serif"/>
                <w:b w:val="false"/>
                <w:color w:val="2C2C2C"/>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without offsetting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in offsetting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OTC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Broker cleared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gross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Offsetting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Counterparty netting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Counterparty netting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net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disclose the non-exchange traded financial derivative instruments as derivative assets and liabilities on our consolidated balance sheets at fair value with amounts classified as either current or long-term depending on the anticipated settlement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and amounts recognized in our consolidated statements of operations with respect to our derivative financial instruments:</w:t>
      </w:r>
    </w:p>
    <w:tbl>
      <w:tblPr>
        <w:tblW w:w="10205" w:type="dxa"/>
        <w:jc w:val="left"/>
        <w:tblInd w:w="0" w:type="dxa"/>
        <w:tblLayout w:type="fixed"/>
        <w:tblCellMar>
          <w:top w:w="28" w:type="dxa"/>
          <w:left w:w="28" w:type="dxa"/>
          <w:bottom w:w="28" w:type="dxa"/>
          <w:right w:w="28" w:type="dxa"/>
        </w:tblCellMar>
      </w:tblPr>
      <w:tblGrid>
        <w:gridCol w:w="972"/>
        <w:gridCol w:w="749"/>
        <w:gridCol w:w="752"/>
        <w:gridCol w:w="942"/>
        <w:gridCol w:w="942"/>
        <w:gridCol w:w="945"/>
        <w:gridCol w:w="109"/>
        <w:gridCol w:w="109"/>
        <w:gridCol w:w="109"/>
        <w:gridCol w:w="229"/>
        <w:gridCol w:w="506"/>
        <w:gridCol w:w="118"/>
        <w:gridCol w:w="118"/>
        <w:gridCol w:w="118"/>
        <w:gridCol w:w="118"/>
        <w:gridCol w:w="229"/>
        <w:gridCol w:w="506"/>
        <w:gridCol w:w="118"/>
        <w:gridCol w:w="118"/>
        <w:gridCol w:w="118"/>
        <w:gridCol w:w="118"/>
        <w:gridCol w:w="229"/>
        <w:gridCol w:w="554"/>
        <w:gridCol w:w="118"/>
        <w:gridCol w:w="118"/>
        <w:gridCol w:w="118"/>
        <w:gridCol w:w="118"/>
        <w:gridCol w:w="229"/>
        <w:gridCol w:w="506"/>
        <w:gridCol w:w="172"/>
      </w:tblGrid>
      <w:tr>
        <w:trPr/>
        <w:tc>
          <w:tcPr>
            <w:tcW w:w="9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Recognized on Income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on Derivatives</w:t>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13.</w:t>
      </w:r>
      <w:r>
        <w:rPr>
          <w:rFonts w:ascii="Times New Roman;serif" w:hAnsi="Times New Roman;serif"/>
          <w:b/>
          <w:color w:val="000000"/>
          <w:sz w:val="20"/>
          <w:u w:val="single"/>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reportable segments, which conduct their business primarily in the United States,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intrastate transportation and storage;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interstate transportation and storage;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midstream;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NGL and refined products transportation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crude oil transportation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in Sunoco LP;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in USAC;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Consolidated revenues and expenses reflect the elimination of all material intercompany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primarily reflected in crude sales. Revenues from our investment in Sunoco LP segment are primarily reflected in refined product sales and in gathering, transportation and other fees. Revenues from our investment in USAC segment are primarily reflected in gathering, transportation and other fees. Revenues from our all other segment are primarily reflected in natural gas sales and gathering, transportation and other fees. Revenues from our all other segment are primarily reflected in natural gas sales.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report Segment Adjusted EBITDA (defined below) as the measure of segment performance reviewed by our chief operating decision maker (“CODM”). The role of the CODM is held by the Partnership’s co-chief executive officers (“co-CEOs”). Both of the co-CEOs fulfill specific functions that impact the allocation of resources and assessment of performance among our reportable segments, including the approval of budgets and the evaluation of growth projects and acquisitions. The Partnership’s co-CEOs receive and review the same information with respect to the Partnership’s segment 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co-CEOs use Segment Adjusted EBITDA to allocate resources (including employees, property, and financial or capital resources) for each segment predominantly in the annual budget and forecasting process. The co-CEOs also use Segment Adjusted EBITDA to assess the performance for each segment and in the compensation of certain employees. The co-CEOs consider forecast-to-actual variances on a monthly basis when making decisions about allocating capital and personnel to the segments. Assets by segment are not a measure used to assess our performance by the co-CEOs and thus are not reported in our disclosures.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inventory valuation adjustments, non-cash impairment charges, losses on extinguishments of debt, certain foreign currency transaction gains and losses and other non-operating income or expense items, as well as certain non-recurring gains and losses. Inventory valuation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tbl>
      <w:tblPr>
        <w:tblW w:w="9690" w:type="dxa"/>
        <w:jc w:val="left"/>
        <w:tblInd w:w="0" w:type="dxa"/>
        <w:tblLayout w:type="fixed"/>
        <w:tblCellMar>
          <w:top w:w="28" w:type="dxa"/>
          <w:left w:w="28" w:type="dxa"/>
          <w:bottom w:w="28" w:type="dxa"/>
          <w:right w:w="28" w:type="dxa"/>
        </w:tblCellMar>
      </w:tblPr>
      <w:tblGrid>
        <w:gridCol w:w="1631"/>
        <w:gridCol w:w="1427"/>
        <w:gridCol w:w="144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tbl>
      <w:tblPr>
        <w:tblW w:w="9629" w:type="dxa"/>
        <w:jc w:val="left"/>
        <w:tblInd w:w="0" w:type="dxa"/>
        <w:tblLayout w:type="fixed"/>
        <w:tblCellMar>
          <w:top w:w="28" w:type="dxa"/>
          <w:left w:w="28" w:type="dxa"/>
          <w:bottom w:w="28" w:type="dxa"/>
          <w:right w:w="28" w:type="dxa"/>
        </w:tblCellMar>
      </w:tblPr>
      <w:tblGrid>
        <w:gridCol w:w="1606"/>
        <w:gridCol w:w="1413"/>
        <w:gridCol w:w="14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8"/>
        <w:gridCol w:w="1731"/>
        <w:gridCol w:w="173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amortization, accretion and other non-cash expenses: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09" w:type="dxa"/>
        <w:jc w:val="left"/>
        <w:tblInd w:w="0" w:type="dxa"/>
        <w:tblLayout w:type="fixed"/>
        <w:tblCellMar>
          <w:top w:w="28" w:type="dxa"/>
          <w:left w:w="28" w:type="dxa"/>
          <w:bottom w:w="28" w:type="dxa"/>
          <w:right w:w="28" w:type="dxa"/>
        </w:tblCellMar>
      </w:tblPr>
      <w:tblGrid>
        <w:gridCol w:w="1606"/>
        <w:gridCol w:w="1413"/>
        <w:gridCol w:w="142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7"/>
        <w:gridCol w:w="1921"/>
        <w:gridCol w:w="1926"/>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8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and accretion expenses: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09" w:type="dxa"/>
        <w:jc w:val="left"/>
        <w:tblInd w:w="0" w:type="dxa"/>
        <w:tblLayout w:type="fixed"/>
        <w:tblCellMar>
          <w:top w:w="28" w:type="dxa"/>
          <w:left w:w="28" w:type="dxa"/>
          <w:bottom w:w="28" w:type="dxa"/>
          <w:right w:w="28" w:type="dxa"/>
        </w:tblCellMar>
      </w:tblPr>
      <w:tblGrid>
        <w:gridCol w:w="1608"/>
        <w:gridCol w:w="1412"/>
        <w:gridCol w:w="141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Equity in earnings of unconsolidated affiliates </w:t>
            </w:r>
            <w:r>
              <w:rPr>
                <w:rFonts w:ascii="Times New Roman;serif" w:hAnsi="Times New Roman;serif"/>
                <w:b w:val="false"/>
                <w:color w:val="000000"/>
                <w:sz w:val="13"/>
              </w:rPr>
              <w:t xml:space="preserve">(1) </w:t>
            </w:r>
            <w:r>
              <w:rPr>
                <w:rFonts w:ascii="Times New Roman;serif" w:hAnsi="Times New Roman;serif"/>
                <w:b w:val="false"/>
                <w:color w:val="000000"/>
                <w:sz w:val="20"/>
              </w:rPr>
              <w:t>:</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reflected above exclude Sunoco LP’s earnings from the ET-S Permian and J.C. Nolan joint ventures, which are eliminated in consolidation.</w:t>
      </w:r>
    </w:p>
    <w:tbl>
      <w:tblPr>
        <w:tblW w:w="8684" w:type="dxa"/>
        <w:jc w:val="left"/>
        <w:tblInd w:w="0" w:type="dxa"/>
        <w:tblLayout w:type="fixed"/>
        <w:tblCellMar>
          <w:top w:w="28" w:type="dxa"/>
          <w:left w:w="28" w:type="dxa"/>
          <w:bottom w:w="28" w:type="dxa"/>
          <w:right w:w="28" w:type="dxa"/>
        </w:tblCellMar>
      </w:tblPr>
      <w:tblGrid>
        <w:gridCol w:w="1607"/>
        <w:gridCol w:w="1409"/>
        <w:gridCol w:w="1423"/>
        <w:gridCol w:w="211"/>
        <w:gridCol w:w="54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income (expense) </w:t>
            </w:r>
            <w:r>
              <w:rPr>
                <w:rFonts w:ascii="Times New Roman;serif" w:hAnsi="Times New Roman;serif"/>
                <w:b w:val="false"/>
                <w:color w:val="000000"/>
                <w:sz w:val="13"/>
              </w:rPr>
              <w:t xml:space="preserve">(1) </w:t>
            </w:r>
            <w:r>
              <w:rPr>
                <w:rFonts w:ascii="Times New Roman;serif" w:hAnsi="Times New Roman;serif"/>
                <w:b w:val="false"/>
                <w:color w:val="000000"/>
                <w:sz w:val="20"/>
              </w:rPr>
              <w:t>:</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Other income and expense include, if applicable to a segment, Adjusted EBITDA related to unconsolidated affiliates, unrealized gains and losses on commodity risk management activities and other items. For the investment in Sunoco LP segment, this also includes inventory valuation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tbl>
      <w:tblPr>
        <w:tblW w:w="9210" w:type="dxa"/>
        <w:jc w:val="left"/>
        <w:tblInd w:w="0" w:type="dxa"/>
        <w:tblLayout w:type="fixed"/>
        <w:tblCellMar>
          <w:top w:w="28" w:type="dxa"/>
          <w:left w:w="28" w:type="dxa"/>
          <w:bottom w:w="28" w:type="dxa"/>
          <w:right w:w="28" w:type="dxa"/>
        </w:tblCellMar>
      </w:tblPr>
      <w:tblGrid>
        <w:gridCol w:w="1610"/>
        <w:gridCol w:w="1412"/>
        <w:gridCol w:w="141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Additions to property, plant and equipment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are presented on the accrual basis, net of contributions in aid of constructions costs. Amounts exclude acquisitions and include only the Partnership’s proportionate share of capital expenditures related to joint ventures.</w:t>
      </w:r>
    </w:p>
    <w:tbl>
      <w:tblPr>
        <w:tblW w:w="6962" w:type="dxa"/>
        <w:jc w:val="left"/>
        <w:tblInd w:w="0" w:type="dxa"/>
        <w:tblLayout w:type="fixed"/>
        <w:tblCellMar>
          <w:top w:w="28" w:type="dxa"/>
          <w:left w:w="28" w:type="dxa"/>
          <w:bottom w:w="28" w:type="dxa"/>
          <w:right w:w="28" w:type="dxa"/>
        </w:tblCellMar>
      </w:tblPr>
      <w:tblGrid>
        <w:gridCol w:w="1609"/>
        <w:gridCol w:w="1412"/>
        <w:gridCol w:w="1419"/>
        <w:gridCol w:w="211"/>
        <w:gridCol w:w="616"/>
        <w:gridCol w:w="109"/>
        <w:gridCol w:w="109"/>
        <w:gridCol w:w="109"/>
        <w:gridCol w:w="109"/>
        <w:gridCol w:w="271"/>
        <w:gridCol w:w="791"/>
        <w:gridCol w:w="197"/>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Investments in unconsolidated affiliates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reflected above exclude Sunoco LP’s investments in the ET-S Permian and J.C. Nolan joint ventures, which are eliminated in consolidation.</w:t>
      </w:r>
    </w:p>
    <w:tbl>
      <w:tblPr>
        <w:tblW w:w="9314" w:type="dxa"/>
        <w:jc w:val="left"/>
        <w:tblInd w:w="0" w:type="dxa"/>
        <w:tblLayout w:type="fixed"/>
        <w:tblCellMar>
          <w:top w:w="28" w:type="dxa"/>
          <w:left w:w="28" w:type="dxa"/>
          <w:bottom w:w="28" w:type="dxa"/>
          <w:right w:w="28" w:type="dxa"/>
        </w:tblCellMar>
      </w:tblPr>
      <w:tblGrid>
        <w:gridCol w:w="1607"/>
        <w:gridCol w:w="1411"/>
        <w:gridCol w:w="142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36"/>
        <w:gridCol w:w="1693"/>
        <w:gridCol w:w="170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5"/>
      </w:tblGrid>
      <w:tr>
        <w:trPr/>
        <w:tc>
          <w:tcPr>
            <w:tcW w:w="193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Adjusted EBITDA: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commodity risk management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 and unit amounts, except per unit data, are in millions)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historical consolidated financial condition and results of operations, and should be read in conjunction with (i) our historical consolidated financial statements and accompanying notes thereto included elsewhere in this Quarterly Report on Form 10-Q; and (ii) the consolidated financial statements and management’s discussion and analysis of financial condition and results of operations included in the Partnership’s Annual Report on Form 10-K for the year ended December 31, 2025 filed with the SEC on February 19, 2026. This discussion includes forward-looking statements that are subject to risk and uncertainties. Actual results may differ substantially from the statements we make in this section due to a number of factors that are discussed in “Part I – Item 1A. Risk Factors” of our Annual Report on Form 10-K for the year ended December 31, 2025 filed with the SEC on February 19, 2026. Additional information on forward-looking statements is discussed in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“we,” “us,” “our,” the “Partnership” and “Energy Transfer” mean Energy Transfer LP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TanQuid Acquisition by Sunoco 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16, 2026, Sunoco LP completed the acquisition of TanQuid for €206 million ($239 million) and assumed debt with a fair value of €298 million ($346 million). TanQuid owns and operates 15 fuel terminals in Germany and one fuel terminal in Poland. The transaction was funded using cash on hand and amounts available under Sunoco LP’s credit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Delta Acquisition by Sunoco 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 2026, Sunoco LP completed the acquisition of Delta Petroleum Group (BVI) Limited (“Delta”) for approximately $81 million, excluding cash and net working capital. Delta owns and operates terminals and fuel distribution assets across five Caribbean markets. The transaction was funded using cash on hand and amounts available under Sunoco LP's credit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Sunoco LP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and second quarters of 2026, Sunoco LP completed other acquisitions for total cash consideration of approximately $50 million and $22 million, respectively, plus working capital. These transactions were accounted for as asset acquisitions.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5, 2026, Sunoco LP entered into a definitive agreement to acquire a U.S.-based fuel distribution network in an all-cash transaction valued at approximately $600 million. The transaction is expected to close in the fourth quarter of 2026, subject to customary closing conditions.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J-W Power Company Acquisition by USAC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12, 2026, USAC completed the acquisition of J-W Energy Company (“J-W Energy”) and its subsidiary, J-W Power Company (“J-W Power”), a large privately-held provider of compression services in the United States. USAC purchased all of the issued and outstanding capital stock of J-W Energy from Westerman, Ltd. (the “J-W Power Acquisition”). USAC completed the acquisition for total consideration of approximately $912 million, subject to customary purchase price adjustments, consisting of (i) approximately $455 million in cash and (ii) approximately 18.2 million newly issued USAC common units, which had a fair value on the J-W Power Acquisition date of approximately $457 million, subject to customary post-closing price adjustments. Upon consummation of the J-W Power Acquisition, J-W Power and J-W Energy became consolidated subsidiaries of USAC.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J-W Power Acquisition added approximately 0.8 million active horsepower and 1.0 million total horsepower to USAC’s fleet across key regions including the Northeast, Mid-Con, Rockies, Gulf Coast, Bakken and Permian Basin. J</w:t>
        <w:noBreakHyphen/>
        <w:t>W Power also owns and operates specialized manufacturing facilities that support its internal compression requirements and those of third</w:t>
        <w:noBreakHyphen/>
        <w:t>party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Quarterly Cash Distribution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2026, Energy Transfer announced a quarterly distribution of $0.3400 per unit ($1.36 annualized) on Energy Transfer common units for the quarter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Regulatory Update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Interstate Natural Gas Transportation Regulation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Rate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without application of the FERC’s ratemaking-related policy statements and rulemakings, the FERC or our shippers may challenge the cost-of-service rates we charge. The FERC’s establishment of a just and reasonable rate is based on many components, including return on equity and tax-related components, but also other pipeline costs that will continue to affect FERC’s determination of just and reasonable cost-of-service rates. Moreover, we receive revenues from our pipelines based on a variety of rate structures, including cost-of-service rates, negotiated rates, discounted rates and market-based rates. Many of our interstate pipelines, such as Tiger Pipeline, Midcontinent Express Pipeline and Fayetteville Express Pipeline, have negotiated market rates that were agreed to by customers in connection with long-term contracts entered into to support the construction of the pipelines. Other systems, such as Florida Gas Transmission Pipeline,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2018, the FERC issued a final rule establishing procedures to evaluate rates charged by the FERC-jurisdictional gas pipelines in light of the Tax Act and the FERC’s Revised Policy Statement. By an order issued on January 16, 2019, the FERC initiated a review of Panhandle’s then-existing rates pursuant to Section 5 of the NGA to determine whether the rates charged by Panhandle are just and reasonable and set the matter for hearing. On August 30, 2019, Panhandle filed a general rate proceeding under Section 4 of the NGA. The NGA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D.C. Circuit, and the Michigan Public Service Commission also subsequently appealed these orders. On April 25, 2023, the D.C. Circuit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D.C. Circuit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D.C. Circuit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 issued September 9, 2024, FERC addressed arguments raised on rehearing, modified the discussion in the May 28, 2024 order and continued to reach the same result. On September 18, 2024, Panhandle petitioned the D.C. Circuit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 issued a Notice of Denial of Rehearing by Operation of Law and Providing for Further Consideration. On March 24, 2025, Panhandle petitioned the D.C. Circuit for review of the December 5, 2024 and February 3, 2025 orders. On April 4, 2025, the FERC issued an Order on Rehearing and Clarification. On May 16, 2025, Panhandle petitioned the D.C. Circuit for review of the April 4, 2025 order. On May 19, 2025, the D.C. Circuit consolidated all cases before it and placed the consolidated cases in abeyance pending further order of the D.C. Circuit. On August 12, 2025, the D.C. Circuit issued an order returning all cases to the court’s active docket and issued a briefing schedule. Panhandle filed its initial brief on November 10, 2025, FERC filed its brief on February 9, 2026, intervenors filed their brief on February 23, 2026, and Panhandle filed its reply brief on March 16, 2026. Oral argument is scheduled for September 24, 2026.</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Pipeline Certification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FERC issued a Notice of Inquiry (“NOI”) on April 19, 2018,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On February 18, 2021, the FERC issued another NOI (“2021 NOI”), reopening its review of the 1999 Policy Statement. Comments on the 2021 NOI were due on May 26, 2021; we filed comments in the FERC proceeding. In September 2021, FERC issued a Notice of Technical Conference on Greenhouse Gas Mitigation related to natural gas infrastructure projects authorized under Sections 3 and 7 of the Natural Gas Act of 1938. A technical conference was held on November 19, 2021, and post-technical conference comments were submitted to the FERC on January 7, 2022.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the FERC issued two new policy statements: (1) an Updated Policy Statement on the Certification of New Interstate Natural Gas Facilities (“2022 Certificate Policy Statement”) and (2) a Policy Statement on the Consideration of Greenhouse Gas Emissions in Natural Gas Infrastructure Project Reviews (“GHG Policy Statement”), to be effective that same day. On March 24, 2022, the FERC issued an order designating the 2022 Certificate Policy Statement and the GHG Policy Statement as draft policy statements, and requested further comments. The FERC stated that it will not apply the now draft policy statements to pending applications or applications to be filed at FERC until it issues any final guidance on these topics. Comments on the 2022 Certificate Policy Statement and GHG Policy Statement were due on April 25, 2022, and reply comments were due on May 25, 2022. On January 24, 2025, the FERC issued an order withdrawing the draft GHG Policy Statement and terminating the proceeding. On September 12, 2025, the FERC issued an order withdrawing the draft 2022 Certificate Policy Statement and terminating the proceeding.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Interstate Common Carrier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Liquids pipelines transporting in interstate commerce are regulated by FERC as common carriers under the Interstate Commerce Act (“ICA”). Under the ICA, 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2020, FERC issued an order setting the indexed rate at the Producer Price Index for Finished Goods (PPI-FG) plus 0.78% during the five-year period commencing July 1, 2021 and ending June 30, 2026. The FERC received requests for rehearing of its December 17, 2020 order and on January 20, 2022, granted rehearing and modified the oil index. Specifically, for the five-year period commencing July 1, 2021 and ending June 30, 2026, FERC-regulated liquids pipelines charging indexed rates were permitted to adjust their indexed ceilings annually by PPI-FG minus 0.21%. FERC directed liquids pipelines to recompute their ceiling levels for July 1, 2021 through June 30, 2022, as well as the ceiling levels for the period July 1, 2022 through June 30, 2023, based on the new index level. Where an oil pipeline’s filed rates exceeded its ceiling levels, FERC ordered such oil pipelines to reduce the rate to bring it into compliance with the recomputed ceiling level to be effective March 1, 2022. Some parties sought rehearing of the January 20, 2022 order with FERC, which was denied by FERC on May 6, 2022. Certain parties appealed the January 20 and May 6 orders. On July 26, 2024, the D.C. Circuit ruled in LEPA v. FERC that FERC violated the Administrative Procedure Act because the January 20, 2022 order modified the index without following notice and comment. As a result, the D.C. Circuit vacated the January 20, 2022 order and on September 17, 2024, the Commission reinstated the index level established by its original December 17, 2020 order, directed pipelines to file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informational filing to show their recomputed ceiling levels reflecting the reinstated index level and stated that pipelines could file to prospectively increase their indexed rates to their recomputed levels. On October 17, 2024, FERC issued a Supplemental Notice of Proposed Rulemaking (“Supplemental NOPR”) that proposed a reduction to the then- effective index by one percent.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20, 2025, FERC withdrew the Supplemental NOPR and confirmed that the PPI-FG-0.78% index established in its December 17, 2020 order will remain in effect through June 30, 2026. On the same day, FERC issued an Order Denying Rehearing of the Reinstatement Order and Granting Remedial Relief (“Remedial Relief Order”), which granted remedial relief to liquids pipelines for the period of March 1, 2022 to September 17, 2024 (the “Locked-In Period”), when the lower index was effective under the order vacated by the D.C. Circuit in LEPA v. FERC, but only if such pipelines charged the maximum rate allowed under the applicable index ceiling during the relevant time period. Parties have since filed requests for clarification or rehearing, as well as court appeals, to determine whether pipelines may recover rate differences in other scenarios. Those requests and appeals remain pending.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Also on November 20, 2025, the FERC issued a Notice of Proposed Rulemaking on the 2026 Five-Year Oil Pipeline Index (“2026 Index NOPR”), proposing to use the Producer Price Index for Finished Goods (PPI-FG) minus 1.42% as the index level beginning July 1, 2026 to June 30, 2031. The NOPR proceeded through the standard notice-and-comment process, with comments submitted in late 2025 and early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18, 2025, the Commission issued an Order Denying Petition for Emergency Relief (“Emergency Relief Order Denial”), which denied a petition requesting emergency relief from invoices issued by a liquid pipeline company to recover amounts of indexed rates for the Locked-In Period and explained that, consistent with the Remedial Relief Order, pipelines that charged the maximum rates permitted under the Commission’s now-vacated January 20, 2022 rehearing order during the Locked-In Period may invoice shippers to recover the amounts that would have been chargeable under the December 17, 2020 order.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multiple shippers have filed petitions for review at the D.C. Circuit challenging FERC’s November 20, 2025 orders, including, the (i) Remedial Relief Order, (ii) Order Terminating Supplemental NOPR, and (iii) Emergency Relief Order Denial. These appeals are pending.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24, 2026, the FERC issued an order setting the indexed rate at PPI-FG minus 0.55% during the five-year period commencing July 1, 2026 through June 30, 2031 (“Index Order”). Following issuance of the final rule on April 24, 2026, shippers and other parties filed petitions for review with the D.C. Circuit challenging the Index Order. Those petitions are pending.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Separately, on December 15, 2022, the FERC had issued a Proposed Policy Statement on Oil Pipeline Affiliate Committed Service, which addressed whether a contract for committed transportation service complies with the ICA where the only shipper to obtain the committed service is an affiliate of the regulated entity. The proposed policy statement would have created a rebuttable presumption that affiliate contracts are unduly discriminatory and not just and reasonable in certain circumstances and required a pipeline to produce additional evidentiary support for affiliate contracts rates and terms. On February 19, 2026, the FERC withdrew the proposed policy statement on the basis that the record contained insufficient evidence of discriminatory open season terms and conditions to merit an industry-wide policy statement. FERC noted, however, that it would continue to address issues related to affiliated-only committed service in individual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21, 2026, the FERC issued a notice of proposed rulemaking to revise its blanket certificate regulations to expand the scope and scale of projects that interstate natural gas pipelines may construct without a case-specific authorization order and to increase the cost limits for such projects, among other changes.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Air Quality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2023, the EPA finalized its Good Neighbor Plan (the “Plan”) which seeks to reduce nitrogen oxide pollution from power plants and other industrial facilities from 23 upwind states which the EPA determined is contributing to National Ambient Air Quality Standards (NAAQS) nonattainment and interfering with maintenance of the 2015 ozone NAAQS in downwind states. As part of the Plan, the EPA announced that it would be issuing prescriptive emission standards for several sectors, including certain new and existing internal combustion engines of a certain size used in pipeline transportation of natural gas. The EPA’s final rule was to become effective on August 4, 2023, and the prescribed emission standards were scheduled to be effective in 2026. However, on March 12, 2025, the EPA announced plans to end the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Operators and industry groups have challenged the Plan in the D.C. Circuit, as well as the legal predicates to the individual upwind states’ inclusion in the Plan in the regional circuits. The effectiveness of the rule is currently stayed in the nine states within the Partnership’s footprint, by nature of judicial stays of the legal predicate to the Plan, by judicial stay of the Plan itself by the United States Supreme Court, or by the administrative stay issued by the EPA in October 2024. On June 18, 2025, the United States Supreme Court ruled that the regional circuits are the appropriate venue for the proceedings. On July 30, 2025, the Court of Appeals for the Tenth Circuit placed the case in abeyance pending the EPA’s reconsideration of its disapproval of upwind states’ state implementation plans addressing their Plan obligations. Proceedings challenging the Plan in the D.C.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Circuit were also placed in abeyance on May 2, 2025 pending the EPA’s reconsideration of the Plan. The EPA is preparing a proposed rulemaking as part of the reconsideration process, and on January 27, 2026, the EPA announced its proposal to approve state implementation plans for eight states, including those in which we operate, which would resolve those states’ obligations under the Good Neighbor Plan. We cannot predict with any certainty the substance of any later proposed rule or the potential impacts on the Partnership.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April 4, 2026, the EPA published a final rule finalizing revisions to certain aspects of Subparts OOOOb/OOOOc under the Clean Air Act that provide greater flexibility in venting and flaring from oil and gas operations. The EPA continues to develop proposals to revise other aspects of Subparts OOOOb/OOOOc.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currently estimates that the existing final rule regarding the Plan would require retrofitting or replacement of approximately 192 engines in its interstate and intrastate natural gas transportation and storage operations. The Partnership is involved in challenging application of the Plan in the nine states impacted within its footprint. Compliance with the Plan (if implementation is not stayed or otherwise delayed) will still require substantial capital expenditures which could adversely affect our business in future periods. However, at this time, we are still assessing the potential costs of this rule and, given uncertainties resulting from the multiple legal challenges filed against the Plan in various states, in the D.C. Circuit and the United States Supreme Court, we cannot predict with any certainty what the final costs of compliance for the Plan for the Partnership ultimately may be.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OECD Pillar Two Global Minimum Tax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of Parkland brings the Partnership into scope for Pillar Two global minimum tax. Several jurisdictions in which we now operate have enacted legislation implementing the Organization for Economic Co-operation and Development ("OECD") Pillar Two global minimum tax framework. These rules generally impose a 15% minimum top-up tax on the profits of large multinational enterprises. Sunoco LP estimates its Pillar Two global minimum tax expense to be immaterial in 2026 and has not accrued any current tax expense related to Pillar Two during the six months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OECD released new guidance that provides relief for U.S. parented multinationals and establishes a side-by-side framework for the U.S. tax system to coexist with Pillar Two global minimum tax. Effective for fiscal years beginning on or after January 1, 2026, U.S. parented multinationals would be exempt from the main charging provisions of Pillar Two. Sunoco LP will continue to estimate and potentially accrue Pillar Two global minimum tax until the relevant jurisdictions in which Sunoco LP operates enact the side-by-side framework into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valuation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as reported for each segment in the following table,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Results</w:t>
      </w:r>
    </w:p>
    <w:tbl>
      <w:tblPr>
        <w:tblW w:w="10205" w:type="dxa"/>
        <w:jc w:val="left"/>
        <w:tblInd w:w="0" w:type="dxa"/>
        <w:tblLayout w:type="fixed"/>
        <w:tblCellMar>
          <w:top w:w="28" w:type="dxa"/>
          <w:left w:w="28" w:type="dxa"/>
          <w:bottom w:w="28" w:type="dxa"/>
          <w:right w:w="28" w:type="dxa"/>
        </w:tblCellMar>
      </w:tblPr>
      <w:tblGrid>
        <w:gridCol w:w="1148"/>
        <w:gridCol w:w="825"/>
        <w:gridCol w:w="83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11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3"/>
        <w:gridCol w:w="863"/>
        <w:gridCol w:w="8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107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Adjusted EBITDA: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Net Income. </w:t>
      </w:r>
      <w:r>
        <w:rPr>
          <w:rFonts w:ascii="Times New Roman;serif" w:hAnsi="Times New Roman;serif"/>
          <w:b w:val="false"/>
          <w:color w:val="000000"/>
          <w:sz w:val="20"/>
        </w:rPr>
        <w:t>For the three and six months ended June 30, 2026 compared to the same periods last year, net income increased $1.07 billion and $1.33 billion, respectively, primarily due to higher segment margin from all our segments. The most significant increases were in (i) our intrastate transportation and storage segment, where segment margin was favorably impacted by wider basis differentials and early volumes from the commissioning of the Hugh Brinson Pipeline, (ii) our midstream segment, where segment margin was favorably impacted by higher gathering and processing volumes, as well as higher NGL and natural gas prices, (iii) our NGL and refined products transportation and storage segment, where segment margin benefited from higher premiums from the sale of NGLs for export and for domestic supply and from higher spreads and prices, (iv) our crude oil transportation and services segment, where segment margin was favorable due to market conditions, higher crude oil prices and higher volumes and (v) our investment in Sunoco LP segment, where segment margin included increases resulting from recent acquisitions and strategic transactions. The increase in segment margin was partially offset by increases in operating expenses, selling, general and administrative expenses, depreciation, depletion and amortization and interest expense. These changes are discussed in more detail below and in “Segment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Adjusted EBITDA (consolidated).</w:t>
      </w:r>
      <w:r>
        <w:rPr>
          <w:color w:val="000000"/>
        </w:rPr>
        <w:t xml:space="preserve"> </w:t>
      </w:r>
      <w:r>
        <w:rPr>
          <w:rFonts w:ascii="Times New Roman;serif" w:hAnsi="Times New Roman;serif"/>
          <w:b w:val="false"/>
          <w:color w:val="000000"/>
          <w:sz w:val="20"/>
        </w:rPr>
        <w:t>For the three and six months ended June 30, 2026 compared to the same periods last year, Adjusted EBITDA increased by $1.20 billion and $2.04 billion, respectively, primarily due to increases in our intrastate transportation and storage segment, midstream segment, NGL and refined products transportation and services segment, crude oil and transportation and services segment, and our investment in Sunoco LP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information on changes impacting net income and Adjusted EBITDA is available below and in “Segment Operating Results.”</w:t>
      </w:r>
    </w:p>
    <w:p>
      <w:pPr>
        <w:pStyle w:val="TextBody"/>
        <w:bidi w:val="0"/>
        <w:spacing w:lineRule="auto" w:line="288" w:before="120" w:after="283"/>
        <w:jc w:val="both"/>
        <w:rPr/>
      </w:pPr>
      <w:r>
        <w:rPr>
          <w:rFonts w:ascii="Times New Roman;serif" w:hAnsi="Times New Roman;serif"/>
          <w:b w:val="false"/>
          <w:i/>
          <w:color w:val="000000"/>
          <w:sz w:val="20"/>
        </w:rPr>
        <w:t>Depreciation, Depletion and Amortization.</w:t>
      </w:r>
      <w:r>
        <w:rPr>
          <w:color w:val="000000"/>
        </w:rPr>
        <w:t xml:space="preserve"> </w:t>
      </w:r>
      <w:r>
        <w:rPr>
          <w:rFonts w:ascii="Times New Roman;serif" w:hAnsi="Times New Roman;serif"/>
          <w:b w:val="false"/>
          <w:color w:val="000000"/>
          <w:sz w:val="20"/>
        </w:rPr>
        <w:t>Depreciation, depletion and amortization increased for the three and six months ended June 30, 2026 compared to the same periods last year primarily due to additional depreciation and amortization from assets recently placed in service and recent acquisitions.</w:t>
      </w:r>
    </w:p>
    <w:p>
      <w:pPr>
        <w:pStyle w:val="TextBody"/>
        <w:bidi w:val="0"/>
        <w:spacing w:lineRule="auto" w:line="288" w:before="120" w:after="283"/>
        <w:jc w:val="both"/>
        <w:rPr/>
      </w:pPr>
      <w:r>
        <w:rPr>
          <w:rFonts w:ascii="Times New Roman;serif" w:hAnsi="Times New Roman;serif"/>
          <w:b w:val="false"/>
          <w:i/>
          <w:color w:val="000000"/>
          <w:sz w:val="20"/>
        </w:rPr>
        <w:t xml:space="preserve">Interest Expense, Net of Interest Capitalized. </w:t>
      </w:r>
      <w:r>
        <w:rPr>
          <w:rFonts w:ascii="Times New Roman;serif" w:hAnsi="Times New Roman;serif"/>
          <w:b w:val="false"/>
          <w:color w:val="000000"/>
          <w:sz w:val="20"/>
        </w:rPr>
        <w:t>Interest expense, net of interest capitalized, increased for the three and six months ended June 30, 2026 compared to the same periods last year primarily due to an increase in aggregate debt balances following the acquisition of Parkland and the refinancing of certain preferred units with long-term debt.</w:t>
      </w:r>
    </w:p>
    <w:p>
      <w:pPr>
        <w:pStyle w:val="TextBody"/>
        <w:bidi w:val="0"/>
        <w:spacing w:lineRule="auto" w:line="288" w:before="12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For the three and six months ended June 30, 2026 compared to the same periods last year, income tax expense increased primarily due to increased corporate earnings from recent acquisitions. Some of the recent acquisitions have subsidiaries that operate in foreign jurisdictions where those subsidiaries are subject to statutory income tax rates that are higher than the U.S. federal corporate income tax rate. Additionally, the income tax expense from those recent acquisitions was further increased due to the non-deductibility of a portion of foreign currency exchange losses in certain Canadian subsidiaries and losses incurred in certain foreign subsidiaries that operate in foreign jurisdictions that do not impose a corporate income tax.</w:t>
      </w:r>
    </w:p>
    <w:p>
      <w:pPr>
        <w:pStyle w:val="TextBody"/>
        <w:bidi w:val="0"/>
        <w:spacing w:lineRule="auto" w:line="288" w:before="120" w:after="283"/>
        <w:jc w:val="both"/>
        <w:rPr/>
      </w:pPr>
      <w:r>
        <w:rPr>
          <w:rFonts w:ascii="Times New Roman;serif" w:hAnsi="Times New Roman;serif"/>
          <w:b w:val="false"/>
          <w:i/>
          <w:color w:val="212529"/>
          <w:sz w:val="20"/>
        </w:rPr>
        <w:t xml:space="preserve">Impairment Losses. </w:t>
      </w:r>
      <w:r>
        <w:rPr>
          <w:rFonts w:ascii="Times New Roman;serif" w:hAnsi="Times New Roman;serif"/>
          <w:b w:val="false"/>
          <w:color w:val="000000"/>
          <w:sz w:val="20"/>
        </w:rPr>
        <w:t>For the three and six months ended June 30, 2025, the impairment losses were related to USAC’s evaluation of the future deployment of its idle fleet under current market conditions.</w:t>
      </w:r>
    </w:p>
    <w:p>
      <w:pPr>
        <w:pStyle w:val="TextBody"/>
        <w:bidi w:val="0"/>
        <w:spacing w:lineRule="auto" w:line="288" w:before="120" w:after="283"/>
        <w:jc w:val="both"/>
        <w:rPr/>
      </w:pPr>
      <w:r>
        <w:rPr>
          <w:rFonts w:ascii="Times New Roman;serif" w:hAnsi="Times New Roman;serif"/>
          <w:b w:val="false"/>
          <w:i/>
          <w:color w:val="000000"/>
          <w:sz w:val="20"/>
        </w:rPr>
        <w:t xml:space="preserve">Unrealized (Gains) Losses on Commodity Risk Management Activities. </w:t>
      </w:r>
      <w:r>
        <w:rPr>
          <w:rFonts w:ascii="Times New Roman;serif" w:hAnsi="Times New Roman;serif"/>
          <w:b w:val="false"/>
          <w:color w:val="000000"/>
          <w:sz w:val="20"/>
        </w:rPr>
        <w:t>The unrealized gains and losses on our commodity risk management activities include changes in fair value of commodity derivatives and the hedged inventory included in designated fair value hedging relationships. Information on the unrealized gain and loss within each segment is included in “Segment Operating Results,” and additional information on the commodity-related derivatives, including notional volumes, maturities and fair values, is available in “Item 3. Quantitative and Qualitative Disclosures About Market Risk” and in Note 12 to our consolidated financial statements included in “Item 1. Financial Statements.”</w:t>
      </w:r>
    </w:p>
    <w:p>
      <w:pPr>
        <w:pStyle w:val="TextBody"/>
        <w:bidi w:val="0"/>
        <w:spacing w:lineRule="auto" w:line="288" w:before="120" w:after="283"/>
        <w:jc w:val="both"/>
        <w:rPr/>
      </w:pPr>
      <w:r>
        <w:rPr>
          <w:rFonts w:ascii="Times New Roman;serif" w:hAnsi="Times New Roman;serif"/>
          <w:b w:val="false"/>
          <w:i/>
          <w:color w:val="000000"/>
          <w:sz w:val="20"/>
        </w:rPr>
        <w:t>Inventory Valuation Adjustments.</w:t>
      </w:r>
      <w:r>
        <w:rPr>
          <w:color w:val="000000"/>
        </w:rPr>
        <w:t xml:space="preserve"> </w:t>
      </w:r>
      <w:r>
        <w:rPr>
          <w:rFonts w:ascii="Times New Roman;serif" w:hAnsi="Times New Roman;serif"/>
          <w:b w:val="false"/>
          <w:color w:val="000000"/>
          <w:sz w:val="20"/>
        </w:rPr>
        <w:t>Inventory valuation adjustments represent changes in lower of cost or market reserves using the LIFO method on Sunoco LP’s inventory. These amounts are unrealized valuation adjustments applied to fuel volumes remaining in inventory at the end of the period. For the three months ended June 30, 2026 and 2025, the Partnership’s cost of products sold included Sunoco LP’s unfavorable inventory valuation adjustments of $18 million and $40 million, respectively, which decreased net income. For the six months ended June 30, 2026 and 2025, the Partnership’s cost of products sold included Sunoco LP’s favorable inventory valuation adjustments of $426 million and $21 million, respectively, which increased net income.</w:t>
      </w:r>
    </w:p>
    <w:p>
      <w:pPr>
        <w:pStyle w:val="TextBody"/>
        <w:bidi w:val="0"/>
        <w:spacing w:lineRule="auto" w:line="288" w:before="120" w:after="283"/>
        <w:jc w:val="both"/>
        <w:rPr/>
      </w:pPr>
      <w:r>
        <w:rPr>
          <w:rFonts w:ascii="Times New Roman;serif" w:hAnsi="Times New Roman;serif"/>
          <w:b w:val="false"/>
          <w:i/>
          <w:color w:val="000000"/>
          <w:sz w:val="20"/>
        </w:rPr>
        <w:t xml:space="preserve">Losses on Extinguishments of Debt. </w:t>
      </w:r>
      <w:r>
        <w:rPr>
          <w:rFonts w:ascii="Times New Roman;serif" w:hAnsi="Times New Roman;serif"/>
          <w:b w:val="false"/>
          <w:color w:val="000000"/>
          <w:sz w:val="20"/>
        </w:rPr>
        <w:t>For the three and six months ended June 30, 2026, loss on extinguishment of debt was due to Sunoco LP's redemption of senior notes. For the three and six months ended June 30, 2025, loss on extinguishment of debt was primarily related to Sunoco LP’s termination of bridge financing related to the Parkland acquisition.</w:t>
      </w:r>
    </w:p>
    <w:p>
      <w:pPr>
        <w:pStyle w:val="TextBody"/>
        <w:bidi w:val="0"/>
        <w:spacing w:lineRule="auto" w:line="288" w:before="120" w:after="283"/>
        <w:jc w:val="both"/>
        <w:rPr/>
      </w:pPr>
      <w:r>
        <w:rPr>
          <w:rFonts w:ascii="Times New Roman;serif" w:hAnsi="Times New Roman;serif"/>
          <w:b w:val="false"/>
          <w:i/>
          <w:color w:val="000000"/>
          <w:sz w:val="20"/>
        </w:rPr>
        <w:t xml:space="preserve">Adjusted EBITDA Related to Unconsolidated Affiliates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Equity in Earnings of Unconsolidated Affiliates.</w:t>
      </w:r>
      <w:r>
        <w:rPr>
          <w:color w:val="000000"/>
        </w:rPr>
        <w:t xml:space="preserve"> </w:t>
      </w:r>
      <w:r>
        <w:rPr>
          <w:rFonts w:ascii="Times New Roman;serif" w:hAnsi="Times New Roman;serif"/>
          <w:b w:val="false"/>
          <w:color w:val="000000"/>
          <w:sz w:val="20"/>
        </w:rPr>
        <w:t>See additional information in “Supplemental Information on Unconsolidated Affiliates” and “Segment Operating Results.”</w:t>
      </w:r>
    </w:p>
    <w:p>
      <w:pPr>
        <w:pStyle w:val="TextBody"/>
        <w:bidi w:val="0"/>
        <w:spacing w:lineRule="auto" w:line="288" w:before="120" w:after="283"/>
        <w:jc w:val="both"/>
        <w:rPr/>
      </w:pP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Other, net primarily includes the amortization of regulatory assets and other income and expense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Supplemental Information on Unconsolidated Affiliates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related to unconsolidated affiliates:</w:t>
      </w:r>
    </w:p>
    <w:tbl>
      <w:tblPr>
        <w:tblW w:w="10205" w:type="dxa"/>
        <w:jc w:val="left"/>
        <w:tblInd w:w="0" w:type="dxa"/>
        <w:tblLayout w:type="fixed"/>
        <w:tblCellMar>
          <w:top w:w="28" w:type="dxa"/>
          <w:left w:w="28" w:type="dxa"/>
          <w:bottom w:w="28" w:type="dxa"/>
          <w:right w:w="28" w:type="dxa"/>
        </w:tblCellMar>
      </w:tblPr>
      <w:tblGrid>
        <w:gridCol w:w="1414"/>
        <w:gridCol w:w="1244"/>
        <w:gridCol w:w="1247"/>
        <w:gridCol w:w="211"/>
        <w:gridCol w:w="466"/>
        <w:gridCol w:w="109"/>
        <w:gridCol w:w="109"/>
        <w:gridCol w:w="109"/>
        <w:gridCol w:w="109"/>
        <w:gridCol w:w="211"/>
        <w:gridCol w:w="466"/>
        <w:gridCol w:w="109"/>
        <w:gridCol w:w="109"/>
        <w:gridCol w:w="109"/>
        <w:gridCol w:w="109"/>
        <w:gridCol w:w="228"/>
        <w:gridCol w:w="390"/>
        <w:gridCol w:w="118"/>
        <w:gridCol w:w="109"/>
        <w:gridCol w:w="109"/>
        <w:gridCol w:w="109"/>
        <w:gridCol w:w="211"/>
        <w:gridCol w:w="466"/>
        <w:gridCol w:w="109"/>
        <w:gridCol w:w="109"/>
        <w:gridCol w:w="109"/>
        <w:gridCol w:w="109"/>
        <w:gridCol w:w="211"/>
        <w:gridCol w:w="466"/>
        <w:gridCol w:w="109"/>
        <w:gridCol w:w="109"/>
        <w:gridCol w:w="109"/>
        <w:gridCol w:w="109"/>
        <w:gridCol w:w="211"/>
        <w:gridCol w:w="418"/>
        <w:gridCol w:w="156"/>
      </w:tblGrid>
      <w:tr>
        <w:trPr/>
        <w:tc>
          <w:tcPr>
            <w:tcW w:w="141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 of unconsolidated affiliates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related to unconsolidated affiliates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 related to unconsolidated affiliates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received from unconsolidated affiliates: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 received from unconsolidated affiliates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identify the components of Segment Adjusted EBITDA, which is calculated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Segment margin, operating expenses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These amounts represent the amounts included in our consolidated financial statements that are attributable to each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Unrealized gain or loss on commodity risk management activities and inventory valuation adjustments</w:t>
      </w:r>
      <w:r>
        <w:rPr>
          <w:rFonts w:ascii="Times New Roman;serif" w:hAnsi="Times New Roman;serif"/>
          <w:b w:val="false"/>
          <w:color w:val="000000"/>
          <w:sz w:val="20"/>
        </w:rPr>
        <w:t xml:space="preserve">. These are the unrealized amounts that are included in cost of products sold to calculate segment margin. These amounts are not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Segment Adjusted EBITDA; therefore, the unrealized loss is added back and the unrealized gain is subtracted to calculate the segment measure.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Non-cash compensation expense</w:t>
      </w:r>
      <w:r>
        <w:rPr>
          <w:rFonts w:ascii="Times New Roman;serif" w:hAnsi="Times New Roman;serif"/>
          <w:b w:val="false"/>
          <w:color w:val="000000"/>
          <w:sz w:val="20"/>
        </w:rPr>
        <w:t>. These amounts represent the total non-cash compensation recorded in operating expenses and selling, general and administrative expenses. This expense is not included in Segment Adjusted EBITDA and therefore is added back to calculate the segment measure.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Adjusted EBITDA related to unconsolidated affiliates</w:t>
      </w:r>
      <w:r>
        <w:rPr>
          <w:rFonts w:ascii="Times New Roman;serif" w:hAnsi="Times New Roman;serif"/>
          <w:b w:val="false"/>
          <w:color w:val="000000"/>
          <w:sz w:val="20"/>
        </w:rPr>
        <w:t>. Adjusted EBITDA related to unconsolidated affiliates excludes the same items with respect to 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for certain segments, the following sections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Intrastate Transportation and Storage</w:t>
      </w:r>
    </w:p>
    <w:tbl>
      <w:tblPr>
        <w:tblW w:w="10205" w:type="dxa"/>
        <w:jc w:val="left"/>
        <w:tblInd w:w="0" w:type="dxa"/>
        <w:tblLayout w:type="fixed"/>
        <w:tblCellMar>
          <w:top w:w="28" w:type="dxa"/>
          <w:left w:w="28" w:type="dxa"/>
          <w:bottom w:w="28" w:type="dxa"/>
          <w:right w:w="28" w:type="dxa"/>
        </w:tblCellMar>
      </w:tblPr>
      <w:tblGrid>
        <w:gridCol w:w="1349"/>
        <w:gridCol w:w="986"/>
        <w:gridCol w:w="993"/>
        <w:gridCol w:w="224"/>
        <w:gridCol w:w="497"/>
        <w:gridCol w:w="109"/>
        <w:gridCol w:w="109"/>
        <w:gridCol w:w="109"/>
        <w:gridCol w:w="109"/>
        <w:gridCol w:w="224"/>
        <w:gridCol w:w="497"/>
        <w:gridCol w:w="109"/>
        <w:gridCol w:w="109"/>
        <w:gridCol w:w="109"/>
        <w:gridCol w:w="109"/>
        <w:gridCol w:w="211"/>
        <w:gridCol w:w="501"/>
        <w:gridCol w:w="109"/>
        <w:gridCol w:w="109"/>
        <w:gridCol w:w="109"/>
        <w:gridCol w:w="109"/>
        <w:gridCol w:w="211"/>
        <w:gridCol w:w="616"/>
        <w:gridCol w:w="109"/>
        <w:gridCol w:w="109"/>
        <w:gridCol w:w="109"/>
        <w:gridCol w:w="109"/>
        <w:gridCol w:w="211"/>
        <w:gridCol w:w="616"/>
        <w:gridCol w:w="109"/>
        <w:gridCol w:w="109"/>
        <w:gridCol w:w="109"/>
        <w:gridCol w:w="109"/>
        <w:gridCol w:w="211"/>
        <w:gridCol w:w="520"/>
        <w:gridCol w:w="158"/>
      </w:tblGrid>
      <w:tr>
        <w:trPr/>
        <w:tc>
          <w:tcPr>
            <w:tcW w:w="134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Withdrawals from storage natural gas inventory (BBtu)</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rFonts w:ascii="Times New Roman;serif" w:hAnsi="Times New Roman;serif"/>
          <w:b w:val="false"/>
          <w:color w:val="000000"/>
          <w:sz w:val="20"/>
        </w:rPr>
        <w:t>. For the three and six months ended June 30, 2026 compared to the same periods last year, transported volumes of gas on our Texas intrastate pipelines decreased primarily due to lower third-party utilization of firm capacity. Transported volumes reported above exclude volumes attributable to purchases and sales of gas for our pipelines’ own accounts and the optimization of any unused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i/>
          <w:color w:val="000000"/>
          <w:sz w:val="20"/>
        </w:rPr>
        <w:t>Segment Margin.</w:t>
      </w:r>
      <w:r>
        <w:rPr>
          <w:color w:val="000000"/>
        </w:rPr>
        <w:t xml:space="preserve"> </w:t>
      </w:r>
      <w:r>
        <w:rPr>
          <w:rFonts w:ascii="Times New Roman;serif" w:hAnsi="Times New Roman;serif"/>
          <w:b w:val="false"/>
          <w:color w:val="000000"/>
          <w:sz w:val="20"/>
        </w:rPr>
        <w:t>The components of our intrastate transportation and storage segment margin were as follows:</w:t>
      </w:r>
    </w:p>
    <w:tbl>
      <w:tblPr>
        <w:tblW w:w="10205" w:type="dxa"/>
        <w:jc w:val="left"/>
        <w:tblInd w:w="0" w:type="dxa"/>
        <w:tblLayout w:type="fixed"/>
        <w:tblCellMar>
          <w:top w:w="28" w:type="dxa"/>
          <w:left w:w="28" w:type="dxa"/>
          <w:bottom w:w="28" w:type="dxa"/>
          <w:right w:w="28" w:type="dxa"/>
        </w:tblCellMar>
      </w:tblPr>
      <w:tblGrid>
        <w:gridCol w:w="1403"/>
        <w:gridCol w:w="1224"/>
        <w:gridCol w:w="1231"/>
        <w:gridCol w:w="211"/>
        <w:gridCol w:w="466"/>
        <w:gridCol w:w="109"/>
        <w:gridCol w:w="109"/>
        <w:gridCol w:w="109"/>
        <w:gridCol w:w="109"/>
        <w:gridCol w:w="211"/>
        <w:gridCol w:w="466"/>
        <w:gridCol w:w="109"/>
        <w:gridCol w:w="109"/>
        <w:gridCol w:w="109"/>
        <w:gridCol w:w="109"/>
        <w:gridCol w:w="228"/>
        <w:gridCol w:w="390"/>
        <w:gridCol w:w="118"/>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140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Transportation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Natural gas sales and other (excluding unrealized gains and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fuel (excluding unrealized gains and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margin (excluding unrealized gains and losses and fair value inventory 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 and fair value inventory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segment margin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intrastate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$113 million in realized natural gas sales and other primarily due to wider basis differentials, as well as a $21 million increase from early volumes during the commissioning of the Hugh Brinson Pipeline;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transportation fees due to higher reservation revenues on long-term third-party contracts;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$10 million in storage margin due to unfavorable storage optimization;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operating expenses primarily due to a $4 million increase in maintenance and project related expenses, a $4 million increase from one-time expenses, a $4 million increase from the commissioning of the Hugh Brinson pipeline, and increases totaling $2 million from various other operating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selling, general and administrative expenses primarily due to higher legal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intrastate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$165 million in realized natural gas sales and other primarily due to wider basis differentials, as well as a $21 million increase from early volumes during the commissioning of the Hugh Brinson Pipeline;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$31 million in storage margin due to favorable impacts from increased price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$11 million in transportation fees primarily due to higher reservation revenues on long-term third-party contracts;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retained fuel margin due to favorable gas pricing;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$22 million in operating expenses primarily due to an $8 million increase from the commissioning of the Huge Brinson pipeline, a $7 million increase in maintenance and project related expenses, a $3 million increase in employee costs, and increases totaling $5 million from various other operating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$4 million in selling, general and administrative expenses primarily due to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Interstate Transportation and Storage</w:t>
      </w:r>
    </w:p>
    <w:tbl>
      <w:tblPr>
        <w:tblW w:w="10205" w:type="dxa"/>
        <w:jc w:val="left"/>
        <w:tblInd w:w="0" w:type="dxa"/>
        <w:tblLayout w:type="fixed"/>
        <w:tblCellMar>
          <w:top w:w="28" w:type="dxa"/>
          <w:left w:w="28" w:type="dxa"/>
          <w:bottom w:w="28" w:type="dxa"/>
          <w:right w:w="28" w:type="dxa"/>
        </w:tblCellMar>
      </w:tblPr>
      <w:tblGrid>
        <w:gridCol w:w="1451"/>
        <w:gridCol w:w="1053"/>
        <w:gridCol w:w="1057"/>
        <w:gridCol w:w="224"/>
        <w:gridCol w:w="497"/>
        <w:gridCol w:w="109"/>
        <w:gridCol w:w="109"/>
        <w:gridCol w:w="109"/>
        <w:gridCol w:w="109"/>
        <w:gridCol w:w="224"/>
        <w:gridCol w:w="497"/>
        <w:gridCol w:w="109"/>
        <w:gridCol w:w="109"/>
        <w:gridCol w:w="109"/>
        <w:gridCol w:w="109"/>
        <w:gridCol w:w="228"/>
        <w:gridCol w:w="390"/>
        <w:gridCol w:w="118"/>
        <w:gridCol w:w="109"/>
        <w:gridCol w:w="109"/>
        <w:gridCol w:w="109"/>
        <w:gridCol w:w="211"/>
        <w:gridCol w:w="616"/>
        <w:gridCol w:w="109"/>
        <w:gridCol w:w="109"/>
        <w:gridCol w:w="109"/>
        <w:gridCol w:w="109"/>
        <w:gridCol w:w="211"/>
        <w:gridCol w:w="616"/>
        <w:gridCol w:w="109"/>
        <w:gridCol w:w="109"/>
        <w:gridCol w:w="109"/>
        <w:gridCol w:w="109"/>
        <w:gridCol w:w="214"/>
        <w:gridCol w:w="368"/>
        <w:gridCol w:w="159"/>
      </w:tblGrid>
      <w:tr>
        <w:trPr/>
        <w:tc>
          <w:tcPr>
            <w:tcW w:w="145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sold (BBtu/d)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amortization and accretion expenses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amortization and accretion expenses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and six months ended June 30, 2026 compared to the same periods last year, transported volumes decreased primarily due to lower utilization on our Trunkline, Gulf Run and Mississippi River systems due to lower demand.</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interstate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$18 million in segment margin primarily due to a $12 million increase in parking, storage and liquids revenue and a $10 million increase in transportation revenue from several of our interstate pipeline systems due to higher contracted volumes and higher utilization, partially offset by a $4 million decrease in operational gas sales;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$10 million in other income primarily due to the realization of proceeds from a shipper bankruptcy settlement;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 million in operating expenses primarily due to a $4 million increase in maintenance projects, a $3 million increase in employee costs and a $1 million increase in new or renegotiated leases;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$8 million in selling, general and administrative expenses primarily due to higher allocated costs, excise taxes and insurance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interstate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$30 million in segment margin primarily due to a $33 million increase in transportation revenue from several of our interstate pipeline systems due to higher contracted volumes and higher utilization, and a $5 million increase in storage and liquids revenue, partially offset by a $7 million decrease in operational gas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Adjusted EBITDA related to unconsolidated affiliates primarily due to a $7 million increase from MEP due to higher revenue and lower operating expenses, a $6 million increase from Citrus due to higher revenue and lower operating expenses, and a $2 million increase from SESH due to higher revenue;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 million in other income primarily due to the realization of proceeds from a shipper bankruptcy settlement;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$35 million in operating expenses primarily due to a $9 million increase in employee costs, an $8 million increase in intercompany transportation expenses, an aggregate $6 million increase in maintenance projects, a $6 million increase from one-time expenses and allocated costs, and a $6 million increase in other direct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Midstream </w:t>
      </w:r>
    </w:p>
    <w:tbl>
      <w:tblPr>
        <w:tblW w:w="10205" w:type="dxa"/>
        <w:jc w:val="left"/>
        <w:tblInd w:w="0" w:type="dxa"/>
        <w:tblLayout w:type="fixed"/>
        <w:tblCellMar>
          <w:top w:w="28" w:type="dxa"/>
          <w:left w:w="28" w:type="dxa"/>
          <w:bottom w:w="28" w:type="dxa"/>
          <w:right w:w="28" w:type="dxa"/>
        </w:tblCellMar>
      </w:tblPr>
      <w:tblGrid>
        <w:gridCol w:w="1366"/>
        <w:gridCol w:w="885"/>
        <w:gridCol w:w="888"/>
        <w:gridCol w:w="211"/>
        <w:gridCol w:w="616"/>
        <w:gridCol w:w="109"/>
        <w:gridCol w:w="109"/>
        <w:gridCol w:w="109"/>
        <w:gridCol w:w="109"/>
        <w:gridCol w:w="211"/>
        <w:gridCol w:w="616"/>
        <w:gridCol w:w="109"/>
        <w:gridCol w:w="109"/>
        <w:gridCol w:w="109"/>
        <w:gridCol w:w="109"/>
        <w:gridCol w:w="211"/>
        <w:gridCol w:w="500"/>
        <w:gridCol w:w="109"/>
        <w:gridCol w:w="109"/>
        <w:gridCol w:w="109"/>
        <w:gridCol w:w="109"/>
        <w:gridCol w:w="211"/>
        <w:gridCol w:w="616"/>
        <w:gridCol w:w="109"/>
        <w:gridCol w:w="109"/>
        <w:gridCol w:w="109"/>
        <w:gridCol w:w="109"/>
        <w:gridCol w:w="211"/>
        <w:gridCol w:w="616"/>
        <w:gridCol w:w="109"/>
        <w:gridCol w:w="109"/>
        <w:gridCol w:w="109"/>
        <w:gridCol w:w="109"/>
        <w:gridCol w:w="211"/>
        <w:gridCol w:w="500"/>
        <w:gridCol w:w="156"/>
      </w:tblGrid>
      <w:tr>
        <w:trPr/>
        <w:tc>
          <w:tcPr>
            <w:tcW w:w="136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Gathered volumes (BBtu/d)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NGLs produced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NGLs (MBbls/d)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 xml:space="preserve">For the three and six months ended June 30, 2026 compared to the same periods last year, volumes increased from dry gas gathering in the Northeast and Ark-La-Tex regions as well as increased processing volumes from new and upgraded plants in the Permian region. NGL production increased primarily due to increased Permian plant utilization from new and existing plants. </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midstream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$205 million in segment margin primarily due to higher NGL prices of $88 million, a positive impact of $11 million from natural gas prices, and an $83 million increase due to higher gathered and processed volumes from increased processing capacity and operational efficiencies;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other income due to the realization of proceeds from a shipper bankruptcy settlement;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$97 million in operating expenses primarily due to a $46 million increase related to environmental reserves, a $39 million increase related to the adjustment of certain estimates in the prior period and a $15 million increase in employee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selling, general, and administrative expenses primarily due to higher corporate allocations.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midstream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$179 million in segment margin primarily due to a $168 million increase due to higher gathered and processed volumes from increased processing capacity and operational efficiencies, higher NGL prices of $66 million, a positive impact of $8 million from natural gas prices, a $39 million increase due to an intercompany imbalance that is completely offset within our NGL and refined products transportation and services segment, and a $14 million increase due to reduced third-party NGL transportation and fractionation costs from our Oklahoma processing facilities, partially offset by a $160 million decrease attributable to the non-recurring recognition of certain amounts associated with Winter Storm Uri in the prior period;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$25 million in other income due to $15 million in proceeds from a shipper bankruptcy settlement and $11 million from the recognition of proceeds from a business interruption claim;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$122 million in operating expenses due to a $44 million increase in environmental reserves, a $39 million increase related to the adjustment of certain estimates in the prior period, a $34 million increase in employee costs, and a $6 million increase related to assets placed in service;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 million in selling, general, and administrative expenses primarily due to higher legal fees and insurance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NGL and Refined Products Transportation and Services</w:t>
      </w:r>
    </w:p>
    <w:tbl>
      <w:tblPr>
        <w:tblW w:w="10205" w:type="dxa"/>
        <w:jc w:val="left"/>
        <w:tblInd w:w="0" w:type="dxa"/>
        <w:tblLayout w:type="fixed"/>
        <w:tblCellMar>
          <w:top w:w="28" w:type="dxa"/>
          <w:left w:w="28" w:type="dxa"/>
          <w:bottom w:w="28" w:type="dxa"/>
          <w:right w:w="28" w:type="dxa"/>
        </w:tblCellMar>
      </w:tblPr>
      <w:tblGrid>
        <w:gridCol w:w="1037"/>
        <w:gridCol w:w="828"/>
        <w:gridCol w:w="83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6"/>
      </w:tblGrid>
      <w:tr>
        <w:trPr/>
        <w:tc>
          <w:tcPr>
            <w:tcW w:w="103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transportation volumes (MBbls/d)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products transportation volumes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terminal volumes (MBbls/d)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fractionation volumes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and six months ended June 30, 2026 compared to the same periods last year, NGL transportation, fractionation, and terminal throughput volumes increased due to higher volumes from the Permian region, as well as increased NGL exports.</w:t>
      </w:r>
    </w:p>
    <w:p>
      <w:pPr>
        <w:pStyle w:val="TextBody"/>
        <w:bidi w:val="0"/>
        <w:spacing w:lineRule="auto" w:line="288" w:before="120" w:after="283"/>
        <w:jc w:val="both"/>
        <w:rPr/>
      </w:pPr>
      <w:r>
        <w:rPr>
          <w:rFonts w:ascii="Times New Roman;serif" w:hAnsi="Times New Roman;serif"/>
          <w:b w:val="false"/>
          <w:i/>
          <w:color w:val="000000"/>
          <w:sz w:val="20"/>
        </w:rPr>
        <w:t>Segment Margin.</w:t>
      </w:r>
      <w:r>
        <w:rPr>
          <w:color w:val="000000"/>
        </w:rPr>
        <w:t xml:space="preserve"> </w:t>
      </w:r>
      <w:r>
        <w:rPr>
          <w:rFonts w:ascii="Times New Roman;serif" w:hAnsi="Times New Roman;serif"/>
          <w:b w:val="false"/>
          <w:color w:val="000000"/>
          <w:sz w:val="20"/>
        </w:rPr>
        <w:t>The components of our NGL and refined products transportation and services segment margin were as follows:</w:t>
      </w:r>
    </w:p>
    <w:tbl>
      <w:tblPr>
        <w:tblW w:w="10205" w:type="dxa"/>
        <w:jc w:val="left"/>
        <w:tblInd w:w="0" w:type="dxa"/>
        <w:tblLayout w:type="fixed"/>
        <w:tblCellMar>
          <w:top w:w="28" w:type="dxa"/>
          <w:left w:w="28" w:type="dxa"/>
          <w:bottom w:w="28" w:type="dxa"/>
          <w:right w:w="28" w:type="dxa"/>
        </w:tblCellMar>
      </w:tblPr>
      <w:tblGrid>
        <w:gridCol w:w="1161"/>
        <w:gridCol w:w="1022"/>
        <w:gridCol w:w="1025"/>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55"/>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Fractionators and refinery services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 services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margin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NGL and refined products transportation and services segment increased due to the net impacts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$212 million in marketing margin (excluding unrealized gains and losses on commodity risk management activities) primarily due to $140 million from higher premiums from the sale of NGLs for export and for domestic supply and a $70 million increase in refined product margins as a result of higher spreads and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$71 million in terminal services margin primarily due to a $63 million increase in fees from loading increased volumes at higher rates for export at our Nederland and Marcus Hook terminals, and an $8 million increase from higher throughput and storage at our refined product terminals;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$28 million in transportation margin due to a $40 million increase related to higher y-grade and NGL throughput, partially offset by a $4 million decrease due to lower refined product transportation volumes due to third-party refinery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 million in storage margin primarily due to an increase in fees generated from export volumes, as well as increases related to blending activity due to a more favorable pricing environment;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 million in fractionators and refinery services margin primarily due to higher throughput;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$54 million in operating expenses primarily due to a $28 million increase from certain one-time credits recognized in the prior period, a $14 million increase in utilities costs driven by higher volumes across our system, a $6 million increase in employee costs, and increases totaling $5 million from various other operating expenses;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 million in selling, general and administrative expenses primarily due to higher overhead costs and legal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NGL and refined products transportation and services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$353 million in marketing margin (excluding unrealized gains and losses on commodity risk management activities) primarily due to $212 million from higher premiums from the sale of NGLs for export and for domestic supply, $65 million in hedge-related gains during the first quarter of 2026 which offset physical losses realized during the fourth quarter of 2025, and a $77 million increase in refined product margins as result of higher spreads and prices;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$98 million in terminal services margin primarily due to a $79 million increase in fees from loading higher volumes for export at our Nederland and Marcus Hook terminals and a $17 million increase from higher throughput and storage at our refined product terminals;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$72 million in fractionators and refinery services margin primarily due to higher throughput;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$27 million in transportation margin due to an $81 million increase related to higher y-grade throughput, partially offset by a $39 million intercompany imbalance that is completely offset within our midstream segment, a $12 million decrease from lower NGL throughput on our Mariner East system due to a weather related demand decrease, and a $3 million decrease due to lower refined product transport volumes due to third party refinery issues;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$20 million in storage margin primarily due to an increase in fees generated from export volumes, as well as increases related to blending activity due to a more favorable pricing environment;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$105 million in operating expenses primarily due to a $42 million increase in costs driven by higher volumes across our system, a $28 million increase from certain one-time credits recognized in the prior period, a $15 million increase in outside services, a $14 million increase in employee costs, and increases totaling $6 million from various other operating expenses;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 million in selling, general and administrative expenses primarily due to higher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Crude Oil Transportation and Services </w:t>
      </w:r>
    </w:p>
    <w:tbl>
      <w:tblPr>
        <w:tblW w:w="10205" w:type="dxa"/>
        <w:jc w:val="left"/>
        <w:tblInd w:w="0" w:type="dxa"/>
        <w:tblLayout w:type="fixed"/>
        <w:tblCellMar>
          <w:top w:w="28" w:type="dxa"/>
          <w:left w:w="28" w:type="dxa"/>
          <w:bottom w:w="28" w:type="dxa"/>
          <w:right w:w="28" w:type="dxa"/>
        </w:tblCellMar>
      </w:tblPr>
      <w:tblGrid>
        <w:gridCol w:w="924"/>
        <w:gridCol w:w="723"/>
        <w:gridCol w:w="72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56"/>
      </w:tblGrid>
      <w:tr>
        <w:trPr/>
        <w:tc>
          <w:tcPr>
            <w:tcW w:w="9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volumes (MBbls/d)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terminal volumes (MBbls/d)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and six months ended June 30, 2026 compared to the same periods last year, crude oil transportation volumes were higher due to higher volumes on our Texas pipeline system, our Permian and Bakken gathering systems, partially offset by lower volume on our Mid-continent pipelines. Crude oil terminal volumes were higher due to higher customer throughput related to strategic petroleum reserve releases and crude export demand at our Gulf Coast terminals. Beginning in the current period, the Partnership has updated its approach for calculating crude oil terminal volumes to be consistent across all terminals; volumes reported for prior periods have been revised accordingly.</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crude oil transportation and services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$106 million in segment margin (excluding unrealized gains and losses on commodity risk management activities) primarily due to a $62 million increase in optimization gains from more favorable market conditions and higher refined product margins, a $19 million increase in crude gathering revenues, a $17 million increase in transportation revenue, and a $6 million increase from higher crude oil terminal volumes;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$6 million in operating expenses primarily due to lower maintenance project related expenses;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 million in selling, general and administrative expenses due primarily to higher expenses associated with a litigation related contingency.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crude oil transportation and services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$196 million in segment margin (excluding unrealized gains and losses on commodity risk management activities) due to a $133 million increase in optimization gains from more favorable market conditions and higher refined product margins, a $14 million increase in transportation revenue, and a $52 million increase in gathering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$36 million in selling, general and administrative expenses primarily due to an adjustment to the accrual for a litigation contingency;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 million in Adjusted EBITDA related to unconsolidated affiliates due to higher volumes and crude prices; partly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$4 million in operating expenses primarily due to an $11 million increase in employee-related expenses and a $9 million increase in volume-driven expenses, partially offset by an $8 million decrease in outside service expenses and a $7 million decrease from maintenance project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Sunoco LP</w:t>
      </w:r>
    </w:p>
    <w:tbl>
      <w:tblPr>
        <w:tblW w:w="10205" w:type="dxa"/>
        <w:jc w:val="left"/>
        <w:tblInd w:w="0" w:type="dxa"/>
        <w:tblLayout w:type="fixed"/>
        <w:tblCellMar>
          <w:top w:w="28" w:type="dxa"/>
          <w:left w:w="28" w:type="dxa"/>
          <w:bottom w:w="28" w:type="dxa"/>
          <w:right w:w="28" w:type="dxa"/>
        </w:tblCellMar>
      </w:tblPr>
      <w:tblGrid>
        <w:gridCol w:w="1143"/>
        <w:gridCol w:w="670"/>
        <w:gridCol w:w="67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14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 in Sunoco LP segment reflects the consolidated results of Sunoco LP.</w:t>
      </w:r>
    </w:p>
    <w:p>
      <w:pPr>
        <w:pStyle w:val="TextBody"/>
        <w:bidi w:val="0"/>
        <w:spacing w:lineRule="auto" w:line="288" w:before="12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June 30, 2026 compared to the same period last year, Segment Adjusted EBITDA related to our investment in Sunoco LP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$874 million in segment margin (excluding unrealized gains and losses on commodity risk management activities and inventory valuation adjustments) primarily due to recent acquisitions;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$24 million in Adjusted EBITDA related to unconsolidated affiliates primarily due to the Parkland acquisition and ET-S Permian joint venture;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$272 million in operating expenses primarily due to increased costs resulting from recently acquired businesses;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$108 million in selling, general and administrative expenses primarily due to increased costs resulting from recently acquired businesses, along with one-time transaction-related expenses associated with those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investment in Sunoco LP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$1.58 billion in segment margin (excluding unrealized gains and losses on commodity risk management activities and inventory valuation adjustments) primarily due to recent acquisitions, as well as a $102 million favorable impact from a one-time gain on sale of inventory in the current period;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$43 million in Adjusted EBITDA related to unconsolidated affiliates primarily due to the Parkland acquisition and ET-S Permian joint venture;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$495 million in operating expenses primarily due to increased costs resulting from recently acquired businesses;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$223 million in selling, general and administrative expenses primarily due to increased costs resulting from recently acquired businesses, along with one-time transaction-related expenses associated with those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USAC</w:t>
      </w:r>
    </w:p>
    <w:tbl>
      <w:tblPr>
        <w:tblW w:w="10205" w:type="dxa"/>
        <w:jc w:val="left"/>
        <w:tblInd w:w="0" w:type="dxa"/>
        <w:tblLayout w:type="fixed"/>
        <w:tblCellMar>
          <w:top w:w="28" w:type="dxa"/>
          <w:left w:w="28" w:type="dxa"/>
          <w:bottom w:w="28" w:type="dxa"/>
          <w:right w:w="28" w:type="dxa"/>
        </w:tblCellMar>
      </w:tblPr>
      <w:tblGrid>
        <w:gridCol w:w="1528"/>
        <w:gridCol w:w="1160"/>
        <w:gridCol w:w="1169"/>
        <w:gridCol w:w="211"/>
        <w:gridCol w:w="466"/>
        <w:gridCol w:w="109"/>
        <w:gridCol w:w="109"/>
        <w:gridCol w:w="109"/>
        <w:gridCol w:w="109"/>
        <w:gridCol w:w="211"/>
        <w:gridCol w:w="466"/>
        <w:gridCol w:w="109"/>
        <w:gridCol w:w="109"/>
        <w:gridCol w:w="109"/>
        <w:gridCol w:w="109"/>
        <w:gridCol w:w="228"/>
        <w:gridCol w:w="390"/>
        <w:gridCol w:w="118"/>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152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in USAC segment reflects the consolidated results of USAC. </w:t>
      </w:r>
    </w:p>
    <w:p>
      <w:pPr>
        <w:pStyle w:val="TextBody"/>
        <w:bidi w:val="0"/>
        <w:spacing w:lineRule="auto" w:line="288" w:before="12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June 30, 2026 compared to the same period last year, Segment Adjusted EBITDA related to our investment in USAC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$99 million in segment margin primarily due to the J-W Power Acquisition and increases in USAC’s legacy business;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$57 million in operating expense and selling, general and administrative expense primarily related to the J-W Power Acquisition, as well as increased expenses in outside services and professional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investment in USAC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$194 million in segment margin primarily due to the J-W Power Acquisition and increases in USAC’s legacy business;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$122 million in operating expense and selling, general and administrative expense primarily related to the J-W Power Acquisition, as well as increased expenses in outside services and professional fees.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 Other</w:t>
      </w:r>
    </w:p>
    <w:tbl>
      <w:tblPr>
        <w:tblW w:w="10205" w:type="dxa"/>
        <w:jc w:val="left"/>
        <w:tblInd w:w="0" w:type="dxa"/>
        <w:tblLayout w:type="fixed"/>
        <w:tblCellMar>
          <w:top w:w="28" w:type="dxa"/>
          <w:left w:w="28" w:type="dxa"/>
          <w:bottom w:w="28" w:type="dxa"/>
          <w:right w:w="28" w:type="dxa"/>
        </w:tblCellMar>
      </w:tblPr>
      <w:tblGrid>
        <w:gridCol w:w="1399"/>
        <w:gridCol w:w="1014"/>
        <w:gridCol w:w="1021"/>
        <w:gridCol w:w="211"/>
        <w:gridCol w:w="466"/>
        <w:gridCol w:w="109"/>
        <w:gridCol w:w="109"/>
        <w:gridCol w:w="109"/>
        <w:gridCol w:w="109"/>
        <w:gridCol w:w="211"/>
        <w:gridCol w:w="466"/>
        <w:gridCol w:w="109"/>
        <w:gridCol w:w="109"/>
        <w:gridCol w:w="109"/>
        <w:gridCol w:w="109"/>
        <w:gridCol w:w="211"/>
        <w:gridCol w:w="502"/>
        <w:gridCol w:w="109"/>
        <w:gridCol w:w="109"/>
        <w:gridCol w:w="109"/>
        <w:gridCol w:w="109"/>
        <w:gridCol w:w="211"/>
        <w:gridCol w:w="616"/>
        <w:gridCol w:w="109"/>
        <w:gridCol w:w="109"/>
        <w:gridCol w:w="109"/>
        <w:gridCol w:w="109"/>
        <w:gridCol w:w="211"/>
        <w:gridCol w:w="616"/>
        <w:gridCol w:w="109"/>
        <w:gridCol w:w="109"/>
        <w:gridCol w:w="109"/>
        <w:gridCol w:w="109"/>
        <w:gridCol w:w="211"/>
        <w:gridCol w:w="502"/>
        <w:gridCol w:w="157"/>
      </w:tblGrid>
      <w:tr>
        <w:trPr/>
        <w:tc>
          <w:tcPr>
            <w:tcW w:w="139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and eliminations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reflected in our all other segment primarily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natural gas marketing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wholly owned natural gas compression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natural resources business.</w:t>
      </w:r>
    </w:p>
    <w:p>
      <w:pPr>
        <w:pStyle w:val="TextBody"/>
        <w:bidi w:val="0"/>
        <w:spacing w:lineRule="auto" w:line="288" w:before="12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June 30, 2026 compared to the same period last year, Segment Adjusted EBITDA related to our all other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$49 million in our natural gas marketing business driven by favorable spreads and gains on residue gas sales;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$11 million due to an increase in the intersegment elimination of Sunoco LP’s 32.5% share of ET-S Permian, which is consolidated in our crude oil transportation and services segment and also reflected as an unconsolidated affiliate in our investment in Sunoco LP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$13 million in our dual drive compression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last year, Segment Adjusted EBITDA related to our all other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$84 million in our natural gas marketing business driven by favorable spreads and gains on residue gas sales;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$18 million due to an increase in the intersegment elimination of Sunoco LP’s 32.5% share of ET-S Permian, which is consolidated in our crude oil transportation and services segment and also reflected as an unconsolidated affiliate in our investment in Sunoco LP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satisfy obligations and pay distributions to unitholders will depend on our future performance, which will be subject to prevailing economic, financial, business and weather conditions, and other factors, many of which are beyond management’s control. We believe that we have sufficient liquidity and sources of funding to meet our cash requirements over the near term and for the longer term.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expect capital expenditures in 2026 to be approximately as follows (including capitalized interest and overhead and only our proportionate share for joint ventures, but excluding capital expenditures related to our investments in Sunoco LP and USAC):</w:t>
      </w:r>
    </w:p>
    <w:tbl>
      <w:tblPr>
        <w:tblW w:w="6918" w:type="dxa"/>
        <w:jc w:val="left"/>
        <w:tblInd w:w="0" w:type="dxa"/>
        <w:tblLayout w:type="fixed"/>
        <w:tblCellMar>
          <w:top w:w="28" w:type="dxa"/>
          <w:left w:w="28" w:type="dxa"/>
          <w:bottom w:w="28" w:type="dxa"/>
          <w:right w:w="28" w:type="dxa"/>
        </w:tblCellMar>
      </w:tblPr>
      <w:tblGrid>
        <w:gridCol w:w="1609"/>
        <w:gridCol w:w="1411"/>
        <w:gridCol w:w="1419"/>
        <w:gridCol w:w="211"/>
        <w:gridCol w:w="616"/>
        <w:gridCol w:w="109"/>
        <w:gridCol w:w="109"/>
        <w:gridCol w:w="109"/>
        <w:gridCol w:w="109"/>
        <w:gridCol w:w="261"/>
        <w:gridCol w:w="763"/>
        <w:gridCol w:w="192"/>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Maintenance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(including eliminations)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including as a result of the recent governmental action on tariffs, and other factors beyond our control. However, we have included these factors in our anticipated growth capital expenditures for each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generally fund capital expenditures and distributions with 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 LP currently expects to spend between $400 million and $450 million in maintenance capital expenditures and at least $600 million in growth capital for the full year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USAC currently plans to invest between $60 million and $70 million in maintenance capital expenditures and between $230 million and $250 million in expansion capital expenditures for the full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cash flows may change in the future due to a number of factors, some of which we cannot control. These include regulatory changes, the price for our products and services, the demand for such products and services, margin requirements resulting from significant changes in commodity prices, operational risks, the successful integration of our acquisitions and other factors.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cash flows from operating activities between periods primarily result from changes in earnings (as discussed in “Results of Operations”),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we have a significant amount of interstate pipeline construction in progress. Changes in operating assets and liabilities between periods result from factors such as the changes in the value of price risk management assets and liabilities, the timing of accounts receivable collection, the timing of payments on accounts payable, the timing of purchase and sales of inventories and the timing of advances and deposits received from customers.</w:t>
      </w:r>
    </w:p>
    <w:p>
      <w:pPr>
        <w:pStyle w:val="TextBody"/>
        <w:bidi w:val="0"/>
        <w:spacing w:lineRule="auto" w:line="288" w:before="120" w:after="283"/>
        <w:jc w:val="both"/>
        <w:rPr/>
      </w:pPr>
      <w:r>
        <w:rPr>
          <w:rFonts w:ascii="Times New Roman;serif" w:hAnsi="Times New Roman;serif"/>
          <w:b/>
          <w:i/>
          <w:color w:val="000000"/>
          <w:sz w:val="20"/>
        </w:rPr>
        <w:t>Six months ended June 30, 2026 compared to six months ended June 30, 2025</w:t>
      </w:r>
      <w:r>
        <w:rPr>
          <w:rFonts w:ascii="Times New Roman;serif" w:hAnsi="Times New Roman;serif"/>
          <w:b w:val="false"/>
          <w:color w:val="000000"/>
          <w:sz w:val="20"/>
        </w:rPr>
        <w:t>. Cash provided by operating activities during 2026 was $7.65 billion compared to $5.68 billion for 2025, and net income was $4.51 billion for 2026 and $3.18 billion for 2025. The difference between net income and net cash provided by operating activities for the six months ended June 30, 2026 primarily consisted of net changes in operating assets and liabilities (net of effects of acquisitions) of $228 million and other items totaling $2.82 billion, which includes non-cash items and items related to investing and financing activities that are included in net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non-cash activity in 2026 and 2025 consisted primarily of depreciation, depletion and amortization of $3.16 billion and $2.75 billion, respectively, deferred income tax expense of $167 million and $7 million, respectively, favorable inventory valuation adjustments of $426 million and $21 million, respectively, and non-cash compensation expense of $88 million and $70 million, respectively. For 2026 and 2025, net income also included equity in earnings of unconsolidated affiliates of $218 million and $197 million, respectively, losses on extinguishments of debt of $7 million and $19 million, respectively, and in 2025, impairment losses of $7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includes cash distributions received from unconsolidated affiliates that are deemed to be paid from cumulative earnings, which distributions were $125 million in 2026 and $165 million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paid for interest, net of interest capitalized, was $1.74 billion and $1.56 billion for the six months ended June 30, 2026 and 2025, respectively. Interest capitalized was $120 million and $55 million for the six months ended June 30, 2026 and 2025, respectively.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from investing activities primarily consist of cash amounts paid for acquisitions, capital expenditures, cash contributions to our joint ventures and cash proceeds from sales or contributions of assets or businesses. In addition, distributions from equity investees are included in cash flows from investing activities if the distributions are deemed to be a return of the Partnership’s investment. Changes in capital expenditures between periods primarily result from increases or decreases in our growth capital expenditures to fund our construction and expansion projects.</w:t>
      </w:r>
    </w:p>
    <w:p>
      <w:pPr>
        <w:pStyle w:val="TextBody"/>
        <w:bidi w:val="0"/>
        <w:spacing w:lineRule="auto" w:line="288" w:before="120" w:after="283"/>
        <w:jc w:val="both"/>
        <w:rPr/>
      </w:pPr>
      <w:r>
        <w:rPr>
          <w:rFonts w:ascii="Times New Roman;serif" w:hAnsi="Times New Roman;serif"/>
          <w:b/>
          <w:i/>
          <w:color w:val="000000"/>
          <w:sz w:val="20"/>
        </w:rPr>
        <w:t xml:space="preserve">Six months ended June 30, 2026 compared to six months ended June 30, 2025. </w:t>
      </w:r>
      <w:r>
        <w:rPr>
          <w:rFonts w:ascii="Times New Roman;serif" w:hAnsi="Times New Roman;serif"/>
          <w:b w:val="false"/>
          <w:color w:val="000000"/>
          <w:sz w:val="20"/>
        </w:rPr>
        <w:t>Cash used in investing activities during 2026 was $4.13 billion compared to $2.90 billion for 2025. Total capital expenditures (excluding the allowance for equity funds used during construction and net of contributions in aid of construction costs) for 2026 were $3.45 billion compared to $2.86 billion for 2025. Additional detail related to our capital expenditures is provided in the table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USAC paid $445 million, net of cash acquired, for the acquisition of J-W Energy Company and Sunoco LP paid $194 million, net of cash acquired, for the TanQuid acquisition and $75 million, net of cash acquired, for the Delta acquisition. Additionally, in 2026, Sunoco LP paid $72 million in cash for other acquisitions and in 2025, Sunoco LP paid $104 million in cash for acquisitions of fuel equipment, motor fuel inventory and supply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received cash distributions from unconsolidated affiliates in excess of cumulative earnings of $79 million and $56 million, respectively, and we paid cash contributions to unconsolidated affiliates of $30 million and $4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capital expenditures (including only our proportionate share for joint ventures, net of contributions in aid of construction costs) on an accrual basis for the six months ended June 30, 2026:</w:t>
      </w:r>
    </w:p>
    <w:tbl>
      <w:tblPr>
        <w:tblW w:w="8584" w:type="dxa"/>
        <w:jc w:val="left"/>
        <w:tblInd w:w="0" w:type="dxa"/>
        <w:tblLayout w:type="fixed"/>
        <w:tblCellMar>
          <w:top w:w="28" w:type="dxa"/>
          <w:left w:w="28" w:type="dxa"/>
          <w:bottom w:w="28" w:type="dxa"/>
          <w:right w:w="28" w:type="dxa"/>
        </w:tblCellMar>
      </w:tblPr>
      <w:tblGrid>
        <w:gridCol w:w="1609"/>
        <w:gridCol w:w="1411"/>
        <w:gridCol w:w="1419"/>
        <w:gridCol w:w="244"/>
        <w:gridCol w:w="713"/>
        <w:gridCol w:w="126"/>
        <w:gridCol w:w="126"/>
        <w:gridCol w:w="126"/>
        <w:gridCol w:w="126"/>
        <w:gridCol w:w="314"/>
        <w:gridCol w:w="694"/>
        <w:gridCol w:w="163"/>
        <w:gridCol w:w="126"/>
        <w:gridCol w:w="126"/>
        <w:gridCol w:w="126"/>
        <w:gridCol w:w="244"/>
        <w:gridCol w:w="713"/>
        <w:gridCol w:w="178"/>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Expenditures Recorded During Period</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(including eliminations)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cash flows from financing activities between periods primarily result from changes in the levels of borrowings and equity issuances, which are primarily used to fund our acquisitions and growth capital expenditures. Distributions increase between the periods based on increases in the number of common units outstanding or increases in the distribution rate.</w:t>
      </w:r>
    </w:p>
    <w:p>
      <w:pPr>
        <w:pStyle w:val="TextBody"/>
        <w:bidi w:val="0"/>
        <w:spacing w:lineRule="auto" w:line="288" w:before="120" w:after="283"/>
        <w:jc w:val="both"/>
        <w:rPr/>
      </w:pPr>
      <w:r>
        <w:rPr>
          <w:rFonts w:ascii="Times New Roman;serif" w:hAnsi="Times New Roman;serif"/>
          <w:b/>
          <w:i/>
          <w:color w:val="000000"/>
          <w:sz w:val="20"/>
        </w:rPr>
        <w:t>Six months ended June 30, 2026 compared to six months ended June 30, 2025.</w:t>
      </w:r>
      <w:r>
        <w:rPr>
          <w:color w:val="000000"/>
        </w:rPr>
        <w:t xml:space="preserve"> </w:t>
      </w:r>
      <w:r>
        <w:rPr>
          <w:rFonts w:ascii="Times New Roman;serif" w:hAnsi="Times New Roman;serif"/>
          <w:b w:val="false"/>
          <w:color w:val="000000"/>
          <w:sz w:val="20"/>
        </w:rPr>
        <w:t>Cash used in financing activities during 2026 was $3.77 billion compared to $2.85 billion for 2025. During 2026, we had a net decrease in our debt level of $231 million compared to a net increase of $1.02 billion for 2025. In 2026 and 2025, we paid debt issuance costs of $49 million and $53 million, respectively. In 2025, we paid $500 million in cash for the redemption of our Series F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paid distributions of $2.41 billion and $2.35 billion, respectively, to our partners, we paid distributions of $1.07 billion and $934 million, respectively, to noncontrolling interests, and we paid distributions of $17 million and $34 million, respectively, to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received capital contributions of $1 million and $5 million, respectively, in cash from noncontrolling interests. In 2026, we received capital contributions of $6 million in cash from redeemable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 of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outstanding consolidated indebtedness was as follows:</w:t>
      </w:r>
    </w:p>
    <w:tbl>
      <w:tblPr>
        <w:tblW w:w="7983" w:type="dxa"/>
        <w:jc w:val="left"/>
        <w:tblInd w:w="0" w:type="dxa"/>
        <w:tblLayout w:type="fixed"/>
        <w:tblCellMar>
          <w:top w:w="28" w:type="dxa"/>
          <w:left w:w="28" w:type="dxa"/>
          <w:bottom w:w="28" w:type="dxa"/>
          <w:right w:w="28" w:type="dxa"/>
        </w:tblCellMar>
      </w:tblPr>
      <w:tblGrid>
        <w:gridCol w:w="1941"/>
        <w:gridCol w:w="1703"/>
        <w:gridCol w:w="1711"/>
        <w:gridCol w:w="211"/>
        <w:gridCol w:w="721"/>
        <w:gridCol w:w="109"/>
        <w:gridCol w:w="109"/>
        <w:gridCol w:w="109"/>
        <w:gridCol w:w="109"/>
        <w:gridCol w:w="245"/>
        <w:gridCol w:w="837"/>
        <w:gridCol w:w="178"/>
      </w:tblGrid>
      <w:tr>
        <w:trPr/>
        <w:tc>
          <w:tcPr>
            <w:tcW w:w="194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indebtedness: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Notes and debentures</w:t>
            </w:r>
            <w:r>
              <w:rPr>
                <w:rFonts w:ascii="Times New Roman;serif" w:hAnsi="Times New Roman;serif"/>
                <w:b w:val="false"/>
                <w:color w:val="000000"/>
                <w:sz w:val="13"/>
              </w:rPr>
              <w:t>(1)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Five-Year Credit Facility</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indebtedness: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Transwestern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Bakken Project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Sunoco LP senior notes, bonds and lease-related obligations</w:t>
            </w:r>
            <w:r>
              <w:rPr>
                <w:rFonts w:ascii="Times New Roman;serif" w:hAnsi="Times New Roman;serif"/>
                <w:b w:val="false"/>
                <w:color w:val="000000"/>
                <w:sz w:val="13"/>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USAC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Sunoco LP credit facility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USAC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unamortized premiums, discounts and fair value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 of June 30, 2026, these balances included approximately $4.40 billion aggregate principal amount due on or before June 30, 2027, which were classified as long-term as management has the intent and ability to refinance the borrowings on a long-term basis.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See additional information below under “Recent Transactions.”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Notes Issuances and Redemptions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Partnership issued $1.00 billion aggregate principal amount of 4.55% senior notes due 2031, $1.00 billion aggregate principal amount of 5.35% senior notes due 2036 and $1.00 billion aggregate principal amount of 6.30% senior notes due 2056. The Partnership used the net proceeds to refinance existing indebtedness, including to repay commercial paper and borrowings under its 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Partnership redeemed its $1.00 billion aggregate principal amount of 4.75% senior notes due January 2026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Partnership redeemed its $600 million aggregate principal amount of 5.625% senior notes due May 2027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2026, the Partnership issued $650 million aggregate principal amount of its Series 2026A Junior Subordinated Notes due 2057 (the “Series 2026A notes”) and $1.10 billion aggregate principal amount of its Series 2026B Junior Subordinated Notes due 2057 (the “Series 2026B notes”). Initially, the Series 2026A notes will bear interest at an annual rate of 6.550% and the Series 2026B notes will bear interest at an annual rate of 6.700%. The Partnership intends to use the net proceeds to redeem the Series H Preferred Units, to repay borrowings under its Five-Year Credit Facility and for general partnership purposes.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Senior Notes Issuances and Redemption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issued $600 million aggregate principal amount of 5.375% senior notes due 2031 and $600 million aggregate principal amount of 5.625% senior notes due 2034. These notes will mature on July 15, 2031 and July 15, 2034, respectively, and interest is payable semi-annually on January 15 and July 15 of each year, commencing on July 15, 2026. Sunoco LP used a portion of the net proceeds from this private offering to redeem in full its $500 million aggregate principal amount of 6.000% senior notes due 2026 and its $600 million aggregate principal amount of 6.000% senior notes due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redeemed Parkland’s remaining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2026, Sunoco LP redeemed all of its outstanding 3.875% CAD senior notes due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Facilities and Commercial Paper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Five-Year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Five-Year Credit Facility had $1.21 billion of outstanding borrowings, $1.12 billion of which consisted of commercial paper. The amount available for future borrowings was $3.76 billion, after accounting for outstanding letters of credit in the amount of $24 million. The weighted average interest rate on the total amount outstanding as of June 30, 2026 was 4.00%.</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Sunoco LP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Sunoco LP’s credit facility, which matures in June 2030, had no outstanding borrowings and $183 million in standby letters of credit. The unused availability on Sunoco LP’s revolving credit facility as of June 30, 2026 was $2.32 billion. The weighted average interest rate on the total amount outstanding as of June 30, 2026 was 5.46%.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Receivables Financing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Sunoco LP’s acquisition of NuStar, the commitments under NuStar’s receivables financing agreement were reduced to zero during a suspension period, for which the period end has not been determined. As of June 30, 2026, this facility had no outstanding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USAC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USAC’s credit facility, which matures in August 2030, had $1.21 billion of outstanding borrowings and $2 million outstanding letters of credit. As of June 30, 2026, USAC’s credit facility had $537 million of remaining unused availability. The weighted average interest rate on the total amount outstanding as of June 30, 2026 was 5.59%.</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Compliance with our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were in compliance with all requirements, tests, limitations and covenants related to our debt agreements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DISTRIBUTIONS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Distributions Paid by Energy Transfer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its Partnership Agreement, Energy Transfer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to provide for future cash requirements.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and/or paid with respect to Energy Transfer common units subsequent to December 31, 2025 were as follows:</w:t>
      </w:r>
    </w:p>
    <w:tbl>
      <w:tblPr>
        <w:tblW w:w="683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4"/>
        <w:gridCol w:w="494"/>
        <w:gridCol w:w="497"/>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on the Energy Transfer Preferred Units were as follows:</w:t>
      </w:r>
    </w:p>
    <w:tbl>
      <w:tblPr>
        <w:tblW w:w="10205" w:type="dxa"/>
        <w:jc w:val="left"/>
        <w:tblInd w:w="0" w:type="dxa"/>
        <w:tblLayout w:type="fixed"/>
        <w:tblCellMar>
          <w:top w:w="28" w:type="dxa"/>
          <w:left w:w="28" w:type="dxa"/>
          <w:bottom w:w="28" w:type="dxa"/>
          <w:right w:w="28" w:type="dxa"/>
        </w:tblCellMar>
      </w:tblPr>
      <w:tblGrid>
        <w:gridCol w:w="557"/>
        <w:gridCol w:w="488"/>
        <w:gridCol w:w="455"/>
        <w:gridCol w:w="109"/>
        <w:gridCol w:w="109"/>
        <w:gridCol w:w="109"/>
        <w:gridCol w:w="452"/>
        <w:gridCol w:w="442"/>
        <w:gridCol w:w="423"/>
        <w:gridCol w:w="109"/>
        <w:gridCol w:w="109"/>
        <w:gridCol w:w="109"/>
        <w:gridCol w:w="482"/>
        <w:gridCol w:w="456"/>
        <w:gridCol w:w="458"/>
        <w:gridCol w:w="109"/>
        <w:gridCol w:w="109"/>
        <w:gridCol w:w="109"/>
        <w:gridCol w:w="211"/>
        <w:gridCol w:w="721"/>
        <w:gridCol w:w="109"/>
        <w:gridCol w:w="109"/>
        <w:gridCol w:w="109"/>
        <w:gridCol w:w="109"/>
        <w:gridCol w:w="266"/>
        <w:gridCol w:w="497"/>
        <w:gridCol w:w="129"/>
        <w:gridCol w:w="109"/>
        <w:gridCol w:w="109"/>
        <w:gridCol w:w="109"/>
        <w:gridCol w:w="266"/>
        <w:gridCol w:w="497"/>
        <w:gridCol w:w="129"/>
        <w:gridCol w:w="109"/>
        <w:gridCol w:w="109"/>
        <w:gridCol w:w="109"/>
        <w:gridCol w:w="211"/>
        <w:gridCol w:w="721"/>
        <w:gridCol w:w="109"/>
        <w:gridCol w:w="164"/>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B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G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H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I </w:t>
            </w:r>
            <w:r>
              <w:rPr>
                <w:rFonts w:ascii="Times New Roman;serif" w:hAnsi="Times New Roman;serif"/>
                <w:b w:val="false"/>
                <w:color w:val="000000"/>
                <w:sz w:val="12"/>
              </w:rPr>
              <w:t>(1)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record date and payment date shown above apply to all Energy Transfer Preferred Units, except for the Series I Preferred Units. For the period ended December 31, 2025, the cash distribution on Series I Preferred Units was paid on February 17, 2026 to unitholders of record as of the close of business on February 4, 2026. For the period ended March 31, 2026, the cash distribution on Series I Preferred Units was paid on May 15, 2026 to unitholders of record as of the close of business on May 4, 2026. For the period ended June 30, 2026, the cash distribution on Series I Preferred Units will be paid on August 14, 2026 to unitholders of record as of the close of business on August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Series B, Series G and Series H distributions are currently paid on a semi-annual basis. Distributions on the Series B Preferred Units will begin to be paid quarterly on February 15, 2028. The final distributions on Series H Preferred Units will be paid in conjunction with the Series H Preferred Unit redemption on August 17,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distribution and redemption rights associated with the Energy Transfer Preferred Units is included in Note 9 in “Item 1.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Distributions Paid by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consolidated financial statements include SunocoCorp, Sunoco LP and USAC, as well as other non-wholly owned consolidated joint ventures. The following sections describe cash distributions made by our publicly traded subsidiaries, SunocoCorp, Sunoco LP and USAC, all of which are required to distribute all cash on hand (less appropriate reserves determined by the boards of directors of their respective general partners) subsequent to the end of each quarter.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Paid by SunocoCorp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SunocoCorp’s common units declared and/or paid by SunocoCorp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Distributions Paid by Sunoco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common units and Class D Units declared and/or paid by Sunoco LP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Series A Preferred Units, which are paid semi-annually, were as follows:</w:t>
      </w:r>
    </w:p>
    <w:tbl>
      <w:tblPr>
        <w:tblW w:w="4551" w:type="dxa"/>
        <w:jc w:val="left"/>
        <w:tblInd w:w="0" w:type="dxa"/>
        <w:tblLayout w:type="fixed"/>
        <w:tblCellMar>
          <w:top w:w="28" w:type="dxa"/>
          <w:left w:w="28" w:type="dxa"/>
          <w:bottom w:w="28" w:type="dxa"/>
          <w:right w:w="28" w:type="dxa"/>
        </w:tblCellMar>
      </w:tblPr>
      <w:tblGrid>
        <w:gridCol w:w="471"/>
        <w:gridCol w:w="415"/>
        <w:gridCol w:w="418"/>
        <w:gridCol w:w="109"/>
        <w:gridCol w:w="109"/>
        <w:gridCol w:w="109"/>
        <w:gridCol w:w="109"/>
        <w:gridCol w:w="109"/>
        <w:gridCol w:w="464"/>
        <w:gridCol w:w="464"/>
        <w:gridCol w:w="466"/>
        <w:gridCol w:w="109"/>
        <w:gridCol w:w="109"/>
        <w:gridCol w:w="109"/>
        <w:gridCol w:w="211"/>
        <w:gridCol w:w="61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Distributions Paid by USAC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USAC’s common units declared and/or paid by USAC subsequent to December 31, 2025 were as follows:</w:t>
      </w:r>
    </w:p>
    <w:tbl>
      <w:tblPr>
        <w:tblW w:w="5031"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494"/>
        <w:gridCol w:w="494"/>
        <w:gridCol w:w="496"/>
        <w:gridCol w:w="109"/>
        <w:gridCol w:w="109"/>
        <w:gridCol w:w="109"/>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critical accounting estimates are described in its Annual Report on Form 10-K filed with the SEC on February 19, 2026. We have not made any changes to the accounting policies involving critical accounting estimates subsequent to the Form 10-K filing. Changes to any of the related estimate amounts are discussed in the notes to consolidated financial statements included in “Item 1. Financial Statements” in this quarterly report on Form 10-Q.</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various forward-looking statements and information that are based on our beliefs and those of our General Partner, as well as assumptions made by and information currently available to us. These forward-looking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identified as any statement that does not relate strictly to historical or current facts. When used in this quarterly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lineRule="auto" w:line="288" w:before="120" w:after="283"/>
        <w:ind w:left="0" w:right="0" w:hanging="360"/>
        <w:jc w:val="both"/>
        <w:rPr/>
      </w:pPr>
      <w:r>
        <w:rPr>
          <w:color w:val="212529"/>
        </w:rPr>
        <w:t>•</w:t>
      </w:r>
      <w:r>
        <w:rPr>
          <w:rFonts w:ascii="Times New Roman;serif" w:hAnsi="Times New Roman;serif"/>
          <w:b w:val="false"/>
          <w:color w:val="000000"/>
          <w:sz w:val="20"/>
        </w:rPr>
        <w:t>the ability of our subsidiaries to make cash distributions to us, which is dependent on their results of operations, cash flows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actual amount of cash distributions by our subsidiaries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volumes transported on our subsidiaries’ pipelines and gathering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throughput in our subsidiaries’ processing and treating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fees our subsidiaries charge and the margins they realize for their gathering, treating, processing, storage and transportation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prices and market demand for, and the relationship between,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prices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impacts of world health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of cyber and malware attacks;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prices of natural gas and NGLs compared to the price of alternative and competing fuels;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general level of petroleum product demand and the availability and price of NGL supplies;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domestic oil, natural gas and NGL production;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imported oil,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actions taken by foreign oil and gas producing nations;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political and economic stability of petroleum producing nations;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weather conditions on demand for oil,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of local, intrastate and interstate transportation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continued ability to find and contract for new sources of natural gas supply;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and marketing of competitive fuels;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energy conservation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efficiencies and technological trends;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governmental regulation, taxation and tariffs;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to, and the application of, regulation of tariff rates and operational requirements related to our subsidiaries’ interstate and intrastate pipelines;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hazards or operating risks incidental to the gathering, treating, processing and transporting of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competition from other midstream companies and interstate pipeline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key natural gas producers or the providers of fractionation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reductions in the capacity or allocations of third-party pipelines that connect with our subsidiaries’ pipelines and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risk-management policies and procedures and the ability of our subsidiaries’ liquids marketing counterparties to satisfy their financial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nonpayment or nonperformance by our subsidiaries’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and cost of capital and our subsidiaries’ ability to access certain capital 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deterioration of the credit and capital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the assets and operations of entities in which our subsidiaries own noncontrolling interests, including risks related to management actions at such entities that our subsidiaries may not be able to control or exert influence;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successfully identify and consummate strategic acquisitions at purchase prices that are accretive to our financial results and to successfully integrate acquired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to which we are subject, including tax, environmental, transportation and employment regulations or new interpretations by regulatory agencies concerning such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and effects of legal and administrative proceedings;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a potential failure to successfully combine our business with those of companies we have acquired or may acquire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put undue reliance on any forward-looking statements. When considering forward-looking statements, please review the risks described under “Part I - Item 1A. Risk Factors” of our Annual Report on Form 10-K for the year ended December 31, 2025 filed with the SEC on February 19, 2026 and in “Part II - Item 1A. Risk Factors” of our Quarterly Report on Form 10-Q for the quarter ended March 31, 2026 filed with the SEC on May 7, 2026. 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3 updates, and should be read in conjunction with, information set forth in “Part II - Item 7A - Quantitative and Qualitative Disclosures About Market Risk” included in the Partnership’s Annual Report on Form 10-K for the year ended December 31, 2025 filed with the SEC on February 19, 2026, in addition to the accompanying notes and management’s discussion and analysis of financial condition and results of operations presented in Items 1 and 2 of this Quarterly Report on Form 10-Q. Our quantitative and qualitative disclosures about market risk are consistent with those discussed in our Annual Report on Form 10-K for the year ended December 31, 2025. Since December 31, 2025, there have been no material changes to our primary market risk exposures or how those exposures are managed.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commodity-related financial derivative instruments and fair values, including derivatives related to our consolidated subsidiaries, as well as the effect of an assumed hypothetical 10% change in the underlying price of the commodity. Dollar amounts are presented in millions.</w:t>
      </w:r>
    </w:p>
    <w:tbl>
      <w:tblPr>
        <w:tblW w:w="10205" w:type="dxa"/>
        <w:jc w:val="left"/>
        <w:tblInd w:w="0" w:type="dxa"/>
        <w:tblLayout w:type="fixed"/>
        <w:tblCellMar>
          <w:top w:w="28" w:type="dxa"/>
          <w:left w:w="28" w:type="dxa"/>
          <w:bottom w:w="28" w:type="dxa"/>
          <w:right w:w="28" w:type="dxa"/>
        </w:tblCellMar>
      </w:tblPr>
      <w:tblGrid>
        <w:gridCol w:w="714"/>
        <w:gridCol w:w="628"/>
        <w:gridCol w:w="630"/>
        <w:gridCol w:w="500"/>
        <w:gridCol w:w="503"/>
        <w:gridCol w:w="276"/>
        <w:gridCol w:w="109"/>
        <w:gridCol w:w="109"/>
        <w:gridCol w:w="109"/>
        <w:gridCol w:w="328"/>
        <w:gridCol w:w="398"/>
        <w:gridCol w:w="171"/>
        <w:gridCol w:w="109"/>
        <w:gridCol w:w="109"/>
        <w:gridCol w:w="109"/>
        <w:gridCol w:w="428"/>
        <w:gridCol w:w="520"/>
        <w:gridCol w:w="223"/>
        <w:gridCol w:w="109"/>
        <w:gridCol w:w="109"/>
        <w:gridCol w:w="109"/>
        <w:gridCol w:w="426"/>
        <w:gridCol w:w="427"/>
        <w:gridCol w:w="276"/>
        <w:gridCol w:w="109"/>
        <w:gridCol w:w="109"/>
        <w:gridCol w:w="109"/>
        <w:gridCol w:w="278"/>
        <w:gridCol w:w="476"/>
        <w:gridCol w:w="145"/>
        <w:gridCol w:w="109"/>
        <w:gridCol w:w="109"/>
        <w:gridCol w:w="109"/>
        <w:gridCol w:w="413"/>
        <w:gridCol w:w="501"/>
        <w:gridCol w:w="309"/>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of</w:t>
              <w:br/>
              <w:t>Hypothetical</w:t>
              <w:br/>
              <w:t>10%</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of</w:t>
              <w:br/>
              <w:t>Hypothetical</w:t>
              <w:br/>
              <w:t>10%</w:t>
              <w:br/>
              <w:t>Change</w:t>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Derivatives</w:t>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(Megawatt)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NGL and refined products (MBbls)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Hedging Derivatives</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and our subsidiaries had $3.02 billion of floating rate debt outstanding. A hypothetical change of 100 basis points would result in a maximum potential change to interest expense of $30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 in the rate on a portion of anticipated debt issuances.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rate swaps outstanding, none of which were designated as hedges for accounting purposes (dollar amounts presented in millions):</w:t>
      </w:r>
    </w:p>
    <w:tbl>
      <w:tblPr>
        <w:tblW w:w="10147" w:type="dxa"/>
        <w:jc w:val="left"/>
        <w:tblInd w:w="0" w:type="dxa"/>
        <w:tblLayout w:type="fixed"/>
        <w:tblCellMar>
          <w:top w:w="28" w:type="dxa"/>
          <w:left w:w="28" w:type="dxa"/>
          <w:bottom w:w="28" w:type="dxa"/>
          <w:right w:w="28" w:type="dxa"/>
        </w:tblCellMar>
      </w:tblPr>
      <w:tblGrid>
        <w:gridCol w:w="581"/>
        <w:gridCol w:w="507"/>
        <w:gridCol w:w="516"/>
        <w:gridCol w:w="109"/>
        <w:gridCol w:w="109"/>
        <w:gridCol w:w="109"/>
        <w:gridCol w:w="1746"/>
        <w:gridCol w:w="1746"/>
        <w:gridCol w:w="1772"/>
        <w:gridCol w:w="109"/>
        <w:gridCol w:w="109"/>
        <w:gridCol w:w="109"/>
        <w:gridCol w:w="665"/>
        <w:gridCol w:w="1472"/>
        <w:gridCol w:w="488"/>
      </w:tblGrid>
      <w:tr>
        <w:trPr/>
        <w:tc>
          <w:tcPr>
            <w:tcW w:w="58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 Outstanding</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Type</w:t>
            </w:r>
            <w:r>
              <w:rPr>
                <w:rFonts w:ascii="Times New Roman;serif" w:hAnsi="Times New Roman;serif"/>
                <w:b w:val="false"/>
                <w:color w:val="000000"/>
                <w:sz w:val="13"/>
              </w:rPr>
              <w:t>(1)</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Sunoco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shd w:fill="CCEEFF" w:val="clear"/>
              </w:rPr>
              <w:t xml:space="preserve">December 2030 </w:t>
            </w:r>
            <w:r>
              <w:rPr>
                <w:rFonts w:ascii="Times New Roman;serif" w:hAnsi="Times New Roman;serif"/>
                <w:b w:val="false"/>
                <w:color w:val="000000"/>
                <w:sz w:val="13"/>
                <w:shd w:fill="CCEEFF" w:val="clear"/>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Pay an average fixed rate of 2.5095% and receive a 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126 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Floating rates are based on EURIBOR.</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December 2030 interest rate swap was acquired in conjunction with Sunoco LP’s TanQuid acquisition in 2026, with a notional amount of €111 million ($126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Translation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generate revenues, incur expenses, and maintain investments and subsidiaries in currencies other than the U.S. dollar. As a result, our reported earnings, cash flows, and AOCI are exposed to fluctuations in foreign currency exchange rates. Changes in exchange rates can affect the U.S. dollar value of our foreign</w:t>
        <w:noBreakHyphen/>
        <w:t>currency</w:t>
        <w:noBreakHyphen/>
        <w:t>denominated assets and liabilities, as well as the translation of the operating results and financial position of our international subsidiaries. We may utilize derivative instruments, including foreign currency forward contracts and other hedging strategies, to mitigate the effects of foreign currency</w:t>
        <w:noBreakHyphen/>
        <w:t>denominated cash flow and earnings exposures. As of June 30, 2026, the Partnership did not have any material outstanding foreign currency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senior management, including the Co-Chief Executive Officers (Co-Principal Executive Officers) and the Chief Financial Officer (Principal Financial Officer) of our General Partner, we evaluated our disclosure controls and procedures, as such term is defined under Rule 13a–15(e) promulgated under the Exchange Act. Based on this evaluation, the Co-Principal Executive Officers and the Principal Financial Officer of our General Partner concluded that our disclosure controls and procedures were effective as of June 30, 2026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Co-Principal Executive Officers and Principal Financial Officer of our General Partner, to allow timely decisions regarding required disclosure.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or Rule 15d-15(f) of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our Annual Report on Form 10-K filed with the SEC on February 19, 2026 and Note 10 in “Item 1. Financial Statements” in this Quarterly Report on Form 10-Q for the quarter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received notices of violations and potential fines under various federal, state and local provisions relating to the discharge of materials into the environment or protection of the environment. While we believe that even if any one or more of the following environmental proceedings were decided against us, it would not be material to our financial position, results of operations or cash flows, we are required to report environmental governmental proceedings if we reasonably believe that such proceedings reasonably could result in monetary sanctions in excess of $1 million (previously $0.3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On January 25, 2022, the chief judge assigned an administrative law judge and set a timeline for a prehearing conference.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 2022, Energy Transfer and Rover filed a Complaint for Declaratory Relief in the United States District Court for the Northern District of Texas (“USDC”)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USDC case. On May 24, 2022, the USDC ordered a stay of the FERC’s enforcement case and the USDC case pending the resolution of two cases pending before the United States Supreme Court. Arguments were heard in those cases on November 7, 2022. On April 14, 2023, the United States Supreme Court held against the government in both cases, finding that the USDC had jurisdiction to hear those suits and to resolve the parties’ constitutional challenges. The cases were remanded to the USDC for further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13, 2023 the USDC ordered that the USDC case would be stayed pending the resolution of another case pending before the United States Supreme Court and that the FERC enforcement case would remain stayed. On November 13, 2023, the FERC appealed the USDC order to the United States Court of Appeals for the Fifth Circuit (the “Fifth Circuit”). On December 11, 2023, FERC filed a motion to withdraw that appeal, which the Fifth Circuit granted on December 12, 2023. The FERC and USDC proceedings were previously stayed pending resolution of the case pending before the United States Supreme Court. The Supreme Court issued a decision in that case on June 27, 2024. The FERC and USDC proceedings remain stayed at this time. The USDC set a scheduling conference for December 16, 2025. The parties have filed several motions to continue the status conference. On July 22, 2026, the USDC held this matter in abeyance, pending the outcome of settlement discussions between the parties. Notwithstanding the foregoing, Energy Transfer and Rover intend to vigorously defend this claim.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 LP and certain of its subsidiaries are defendants in lawsuits alleging liability for climate change impacts from greenhouse gas emissions in Hawaii, Maine and Vermont. Plaintiffs in these cases allege deceptive marketing and concealment of information about these effects, violations of state consumer protection and unfair trade practices laws, and seek certain equitable relief, statutory and civil penalties, punitive damages, disgorgement of profits and attorney’s fees. We are unable to estimate the possible loss or range of loss in excess of amounts accrued. Sunoco LP intends to vigorously defend the subject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described in “Part I – Item 1A. Risk Factors” of our Annual Report on Form 10-K for the year ended December 31, 2025 filed with the SEC on February 19, 2026, as updated by “Part II – Item 1A. Risk Factors” of our Quarterly Report on Form 10-Q for the quarter ended March 31, 2026 filed with the SEC on May 7, 2026 and by Exhibit 99.1 to our current report on Form 8-K filed on July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on the following exhibit index are filed or furnished, as indicated, as part of this report:</w:t>
      </w:r>
    </w:p>
    <w:tbl>
      <w:tblPr>
        <w:tblW w:w="10205" w:type="dxa"/>
        <w:jc w:val="left"/>
        <w:tblInd w:w="0" w:type="dxa"/>
        <w:tblLayout w:type="fixed"/>
        <w:tblCellMar>
          <w:top w:w="28" w:type="dxa"/>
          <w:left w:w="28" w:type="dxa"/>
          <w:bottom w:w="28" w:type="dxa"/>
          <w:right w:w="28" w:type="dxa"/>
        </w:tblCellMar>
      </w:tblPr>
      <w:tblGrid>
        <w:gridCol w:w="344"/>
        <w:gridCol w:w="303"/>
        <w:gridCol w:w="304"/>
        <w:gridCol w:w="109"/>
        <w:gridCol w:w="109"/>
        <w:gridCol w:w="109"/>
        <w:gridCol w:w="2966"/>
        <w:gridCol w:w="2831"/>
        <w:gridCol w:w="2863"/>
        <w:gridCol w:w="109"/>
        <w:gridCol w:w="158"/>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Plan of Conversion of Energy Transfer LP, dated as of July 2, 2026 (incorporated by reference to Exhibit 2.1 of Form 8-K (File No. 1-32740) filed July 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Certificate of Formation of Energy Transfer LP, dated as of July 6, 2026 (incorporated by reference to Exhibit 3.1 of Form 8-K (File No. 1-32740) filed July 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Agreement of Limited Partnership of Energy Transfer LP, dated as of July 6, 2026 (incorporated by reference to Exhibit 3.2 of Form 8-K (File No. 1-32740) filed July 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formofcommercialpape.htm">
              <w:r>
                <w:rPr>
                  <w:rStyle w:val="InternetLink"/>
                  <w:rFonts w:ascii="Times New Roman;serif" w:hAnsi="Times New Roman;serif"/>
                  <w:b w:val="false"/>
                  <w:color w:val="0000FF"/>
                  <w:sz w:val="18"/>
                  <w:u w:val="single"/>
                </w:rPr>
                <w:t xml:space="preserve">Form of Commercial Paper Dealer Agreement between Energy Transfer LP, as Issuer, and the Dealer party thereto </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Issuers and Guarantors of Registered Securities (incorporated by reference to Exhibit 22.1 of Form 10-Q (File No. 1-32740) filed August 5,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11.htm">
              <w:r>
                <w:rPr>
                  <w:rStyle w:val="InternetLink"/>
                  <w:rFonts w:ascii="Times New Roman;serif" w:hAnsi="Times New Roman;serif"/>
                  <w:b w:val="false"/>
                  <w:color w:val="0000FF"/>
                  <w:sz w:val="18"/>
                  <w:u w:val="single"/>
                </w:rPr>
                <w:t>Certification of Co-Chief Executive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12.htm">
              <w:r>
                <w:rPr>
                  <w:rStyle w:val="InternetLink"/>
                  <w:rFonts w:ascii="Times New Roman;serif" w:hAnsi="Times New Roman;serif"/>
                  <w:b w:val="false"/>
                  <w:color w:val="0000FF"/>
                  <w:sz w:val="18"/>
                  <w:u w:val="single"/>
                </w:rPr>
                <w:t>Certification of Co-Chief Executive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13.htm">
              <w:r>
                <w:rPr>
                  <w:rStyle w:val="InternetLink"/>
                  <w:rFonts w:ascii="Times New Roman;serif" w:hAnsi="Times New Roman;serif"/>
                  <w:b w:val="false"/>
                  <w:color w:val="0000FF"/>
                  <w:sz w:val="18"/>
                  <w:u w:val="single"/>
                </w:rPr>
                <w:t>Certification of Chief Financial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21.htm">
              <w:r>
                <w:rPr>
                  <w:rStyle w:val="InternetLink"/>
                  <w:rFonts w:ascii="Times New Roman;serif" w:hAnsi="Times New Roman;serif"/>
                  <w:b w:val="false"/>
                  <w:color w:val="0000FF"/>
                  <w:sz w:val="18"/>
                  <w:u w:val="single"/>
                </w:rPr>
                <w:t>Certification of Co-Chief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22.htm">
              <w:r>
                <w:rPr>
                  <w:rStyle w:val="InternetLink"/>
                  <w:rFonts w:ascii="Times New Roman;serif" w:hAnsi="Times New Roman;serif"/>
                  <w:b w:val="false"/>
                  <w:color w:val="0000FF"/>
                  <w:sz w:val="18"/>
                  <w:u w:val="single"/>
                </w:rPr>
                <w:t>Certification of Co-Chief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6-30x2026ex323.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color w:val="000000"/>
                <w:sz w:val="18"/>
              </w:rPr>
            </w:pPr>
            <w:r>
              <w:rPr>
                <w:rFonts w:ascii="Times New Roman;serif" w:hAnsi="Times New Roman;serif"/>
                <w:b w:val="false"/>
                <w:color w:val="000000"/>
                <w:sz w:val="18"/>
              </w:rPr>
              <w:t>Interactive data files pursuant to Rule 405 of Regulation S-T: (i) our Consolidated Balance Sheets; (ii) our Consolidated Statements of Operations; (iii) our Consolidated Statements of Comprehensive Income; (iv) our Consolidated Statements of Equity; (v) our Consolidated Statements of Cash Flows; and (vi) the notes to our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ind w:left="0" w:right="0" w:hanging="360"/>
        <w:jc w:val="both"/>
        <w:rPr/>
      </w:pPr>
      <w:hyperlink w:anchor="if69f33b76caf478b872d467e12c121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43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37"/>
        <w:gridCol w:w="237"/>
        <w:gridCol w:w="237"/>
        <w:gridCol w:w="237"/>
        <w:gridCol w:w="237"/>
        <w:gridCol w:w="237"/>
        <w:gridCol w:w="1780"/>
        <w:gridCol w:w="1780"/>
        <w:gridCol w:w="25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Troy Sturrock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Troy Sturrock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Senior Vice President, Controller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302" w:before="80" w:after="283"/>
        <w:jc w:val="center"/>
        <w:rPr>
          <w:rFonts w:ascii="Times New Roman;serif" w:hAnsi="Times New Roman;serif"/>
          <w:b w:val="false"/>
          <w:color w:val="000000"/>
          <w:sz w:val="48"/>
        </w:rPr>
      </w:pPr>
      <w:r>
        <w:rPr>
          <w:rFonts w:ascii="Times New Roman;serif" w:hAnsi="Times New Roman;serif"/>
          <w:b w:val="false"/>
          <w:color w:val="000000"/>
          <w:sz w:val="48"/>
        </w:rPr>
        <w:t>Commercial Paper Dealer Agreement 4(a)(2) Program</w:t>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Between:</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jc w:val="center"/>
        <w:rPr/>
      </w:pPr>
      <w:r>
        <w:rPr>
          <w:rFonts w:ascii="Times New Roman;serif" w:hAnsi="Times New Roman;serif"/>
          <w:b/>
          <w:color w:val="000000"/>
          <w:sz w:val="22"/>
        </w:rPr>
        <w:t>ENERGY TRANSFER LP</w:t>
      </w:r>
      <w:r>
        <w:rPr>
          <w:rFonts w:ascii="Times New Roman;serif" w:hAnsi="Times New Roman;serif"/>
          <w:b w:val="false"/>
          <w:color w:val="000000"/>
          <w:sz w:val="22"/>
        </w:rPr>
        <w:t>, as Issuer and</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1" w:after="283"/>
        <w:jc w:val="center"/>
        <w:rPr/>
      </w:pPr>
      <w:r>
        <w:rPr>
          <w:rFonts w:ascii="Times New Roman;serif" w:hAnsi="Times New Roman;serif"/>
          <w:b/>
          <w:color w:val="000000"/>
          <w:sz w:val="22"/>
        </w:rPr>
        <w:t>[DEALER].</w:t>
      </w:r>
      <w:r>
        <w:rPr>
          <w:rFonts w:ascii="Times New Roman;serif" w:hAnsi="Times New Roman;serif"/>
          <w:b w:val="false"/>
          <w:color w:val="000000"/>
          <w:sz w:val="22"/>
        </w:rPr>
        <w:t>, as Dealer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9" w:before="0" w:after="0"/>
        <w:ind w:left="0" w:right="0" w:hanging="6"/>
        <w:jc w:val="center"/>
        <w:rPr>
          <w:rFonts w:ascii="Times New Roman;serif" w:hAnsi="Times New Roman;serif"/>
          <w:b w:val="false"/>
          <w:color w:val="000000"/>
          <w:sz w:val="22"/>
        </w:rPr>
      </w:pPr>
      <w:r>
        <w:rPr>
          <w:rFonts w:ascii="Times New Roman;serif" w:hAnsi="Times New Roman;serif"/>
          <w:b w:val="false"/>
          <w:color w:val="000000"/>
          <w:sz w:val="22"/>
        </w:rPr>
        <w:t>Concerning Notes to be issued pursuant to an Issuing and Paying Agent Agreement dated as of August 19, 2016 between the Issuer and U.S. Bank Trust Company, N.A., as Issuing and Paying Agent, as amended, supplemented or otherwise modified from time to time</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August 19,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color w:val="000000"/>
          <w:sz w:val="20"/>
        </w:rPr>
      </w:pPr>
      <w:r>
        <w:rPr>
          <w:rFonts w:ascii="Times New Roman;serif" w:hAnsi="Times New Roman;serif"/>
          <w:b/>
          <w:color w:val="000000"/>
          <w:sz w:val="20"/>
        </w:rPr>
        <w:t>Commercial Paper Dealer Agreement 4(a)(2) Program</w:t>
      </w:r>
    </w:p>
    <w:p>
      <w:pPr>
        <w:pStyle w:val="TextBody"/>
        <w:bidi w:val="0"/>
        <w:spacing w:lineRule="auto" w:line="288" w:before="135" w:after="283"/>
        <w:jc w:val="both"/>
        <w:rPr>
          <w:rFonts w:ascii="Times New Roman;serif" w:hAnsi="Times New Roman;serif"/>
          <w:b w:val="false"/>
          <w:color w:val="000000"/>
          <w:sz w:val="20"/>
        </w:rPr>
      </w:pPr>
      <w:r>
        <w:rPr>
          <w:rFonts w:ascii="Times New Roman;serif" w:hAnsi="Times New Roman;serif"/>
          <w:b w:val="false"/>
          <w:color w:val="000000"/>
          <w:sz w:val="20"/>
        </w:rPr>
        <w:t>This agreement (the “Agreement”) sets forth the understandings between the Issuer and the Dealer, each named on the cover page hereof, in connection with the issuance and sale by the Issuer of its short-term promissory notes (the “Notes”) through the Dealer.</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Certain terms used in this Agreement are defined in Section 6 hereof.</w:t>
      </w:r>
    </w:p>
    <w:p>
      <w:pPr>
        <w:pStyle w:val="TextBody"/>
        <w:bidi w:val="0"/>
        <w:spacing w:lineRule="auto" w:line="288" w:before="186" w:after="283"/>
        <w:jc w:val="both"/>
        <w:rPr>
          <w:rFonts w:ascii="Times New Roman;serif" w:hAnsi="Times New Roman;serif"/>
          <w:b w:val="false"/>
          <w:color w:val="000000"/>
          <w:sz w:val="20"/>
        </w:rPr>
      </w:pPr>
      <w:r>
        <w:rPr>
          <w:rFonts w:ascii="Times New Roman;serif" w:hAnsi="Times New Roman;serif"/>
          <w:b w:val="false"/>
          <w:color w:val="000000"/>
          <w:sz w:val="20"/>
        </w:rPr>
        <w:t>The Addendum to this Agreement, and any Annexes or Exhibits described in this Agreement or such Addendum, are hereby incorporated into this Agreement and made fully a part hereof.</w:t>
      </w:r>
    </w:p>
    <w:p>
      <w:pPr>
        <w:pStyle w:val="TextBody"/>
        <w:bidi w:val="0"/>
        <w:spacing w:before="3" w:after="283"/>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1.Offers, Sales and Resales of Notes.</w:t>
      </w:r>
    </w:p>
    <w:p>
      <w:pPr>
        <w:pStyle w:val="TextBody"/>
        <w:bidi w:val="0"/>
        <w:spacing w:lineRule="auto" w:line="288" w:before="21"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1.1While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pStyle w:val="TextBody"/>
        <w:bidi w:val="0"/>
        <w:spacing w:lineRule="auto" w:line="288" w:before="154"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1.2So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pStyle w:val="TextBody"/>
        <w:bidi w:val="0"/>
        <w:spacing w:lineRule="auto" w:line="288" w:before="152"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1.3The Notes shall be in a minimum denomination of $250,000 or integral multiples of</w:t>
      </w:r>
    </w:p>
    <w:p>
      <w:pPr>
        <w:pStyle w:val="TextBody"/>
        <w:bidi w:val="0"/>
        <w:spacing w:lineRule="auto" w:line="288" w:before="25" w:after="283"/>
        <w:jc w:val="both"/>
        <w:rPr>
          <w:rFonts w:ascii="Times New Roman;serif" w:hAnsi="Times New Roman;serif"/>
          <w:b w:val="false"/>
          <w:color w:val="000000"/>
          <w:sz w:val="20"/>
        </w:rPr>
      </w:pPr>
      <w:r>
        <w:rPr>
          <w:rFonts w:ascii="Times New Roman;serif" w:hAnsi="Times New Roman;serif"/>
          <w:b w:val="false"/>
          <w:color w:val="000000"/>
          <w:sz w:val="20"/>
        </w:rPr>
        <w:t>$1,000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the Private Placement Memorandum, a pricing supplement, or as otherwise agreed upon by the applicable purchaser and the Issuer. The Notes shall not contain any provision for extension, renewal or automatic “rollover.”</w:t>
      </w:r>
    </w:p>
    <w:p>
      <w:pPr>
        <w:pStyle w:val="TextBody"/>
        <w:bidi w:val="0"/>
        <w:spacing w:lineRule="auto" w:line="288" w:before="157"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1.4The authentication and issuance of, and payment for, the Notes shall be effected in accordance with the Issuing and Paying Agent Agreement, and the Notes shall be either individual physical certificates or book-entry notes evidenced by one or more master notes (each, a “Master Note”) registered in the name of The Depository Trust Company (“DTC”) or its nominee, in the form or forms attached hereto as Exhibit 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993900"/>
                <wp:effectExtent l="0" t="0" r="0" b="0"/>
                <wp:wrapNone/>
                <wp:docPr id="75" name="Frame74"/>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57"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1.5If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Agent Agreement and payment for such Note shall be made by the purchaser thereof, either directly or through the Dealer, to the Issuing and Paying Agent, for the account of the Issuer. Except as otherwise agreed, in the event that the Dealer is acting as an agent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pStyle w:val="TextBody"/>
        <w:bidi w:val="0"/>
        <w:spacing w:lineRule="auto" w:line="288" w:before="14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1.6The Dealer and the Issuer hereby establish and agree to observe the following procedures in connection with offers, sales and subsequent resales or other transfers of the Notes:</w:t>
      </w:r>
    </w:p>
    <w:p>
      <w:pPr>
        <w:pStyle w:val="TextBody"/>
        <w:bidi w:val="0"/>
        <w:spacing w:lineRule="auto" w:line="288" w:before="163"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(a)Offers and sales of the Notes by or through the Dealer shall be made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pStyle w:val="TextBody"/>
        <w:bidi w:val="0"/>
        <w:spacing w:lineRule="auto" w:line="288" w:before="156"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(b)Resales and other transfers of the Notes by the holders thereof shall be made only in accordance with the restrictions in the legend described in clause (e) below.</w:t>
      </w:r>
    </w:p>
    <w:p>
      <w:pPr>
        <w:pStyle w:val="TextBody"/>
        <w:bidi w:val="0"/>
        <w:spacing w:lineRule="auto" w:line="288" w:before="164"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(c)No general solicitation or general advertising shall be used in connection with the offering of the Notes. Without limiting the generality of the foregoing, without the prior written approval of the Dealer, the Issuer shall not issue any press release, make any other statement to any member of the press making reference to the Notes, the offer or sale of the Notes or this Agreement or place or publish any “tombstone” or other advertisement relating to the Notes or the offer or sale thereof. To the extent permitted by applicable securities laws, the Issuer shall (i) omit the name of the Dealer from any publicly available filing by the Issuer that makes reference to the Notes, the offer or sale of the Notes or this Agreement and (ii) redact the Dealer's name and any contact or other information that could identify the Dealer from any agreement (including this Agreement) or other information included in such filing (or as an exhibit thereto). For the avoidance of doubt, the Issuer shall not post the Private Placement Memorandum on a website without the consent of the Dealer and each other dealer or placement agent, if any, for the Notes.</w:t>
      </w:r>
    </w:p>
    <w:p>
      <w:pPr>
        <w:pStyle w:val="TextBody"/>
        <w:bidi w:val="0"/>
        <w:spacing w:lineRule="auto" w:line="288" w:before="156"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(d)No sale of Notes to any one purchaser shall be for less than $250,000 principal or face amount, and no Note shall be issued in a smaller principal or face amount. If the purchaser is a non-bank fiduciary acting on behalf of others, each person for whom</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993900"/>
                <wp:effectExtent l="0" t="0" r="0" b="0"/>
                <wp:wrapNone/>
                <wp:docPr id="76" name="Frame75"/>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such purchaser is acting must purchase at least $250,000 principal or face amount of Notes.</w:t>
      </w:r>
    </w:p>
    <w:p>
      <w:pPr>
        <w:pStyle w:val="TextBody"/>
        <w:bidi w:val="0"/>
        <w:spacing w:lineRule="auto" w:line="288" w:before="158"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(e)Offers and sales of the Notes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pStyle w:val="TextBody"/>
        <w:bidi w:val="0"/>
        <w:spacing w:lineRule="auto" w:line="288" w:before="156"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pStyle w:val="TextBody"/>
        <w:bidi w:val="0"/>
        <w:spacing w:lineRule="auto" w:line="288" w:before="154"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pStyle w:val="TextBody"/>
        <w:bidi w:val="0"/>
        <w:spacing w:lineRule="auto" w:line="288" w:before="156"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pStyle w:val="TextBody"/>
        <w:bidi w:val="0"/>
        <w:spacing w:lineRule="auto" w:line="288" w:before="154"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Issuer represents that, on the date hereof, it is not currently issuing commercial paper in the United States market in reliance upon the exemption provided by Section 3(a)(3) of the Securities Act. The Issuer agrees that, if it shall issue commercial paper after the date hereof in reliance upon such exemption (a) the proceeds from the sale of the Notes will be segregated from the proceeds of the sale of any such commercial paper by being placed in a separate account; (b) the Issuer will institute appropriate corporate procedures to ensure that the offers and sales of notes issued by the Issuer pursuant to the Section 3(a)(3) exemption are not integrated with offerings and sales of Notes hereunder; and (c) the Issuer will comply with each of the requirements of Section 3(a)(3) of the Securities Act in selling commercial paper or other short-term debt securities other than the Notes in the United States.</w:t>
      </w:r>
    </w:p>
    <w:p>
      <w:pPr>
        <w:pStyle w:val="TextBody"/>
        <w:bidi w:val="0"/>
        <w:spacing w:lineRule="auto" w:line="288" w:before="151" w:after="283"/>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1.7The Issuer hereby represents and warrants to the Dealer, in connection with offers, sales and resales of Notes, as follows:</w:t>
      </w:r>
    </w:p>
    <w:p>
      <w:pPr>
        <w:pStyle w:val="TextBody"/>
        <w:bidi w:val="0"/>
        <w:spacing w:lineRule="auto" w:line="288" w:before="159"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(a)The Issuer hereby confirms to the Dealer that (except as permitted by Section 1.6(i)) within the preceding six months neither the Issuer nor any person other than the Dealer or the other dealers referred to in Section 1.2 hereof acting on behalf of the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993900"/>
                <wp:effectExtent l="0" t="0" r="0" b="0"/>
                <wp:wrapNone/>
                <wp:docPr id="77" name="Frame76"/>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1"/>
        <w:jc w:val="both"/>
        <w:rPr>
          <w:rFonts w:ascii="Times New Roman;serif" w:hAnsi="Times New Roman;serif"/>
          <w:b w:val="false"/>
          <w:color w:val="000000"/>
          <w:sz w:val="20"/>
        </w:rPr>
      </w:pPr>
      <w:r>
        <w:rPr>
          <w:rFonts w:ascii="Times New Roman;serif" w:hAnsi="Times New Roman;serif"/>
          <w:b w:val="false"/>
          <w:color w:val="000000"/>
          <w:sz w:val="20"/>
        </w:rPr>
        <w:t>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The Issuer hereby represents and warrants that it 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pStyle w:val="TextBody"/>
        <w:bidi w:val="0"/>
        <w:spacing w:lineRule="auto" w:line="288" w:before="144"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pStyle w:val="TextBody"/>
        <w:bidi w:val="0"/>
        <w:spacing w:lineRule="auto" w:line="288" w:before="209" w:after="283"/>
        <w:ind w:left="0" w:right="0" w:hanging="360"/>
        <w:jc w:val="both"/>
        <w:rPr>
          <w:rFonts w:ascii="Times New Roman;serif" w:hAnsi="Times New Roman;serif"/>
          <w:b/>
          <w:color w:val="000000"/>
          <w:sz w:val="20"/>
        </w:rPr>
      </w:pPr>
      <w:r>
        <w:rPr>
          <w:rFonts w:ascii="Times New Roman;serif" w:hAnsi="Times New Roman;serif"/>
          <w:b/>
          <w:color w:val="000000"/>
          <w:sz w:val="20"/>
        </w:rPr>
        <w:t>2.Representations and Warranties of Issuer.</w:t>
      </w:r>
    </w:p>
    <w:p>
      <w:pPr>
        <w:pStyle w:val="TextBody"/>
        <w:bidi w:val="0"/>
        <w:spacing w:lineRule="auto" w:line="288" w:before="21" w:after="283"/>
        <w:jc w:val="both"/>
        <w:rPr>
          <w:rFonts w:ascii="Times New Roman;serif" w:hAnsi="Times New Roman;serif"/>
          <w:b w:val="false"/>
          <w:color w:val="000000"/>
          <w:sz w:val="20"/>
        </w:rPr>
      </w:pPr>
      <w:r>
        <w:rPr>
          <w:rFonts w:ascii="Times New Roman;serif" w:hAnsi="Times New Roman;serif"/>
          <w:b w:val="false"/>
          <w:color w:val="000000"/>
          <w:sz w:val="20"/>
        </w:rPr>
        <w:t>The Issuer represents and warrants that:</w:t>
      </w:r>
    </w:p>
    <w:p>
      <w:pPr>
        <w:pStyle w:val="TextBody"/>
        <w:bidi w:val="0"/>
        <w:spacing w:lineRule="auto" w:line="288" w:before="14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2.1The Issuer is duly organized, validly existing and in good standing under the Laws of its jurisdiction of organization, having all powers and authority to execute, deliver and perform its obligations under the Notes, this Agreement and the Issuing and Paying Agent Agreement.</w:t>
      </w:r>
    </w:p>
    <w:p>
      <w:pPr>
        <w:pStyle w:val="TextBody"/>
        <w:bidi w:val="0"/>
        <w:spacing w:lineRule="auto" w:line="288" w:before="15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2.2This Agreement and the Issuing and Paying Agent Agreement have been duly authorized, executed and delivered by the Issuer and constitute legal, valid and binding obligations of the Issuer enforceable against the Issuer in accordance with their terms, subject to</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993900"/>
                <wp:effectExtent l="0" t="0" r="0" b="0"/>
                <wp:wrapNone/>
                <wp:docPr id="78" name="Frame77"/>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applicable bankruptcy, insolvency and similar laws affecting creditors’ rights generally, and subject, as to enforceability, to general principles of equity (regardless of whether enforcement is sought in a proceeding in equity or at law), and except as rights under this Agreement to indemnity and contribution may be limited by federal or state laws.</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2.3The Notes have been duly authorized, and when issued as provided in the Issuing and Paying Agent Agreement, will be duly and validly issued and will constitute legal, valid and binding obligations of the Issuer enforceable against the Issuer in accordance with their terms, in each case, subject to applicable bankruptcy, insolvency and similar laws affecting creditors’ rights generally, and subject, as to enforceability, to general principles of equity (regardless of whether enforcement is sought in a proceeding in equity or at law).</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2.4The offer and sale of the Notes in the manner contemplated hereby do not require registration of the Notes under the Securities Act, pursuant to the exemption from registration contained in Section 4(a)(2) thereof, and no indenture in respect of the Notes is required to be qualified under the Trust Indenture Act of 1939, as amended.</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2.5The Notes will rank at least pari passu in right of payment with all other unsecured and unsubordinated indebtedness of the Issuer.</w:t>
      </w:r>
    </w:p>
    <w:p>
      <w:pPr>
        <w:pStyle w:val="TextBody"/>
        <w:bidi w:val="0"/>
        <w:spacing w:lineRule="auto" w:line="288" w:before="158"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2.6No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Agent Agreement, except as may be required by the securities or Blue Sky laws of the various states in connection with the offer and sale of the Notes and except for the filing of any Current Report on Form 8-K with the SEC as may be required under the Exchange Act regarding any of the foregoing.</w:t>
      </w:r>
    </w:p>
    <w:p>
      <w:pPr>
        <w:pStyle w:val="TextBody"/>
        <w:bidi w:val="0"/>
        <w:spacing w:lineRule="auto" w:line="288" w:before="15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2.7Neither the execution and delivery of this Agreement and the Issuing and Paying Agent Agreement, nor the issuance of the Notes in accordance with the Issuing and Paying Agent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organizational documents,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could reasonably be expected to have a material adverse effect on the condition (financial or otherwise) or operations of the Issuer or the ability of the Issuer to perform its obligations under this Agreement, the Notes or the Issuing and Paying Agent Agreement.</w:t>
      </w:r>
    </w:p>
    <w:p>
      <w:pPr>
        <w:pStyle w:val="TextBody"/>
        <w:bidi w:val="0"/>
        <w:spacing w:lineRule="auto" w:line="288" w:before="149"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2.8There is no litigation or governmental proceeding pending, or to the knowledge of the Issuer threatened, against or affecting the Issuer or any of its subsidiaries which could reasonably be expected to have a material adverse effect on the condition (financial or otherwise) or operations of the Issuer or the ability of the Issuer to perform its obligations under this Agreement, the Notes or the Issuing and Paying Agent Agreement.</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2.9The Issuer is not an “investment company” within the meaning of the Investment Company Act of 1940,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993900"/>
                <wp:effectExtent l="0" t="0" r="0" b="0"/>
                <wp:wrapNone/>
                <wp:docPr id="79" name="Frame78"/>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2.10Neither the Private Placement Memorandum (excluding the Dealer Information) nor the Company Information contains any untrue statement of a material fact or omits to state a material fact required to be stated therein or necessary to make the statements therein, in light of the circumstances under which they were made, not misleading.</w:t>
      </w:r>
    </w:p>
    <w:p>
      <w:pPr>
        <w:pStyle w:val="TextBody"/>
        <w:bidi w:val="0"/>
        <w:spacing w:lineRule="auto" w:line="288" w:before="156"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2.11Since August 19, 2011, neither the Issuer nor any of its subsidiaries, directors or officers, nor, to the knowledge of the Issuer, any agent, employee, representative or affiliate or other person acting on behalf of the Issuer or any of its subsidiaries or affiliates (i) has used any corporate funds for any unlawful contribution, gift, entertainment or other unlawful expense relating to political activity; (ii) has made any direct or indirect unlawful contribution or payment to any official or employee of, or candidate for, any federal, state or foreign government office from corporate funds; (iii) has made any bribe, unlawful rebate, payoff, influence payment, kickback or other unlawful payment; or (iv) has taken any action, directly or indirectly, in violation of the U.S. Foreign Corrupt Practices Act of 1977 or the U.K. Bribery Act 2010, each as may be amended, or the rules or regulations thereunder, or any applicable similar anti-corruption law, rule or regulation of any other relevant jurisdiction (collectively, "Anti-Corruption Laws"); to the actual knowledge of the Issuer after due inquiry, the Issuer, its subsidiaries and affiliates have each conducted their businesses in compliance with Anti-Corruption Laws and have instituted and maintain policies and procedures designed to ensure, and which are expected to continue to ensure, continued compliance therewith; and no part of the proceeds of the Notes will be used, directly or indirectly, in violation of any Anti-Corruption Law.</w:t>
      </w:r>
    </w:p>
    <w:p>
      <w:pPr>
        <w:pStyle w:val="TextBody"/>
        <w:bidi w:val="0"/>
        <w:spacing w:lineRule="auto" w:line="288" w:before="14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2.12The operations of the Issuer and its subsidiaries are and have been conducted at all times in compliance with applicable financial recordkeeping and reporting requirements, including, without limitation, those of the Bank Secrecy Act, as amended by Title III of the Uniting and Strengthening America by Providing Appropriate Tools Required to Intercept and Obstruct Terrorism Act of 2001 and the Currency and Foreign Transactions Reporting Act of 1970, as amended, and the applicable money laundering statutes of jurisdictions where the Issuer and its subsidiaries conduct business,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Issuer or any of its subsidiaries with respect to the Money Laundering Laws is pending or, to the actual knowledge of the Issuer, threatened.</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2.13Neither the Issuer nor any of its subsidiaries nor any director or officer, nor, to the knowledge of the Issuer, any agent, employee, representative or affiliate of the Issuer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"Sanctions" and such persons, "Sanctioned Persons" and each such person, a "Sanctioned Person"); (ii) is located, organized or resident in a country or territory that is,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993900"/>
                <wp:effectExtent l="0" t="0" r="0" b="0"/>
                <wp:wrapNone/>
                <wp:docPr id="80" name="Frame79"/>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or whose government is, the subject of Sanctions (collectively, "Sanctioned Countries" and each, a "Sanctioned Country"); or (iii) will, directly or indirectly, use the proceeds of the Notes, or lend, contribute or otherwise make available such proceeds to any subsidiary, joint venture partner or other individual or entity (x) to fund or facilitate any activities or business of or with any Sanctioned Person or vessel that is the subject of Sanctions or in any Sanctioned Country, at the time of such funding or facilitation, or (y) in any manner that would result in a violation of any Sanctions by, or could result in the imposition of Sanctions against, any individual or entity (including any individual or entity participating in the offering of Notes, whether as dealer, advisor, investor or otherwise).</w:t>
      </w:r>
    </w:p>
    <w:p>
      <w:pPr>
        <w:pStyle w:val="TextBody"/>
        <w:bidi w:val="0"/>
        <w:spacing w:lineRule="auto" w:line="288" w:before="153"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2.14Neither the Issuer nor any of its subsidiaries or affiliates has engaged in any dealings or transactions with or for the benefit of a Sanctioned Person, or with or in a Sanctioned Country, since August 19, 2013, nor does the Issuer or any of its subsidiaries or affiliates have any plans to increase its dealings or transactions, or commence any dealing or transaction, with or for the benefit of a Sanctioned Person, or with or in a Sanctioned Country.</w:t>
      </w:r>
    </w:p>
    <w:p>
      <w:pPr>
        <w:pStyle w:val="TextBody"/>
        <w:bidi w:val="0"/>
        <w:spacing w:lineRule="auto" w:line="288" w:before="154"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2.15Each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and (iii) in the case of an issuance of Notes, since the date of the most recent Private Placement Memorandum, there has been no material adverse change in the condition (financial or otherwise) or operations of the Issuer which has not been disclosed to the Dealer in writing.</w:t>
      </w:r>
    </w:p>
    <w:p>
      <w:pPr>
        <w:pStyle w:val="TextBody"/>
        <w:bidi w:val="0"/>
        <w:spacing w:lineRule="auto" w:line="288" w:before="211" w:after="283"/>
        <w:ind w:left="0" w:right="0" w:hanging="360"/>
        <w:jc w:val="both"/>
        <w:rPr>
          <w:rFonts w:ascii="Times New Roman;serif" w:hAnsi="Times New Roman;serif"/>
          <w:b/>
          <w:color w:val="000000"/>
          <w:sz w:val="20"/>
        </w:rPr>
      </w:pPr>
      <w:r>
        <w:rPr>
          <w:rFonts w:ascii="Times New Roman;serif" w:hAnsi="Times New Roman;serif"/>
          <w:b/>
          <w:color w:val="000000"/>
          <w:sz w:val="20"/>
        </w:rPr>
        <w:t>3.Covenants and Agreements of Issuer.</w:t>
      </w:r>
    </w:p>
    <w:p>
      <w:pPr>
        <w:pStyle w:val="TextBody"/>
        <w:bidi w:val="0"/>
        <w:spacing w:lineRule="auto" w:line="288" w:before="21" w:after="283"/>
        <w:jc w:val="both"/>
        <w:rPr>
          <w:rFonts w:ascii="Times New Roman;serif" w:hAnsi="Times New Roman;serif"/>
          <w:b w:val="false"/>
          <w:color w:val="000000"/>
          <w:sz w:val="20"/>
        </w:rPr>
      </w:pPr>
      <w:r>
        <w:rPr>
          <w:rFonts w:ascii="Times New Roman;serif" w:hAnsi="Times New Roman;serif"/>
          <w:b w:val="false"/>
          <w:color w:val="000000"/>
          <w:sz w:val="20"/>
        </w:rPr>
        <w:t>The Issuer covenants and agrees that:</w:t>
      </w:r>
    </w:p>
    <w:p>
      <w:pPr>
        <w:pStyle w:val="TextBody"/>
        <w:bidi w:val="0"/>
        <w:spacing w:lineRule="auto" w:line="288" w:before="187"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3.1The Issuer will give the Dealer prompt notice (but in any event prior to any subsequent issuance of Notes hereunder) of any amendment to, modification of or waiver with respect to, the Notes or the Issuing and Paying Agent Agreement, including a complete copy of any such amendment, modification or waiver.</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3.2Unless the Issuer has notified the Dealer in writing that it has suspended all offers and sales of the Notes, the Issuer shall, whenever there shall occur any change in the Issuer’s condition (financial or otherwise) or operations or any development or occurrence in relation to the Issuer that would be material and adverse to the interests of holders of the Notes or potential holders of the Notes (including any downgrading or receipt of any notice of intended or potential downgrading or any notice of placement on credit watch for possible downgrading in the rating accorded any of the Issuer’s securities by any nationally recognized statistical rating organization that has been engaged by the Issuer to rate the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993900"/>
                <wp:effectExtent l="0" t="0" r="0" b="0"/>
                <wp:wrapNone/>
                <wp:docPr id="81" name="Frame80"/>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Notes and has published a rating of the Notes), promptly, and in any event, prior to any subsequent issuance of Notes hereunder, notify the Dealer that such a change, development or occurrence exists. For the avoidance of doubt, such notification is required only to disclose the existence of any such change, development or occurrence, and is not required to disclose the details of or any further information of any kind relating to any such change, development or occurrence.</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3.3The Issuer shall from time to time furnish to the Dealer any press release or other non- confidential information as the Dealer may reasonably request regarding (i) the Issuer’s operations and financial condition, (ii) the due authorization and execution of the Notes and</w:t>
      </w:r>
    </w:p>
    <w:p>
      <w:pPr>
        <w:pStyle w:val="TextBody"/>
        <w:bidi w:val="0"/>
        <w:spacing w:lineRule="auto" w:line="288" w:before="0" w:after="0"/>
        <w:jc w:val="both"/>
        <w:rPr/>
      </w:pPr>
      <w:r>
        <w:rPr>
          <w:rFonts w:ascii="Times New Roman;serif" w:hAnsi="Times New Roman;serif"/>
          <w:b w:val="false"/>
          <w:color w:val="000000"/>
          <w:sz w:val="20"/>
        </w:rPr>
        <w:t xml:space="preserve">(iii) the Issuer’s ability to pay the Notes as they mature;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Issuer shall have no obligation to furnish any material non-public information or information it is required to keep confidential.</w:t>
      </w:r>
    </w:p>
    <w:p>
      <w:pPr>
        <w:pStyle w:val="TextBody"/>
        <w:bidi w:val="0"/>
        <w:spacing w:lineRule="auto" w:line="288" w:before="153"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3.4The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pStyle w:val="TextBody"/>
        <w:bidi w:val="0"/>
        <w:spacing w:lineRule="auto" w:line="288" w:before="133"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3.5The Issuer will not be in default of any of its obligations under the Notes at any time that any of the Notes are outstanding.</w:t>
      </w:r>
    </w:p>
    <w:p>
      <w:pPr>
        <w:pStyle w:val="TextBody"/>
        <w:bidi w:val="0"/>
        <w:spacing w:lineRule="auto" w:line="288" w:before="144"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3.6The Issuer shall not issue Notes hereunder until the Dealer shall have received (a) an opinion of counsel to the Issuer, addressed to the Dealer, reasonably satisfactory in form and substance to the Dealer, (b) a copy of the executed Issuing and Paying Agent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Agent Agreement and the Notes and consummation by the Issuer of the transactions contemplated hereby and thereby, (d) a certificate of the secretary, assistant secretary or other designated officer of the Issuer certifying as to (i) the Issuer’s organizational documents, and attaching true, correct and complete copies thereof, (ii) the Issuer’s representations and warranties being true and correct in all material respects, and (iii) the incumbency of the officers of the Issuer authorized to execute and deliver this Agreement, the Issuing and Paying Agency Agreement and the Notes, and take other action on behalf of the Issuer in connection with the transactions contemplated thereby, (e) prior to the issuance of any book-entry Notes represented by a master note registered in the name of DTC or its nominee, a copy of the executed Letter of Representations among the Issuer, the Issuing and Paying Agent and DTC and of the executed master note, (f) prior to the issuance of any Notes in physical form, a copy of such form (unless attached to this Agreement or the Issuing and Paying Agent Agreement), (g) confirmation of the then current rating assigned to the Notes by each nationally recognized statistical rating organization that has been engaged by the Issuer to rate the Notes and is then rating the Notes, and (h) such other certificates, opinions, letters and documents as the Dealer shall have reasonably requested.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993900"/>
                <wp:effectExtent l="0" t="0" r="0" b="0"/>
                <wp:wrapNone/>
                <wp:docPr id="82" name="Frame81"/>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3.7The Issuer shall reimburse the Dealer for all of the Dealer’s reasonable out-of-pocket expenses related to this Agreement, including reasonable expenses incurred in connection with its preparation and negotiation, and the transactions contemplated hereby (including, but not limited to, the printing and distribution of the Private Placement Memorandum), and for the reasonable fees and out-of-pocket expenses of the Dealer’s counsel.</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3.8The Issuer shall not file a Form D (as referenced in Rule 503 under the Securities Act) at any time in respect of the offer or sale of the Notes.</w:t>
      </w:r>
    </w:p>
    <w:p>
      <w:pPr>
        <w:pStyle w:val="TextBody"/>
        <w:bidi w:val="0"/>
        <w:spacing w:lineRule="auto" w:line="288" w:before="158"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3.9Without limiting any obligation of the Issuer pursuant to this Agreement to provide the Dealer with credit and financial information, the Issuer hereby acknowledges and agrees that the Dealer may share the Company Information (other than any Company Information to the extent that it consists of information that the Issuer has designated in writing to the Dealer as confidential) and any other non-confidential information or matters relating to the Issuer or the transactions contemplated hereby with affiliates of the Dealer, including, but not limited to, ________________and that such affiliates may likewise share information relating to the Issuer or such transactions with the Dealer.</w:t>
      </w:r>
    </w:p>
    <w:p>
      <w:pPr>
        <w:pStyle w:val="TextBody"/>
        <w:bidi w:val="0"/>
        <w:spacing w:before="9" w:after="283"/>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4.Disclosure.</w:t>
      </w:r>
    </w:p>
    <w:p>
      <w:pPr>
        <w:pStyle w:val="TextBody"/>
        <w:bidi w:val="0"/>
        <w:spacing w:lineRule="auto" w:line="288" w:before="21"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4.1The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pStyle w:val="TextBody"/>
        <w:bidi w:val="0"/>
        <w:spacing w:lineRule="auto" w:line="288" w:before="157"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4.2The Issuer agrees to promptly furnish the Dealer the Company Information as it becomes available.</w:t>
      </w:r>
    </w:p>
    <w:p>
      <w:pPr>
        <w:pStyle w:val="TextBody"/>
        <w:bidi w:val="0"/>
        <w:spacing w:lineRule="auto" w:line="288" w:before="163"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4.3(a) The Issuer further agrees to notify the Dealer promptly upon the occurrence of any event relating to or affecting the Issuer that would cause the Company Information then in existence to include an untrue statement of a material fact or to omit to state a material fact necessary in order to make the statements contained therein, in light of the circumstances under which they are made, not misleading.</w:t>
      </w:r>
    </w:p>
    <w:p>
      <w:pPr>
        <w:pStyle w:val="TextBody"/>
        <w:bidi w:val="0"/>
        <w:spacing w:lineRule="auto" w:line="288" w:before="132" w:after="283"/>
        <w:jc w:val="both"/>
        <w:rPr>
          <w:rFonts w:ascii="Times New Roman;serif" w:hAnsi="Times New Roman;serif"/>
          <w:b w:val="false"/>
          <w:color w:val="000000"/>
          <w:sz w:val="20"/>
        </w:rPr>
      </w:pPr>
      <w:r>
        <w:rPr>
          <w:rFonts w:ascii="Times New Roman;serif" w:hAnsi="Times New Roman;serif"/>
          <w:b w:val="false"/>
          <w:color w:val="000000"/>
          <w:sz w:val="20"/>
        </w:rPr>
        <w:t>(a)In the event that the Issuer gives the Dealer notice pursuant to Section 4.3(a) and (i) the Issuer is selling Notes in accordance with Section 1 or (ii) the Dealer notifies the Issuer that it then has Notes it is holding in inventory, the Issuer agrees promptly to supplement or amend the Private Placement Memorandum so that the Private Placement Memorandum, as amended or supplemented (and including the information incorporated by reference therein),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pStyle w:val="TextBody"/>
        <w:bidi w:val="0"/>
        <w:spacing w:before="8"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(b)In the event that (i) the Issuer gives the Dealer notice pursuant to Section 4.3(a), (ii) (A) the Issuer is not selling Notes in accordance with Section 1 and (B)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993900"/>
                <wp:effectExtent l="0" t="0" r="0" b="0"/>
                <wp:wrapNone/>
                <wp:docPr id="83" name="Frame82"/>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applicable bankruptcy, insolvency and similar laws affecting creditors’ rights generally, and subject, as to enforceability, to general principles of equity (regardless of whether enforcement is sought in a proceeding in equity or at law), and except as rights under this Agreement to indemnity and contribution may be limited by federal or state laws.</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4.4The Notes have been duly authorized, and when issued as provided in the Issuing and Paying Agent Agreement, will be duly and validly issued and will constitute legal, valid and binding obligations of the Issuer enforceable against the Issuer in accordance with their terms, in each case, subject to applicable bankruptcy, insolvency and similar laws affecting creditors’ rights generally, and subject, as to enforceability, to general principles of equity (regardless of whether enforcement is sought in a proceeding in equity or at law).</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4.5The offer and sale of the Notes in the manner contemplated hereby do not require registration of the Notes under the Securities Act, pursuant to the exemption from registration contained in Section 4(a)(2) thereof, and no indenture in respect of the Notes is required to be qualified under the Trust Indenture Act of 1939, as amended.</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4.6The Notes will rank at least pari passu in right of payment with all other unsecured and unsubordinated indebtedness of the Issuer.</w:t>
      </w:r>
    </w:p>
    <w:p>
      <w:pPr>
        <w:pStyle w:val="TextBody"/>
        <w:bidi w:val="0"/>
        <w:spacing w:lineRule="auto" w:line="288" w:before="158"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4.7No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Agent Agreement, except as may be required by the securities or Blue Sky laws of the various states in connection with the offer and sale of the Notes and except for the filing of any Current Report on Form 8-K with the SEC as may be required under the Exchange Act regarding any of the foregoing.</w:t>
      </w:r>
    </w:p>
    <w:p>
      <w:pPr>
        <w:pStyle w:val="TextBody"/>
        <w:bidi w:val="0"/>
        <w:spacing w:lineRule="auto" w:line="288" w:before="15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4.8Neither the execution and delivery of this Agreement and the Issuing and Paying Agent Agreement, nor the issuance of the Notes in accordance with the Issuing and Paying Agent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organizational documents,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could reasonably be expected to have a material adverse effect on the condition (financial or otherwise) or operations of the Issuer or the ability of the Issuer to perform its obligations under this Agreement, the Notes or the Issuing and Paying Agent Agreement.</w:t>
      </w:r>
    </w:p>
    <w:p>
      <w:pPr>
        <w:pStyle w:val="TextBody"/>
        <w:bidi w:val="0"/>
        <w:spacing w:lineRule="auto" w:line="288" w:before="149"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4.9There is no litigation or governmental proceeding pending, or to the knowledge of the Issuer threatened, against or affecting the Issuer or any of its subsidiaries which could reasonably be expected to have a material adverse effect on the condition (financial or otherwise) or operations of the Issuer or the ability of the Issuer to perform its obligations under this Agreement, the Notes or the Issuing and Paying Agent Agreement.</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4.10The Issuer is not an “investment company” within the meaning of the Investment Company Act of 1940,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993900"/>
                <wp:effectExtent l="0" t="0" r="0" b="0"/>
                <wp:wrapNone/>
                <wp:docPr id="84" name="Frame83"/>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4.11Neither the Private Placement Memorandum (excluding the Dealer Information) nor the Company Information contains any untrue statement of a material fact or omits to state a material fact required to be stated therein or necessary to make the statements therein, in light of the circumstances under which they were made, not misleading.</w:t>
      </w:r>
    </w:p>
    <w:p>
      <w:pPr>
        <w:pStyle w:val="TextBody"/>
        <w:bidi w:val="0"/>
        <w:spacing w:lineRule="auto" w:line="288" w:before="156"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4.12Since August 19, 2011, neither the Issuer nor any of its subsidiaries, directors or officers, nor, to the knowledge of the Issuer, any agent, employee, representative or affiliate or other person acting on behalf of the Issuer or any of its subsidiaries or affiliates (i) has used any corporate funds for any unlawful contribution, gift, entertainment or other unlawful expense relating to political activity; (ii) has made any direct or indirect unlawful contribution or payment to any official or employee of, or candidate for, any federal, state or foreign government office from corporate funds; (iii) has made any bribe, unlawful rebate, payoff, influence payment, kickback or other unlawful payment; or (iv) has taken any action, directly or indirectly, in violation of the U.S. Foreign Corrupt Practices Act of 1977 or the U.K. Bribery Act 2010, each as may be amended, or the rules or regulations thereunder, or any applicable similar anti-corruption law, rule or regulation of any other relevant jurisdiction (collectively, "Anti-Corruption Laws"); to the actual knowledge of the Issuer after due inquiry, the Issuer, its subsidiaries and affiliates have each conducted their businesses in compliance with Anti-Corruption Laws and have instituted and maintain policies and procedures designed to ensure, and which are expected to continue to ensure, continued compliance therewith; and no part of the proceeds of the Notes will be used, directly or indirectly, in violation of any Anti-Corruption Law.</w:t>
      </w:r>
    </w:p>
    <w:p>
      <w:pPr>
        <w:pStyle w:val="TextBody"/>
        <w:bidi w:val="0"/>
        <w:spacing w:lineRule="auto" w:line="288" w:before="147"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4.13The operations of the Issuer and its subsidiaries are and have been conducted at all times in compliance with applicable financial recordkeeping and reporting requirements, including, without limitation, those of the Bank Secrecy Act, as amended by Title III of the Uniting and Strengthening America by Providing Appropriate Tools Required to Intercept and Obstruct Terrorism Act of 2001 and the Currency and Foreign Transactions Reporting Act of 1970, as amended, and the applicable money laundering statutes of jurisdictions where the Issuer and its subsidiaries conduct business,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Issuer or any of its subsidiaries with respect to the Money Laundering Laws is pending or, to the actual knowledge of the Issuer, threatened.</w:t>
      </w:r>
    </w:p>
    <w:p>
      <w:pPr>
        <w:pStyle w:val="TextBody"/>
        <w:bidi w:val="0"/>
        <w:spacing w:lineRule="auto" w:line="288" w:before="156"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4.14Neither the Issuer nor any of its subsidiaries nor any director or officer, nor, to the knowledge of the Issuer, any agent, employee, representative or affiliate of the Issuer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"Sanctions" and such persons, "Sanctioned Persons" and each such person, a "Sanctioned Person"); (ii) is located, organized or resident in a country or territory that is,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993900"/>
                <wp:effectExtent l="0" t="0" r="0" b="0"/>
                <wp:wrapNone/>
                <wp:docPr id="85" name="Frame84"/>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or whose government is, the subject of Sanctions (collectively, "Sanctioned Countries" and each, a "Sanctioned Country"); or (iii) will, directly or indirectly, use the proceeds of the Notes, or lend, contribute or otherwise make available such proceeds to any subsidiary, joint venture partner or other individual or entity (x) to fund or facilitate any activities or business of or with any Sanctioned Person or vessel that is the subject of Sanctions or in any Sanctioned Country, at the time of such funding or facilitation, or (y) in any manner that would result in a violation of any Sanctions by, or could result in the imposition of Sanctions against, any individual or entity (including any individual or entity participating in the offering of Notes, whether as dealer, advisor, investor or otherwise).</w:t>
      </w:r>
    </w:p>
    <w:p>
      <w:pPr>
        <w:pStyle w:val="TextBody"/>
        <w:bidi w:val="0"/>
        <w:spacing w:lineRule="auto" w:line="288" w:before="153"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4.15Neither the Issuer nor any of its subsidiaries or affiliates has engaged in any dealings or transactions with or for the benefit of a Sanctioned Person, or with or in a Sanctioned Country, since August 19, 2013, nor does the Issuer or any of its subsidiaries or affiliates have any plans to increase its dealings or transactions, or commence any dealing or transaction, with or for the benefit of a Sanctioned Person, or with or in a Sanctioned Country.</w:t>
      </w:r>
    </w:p>
    <w:p>
      <w:pPr>
        <w:pStyle w:val="TextBody"/>
        <w:bidi w:val="0"/>
        <w:spacing w:lineRule="auto" w:line="288" w:before="154" w:after="283"/>
        <w:ind w:left="0" w:right="0" w:hanging="541"/>
        <w:jc w:val="both"/>
        <w:rPr>
          <w:rFonts w:ascii="Times New Roman;serif" w:hAnsi="Times New Roman;serif"/>
          <w:b w:val="false"/>
          <w:color w:val="000000"/>
          <w:sz w:val="20"/>
        </w:rPr>
      </w:pPr>
      <w:r>
        <w:rPr>
          <w:rFonts w:ascii="Times New Roman;serif" w:hAnsi="Times New Roman;serif"/>
          <w:b w:val="false"/>
          <w:color w:val="000000"/>
          <w:sz w:val="20"/>
        </w:rPr>
        <w:t>4.16Each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and (iii) in the case of an issuance of Notes, since the date of the most recent Private Placement Memorandum, there has been no material adverse change in the condition (financial or otherwise) or operations of the Issuer which has not been disclosed to the Dealer in writing.</w:t>
      </w:r>
    </w:p>
    <w:p>
      <w:pPr>
        <w:pStyle w:val="TextBody"/>
        <w:bidi w:val="0"/>
        <w:spacing w:lineRule="auto" w:line="288" w:before="211" w:after="283"/>
        <w:ind w:left="0" w:right="0" w:hanging="360"/>
        <w:jc w:val="both"/>
        <w:rPr>
          <w:rFonts w:ascii="Times New Roman;serif" w:hAnsi="Times New Roman;serif"/>
          <w:b/>
          <w:color w:val="000000"/>
          <w:sz w:val="20"/>
        </w:rPr>
      </w:pPr>
      <w:r>
        <w:rPr>
          <w:rFonts w:ascii="Times New Roman;serif" w:hAnsi="Times New Roman;serif"/>
          <w:b/>
          <w:color w:val="000000"/>
          <w:sz w:val="20"/>
        </w:rPr>
        <w:t>5.Covenants and Agreements of Issuer.</w:t>
      </w:r>
    </w:p>
    <w:p>
      <w:pPr>
        <w:pStyle w:val="TextBody"/>
        <w:bidi w:val="0"/>
        <w:spacing w:lineRule="auto" w:line="288" w:before="21" w:after="283"/>
        <w:jc w:val="both"/>
        <w:rPr>
          <w:rFonts w:ascii="Times New Roman;serif" w:hAnsi="Times New Roman;serif"/>
          <w:b w:val="false"/>
          <w:color w:val="000000"/>
          <w:sz w:val="20"/>
        </w:rPr>
      </w:pPr>
      <w:r>
        <w:rPr>
          <w:rFonts w:ascii="Times New Roman;serif" w:hAnsi="Times New Roman;serif"/>
          <w:b w:val="false"/>
          <w:color w:val="000000"/>
          <w:sz w:val="20"/>
        </w:rPr>
        <w:t>The Issuer covenants and agrees that:</w:t>
      </w:r>
    </w:p>
    <w:p>
      <w:pPr>
        <w:pStyle w:val="TextBody"/>
        <w:bidi w:val="0"/>
        <w:spacing w:lineRule="auto" w:line="288" w:before="187"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5.1The Issuer will give the Dealer prompt notice (but in any event prior to any subsequent issuance of Notes hereunder) of any amendment to, modification of or waiver with respect to, the Notes or the Issuing and Paying Agent Agreement, including a complete copy of any such amendment, modification or waiver.</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5.2Unless the Issuer has notified the Dealer in writing that it has suspended all offers and sales of the Notes, the Issuer shall, whenever there shall occur any change in the Issuer’s condition (financial or otherwise) or operations or any development or occurrence in relation to the Issuer that would be material and adverse to the interests of holders of the Notes or potential holders of the Notes (including any downgrading or receipt of any notice of intended or potential downgrading or any notice of placement on credit watch for possible downgrading in the rating accorded any of the Issuer’s securities by any nationally recognized statistical rating organization that has been engaged by the Issuer to rate the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993900"/>
                <wp:effectExtent l="0" t="0" r="0" b="0"/>
                <wp:wrapNone/>
                <wp:docPr id="86" name="Frame85"/>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Notes and has published a rating of the Notes), promptly, and in any event, prior to any subsequent issuance of Notes hereunder, notify the Dealer that such a change, development or occurrence exists. For the avoidance of doubt, such notification is required only to disclose the existence of any such change, development or occurrence, and is not required to disclose the details of or any further information of any kind relating to any such change, development or occurrence.</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5.3The Issuer shall from time to time furnish to the Dealer any press release or other non- confidential information as the Dealer may reasonably request regarding (i) the Issuer’s operations and financial condition, (ii) the due authorization and execution of the Notes and</w:t>
      </w:r>
    </w:p>
    <w:p>
      <w:pPr>
        <w:pStyle w:val="TextBody"/>
        <w:bidi w:val="0"/>
        <w:spacing w:lineRule="auto" w:line="288" w:before="0" w:after="0"/>
        <w:jc w:val="both"/>
        <w:rPr/>
      </w:pPr>
      <w:r>
        <w:rPr>
          <w:rFonts w:ascii="Times New Roman;serif" w:hAnsi="Times New Roman;serif"/>
          <w:b w:val="false"/>
          <w:color w:val="000000"/>
          <w:sz w:val="20"/>
        </w:rPr>
        <w:t xml:space="preserve">(iii) the Issuer’s ability to pay the Notes as they mature;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Issuer shall have no obligation to furnish any material non-public information or information it is required to keep confidential.</w:t>
      </w:r>
    </w:p>
    <w:p>
      <w:pPr>
        <w:pStyle w:val="TextBody"/>
        <w:bidi w:val="0"/>
        <w:spacing w:lineRule="auto" w:line="288" w:before="153"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5.4The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pStyle w:val="TextBody"/>
        <w:bidi w:val="0"/>
        <w:spacing w:lineRule="auto" w:line="288" w:before="133"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5.5The Issuer will not be in default of any of its obligations under the Notes at any time that any of the Notes are outstanding.</w:t>
      </w:r>
    </w:p>
    <w:p>
      <w:pPr>
        <w:pStyle w:val="TextBody"/>
        <w:bidi w:val="0"/>
        <w:spacing w:lineRule="auto" w:line="288" w:before="144"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5.6The Issuer shall not issue Notes hereunder until the Dealer shall have received (a) an opinion of counsel to the Issuer, addressed to the Dealer, reasonably satisfactory in form and substance to the Dealer, (b) a copy of the executed Issuing and Paying Agent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Agent Agreement and the Notes and consummation by the Issuer of the transactions contemplated hereby and thereby, (d) a certificate of the secretary, assistant secretary or other designated officer of the Issuer certifying as to (i) the Issuer’s organizational documents, and attaching true, correct and complete copies thereof, (ii) the Issuer’s representations and warranties being true and correct in all material respects, and (iii) the incumbency of the officers of the Issuer authorized to execute and deliver this Agreement, the Issuing and Paying Agency Agreement and the Notes, and take other action on behalf of the Issuer in connection with the transactions contemplated thereby, (e) prior to the issuance of any book-entry Notes represented by a master note registered in the name of DTC or its nominee, a copy of the executed Letter of Representations among the Issuer, the Issuing and Paying Agent and DTC and of the executed master note, (f) prior to the issuance of any Notes in physical form, a copy of such form (unless attached to this Agreement or the Issuing and Paying Agent Agreement), (g) confirmation of the then current rating assigned to the Notes by each nationally recognized statistical rating organization that has been engaged by the Issuer to rate the Notes and is then rating the Notes, and (h) such other certificates, opinions, letters and documents as the Dealer shall have reasonably requested.</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993900"/>
                <wp:effectExtent l="0" t="0" r="0" b="0"/>
                <wp:wrapNone/>
                <wp:docPr id="87" name="Frame86"/>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5.7The Issuer shall reimburse the Dealer for all of the Dealer’s reasonable out-of-pocket expenses related to this Agreement, including reasonable expenses incurred in connection with its preparation and negotiation, and the transactions contemplated hereby (including, but not limited to, the printing and distribution of the Private Placement Memorandum), and for the reasonable fees and out-of-pocket expenses of the Dealer’s counsel.</w:t>
      </w:r>
    </w:p>
    <w:p>
      <w:pPr>
        <w:pStyle w:val="TextBody"/>
        <w:bidi w:val="0"/>
        <w:spacing w:lineRule="auto" w:line="288" w:before="156"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5.8The Issuer shall not file a Form D (as referenced in Rule 503 under the Securities Act) at any time in respect of the offer or sale of the Notes.</w:t>
      </w:r>
    </w:p>
    <w:p>
      <w:pPr>
        <w:pStyle w:val="TextBody"/>
        <w:bidi w:val="0"/>
        <w:spacing w:lineRule="auto" w:line="288" w:before="158" w:after="283"/>
        <w:ind w:left="0" w:right="0" w:hanging="433"/>
        <w:jc w:val="both"/>
        <w:rPr>
          <w:rFonts w:ascii="Times New Roman;serif" w:hAnsi="Times New Roman;serif"/>
          <w:b w:val="false"/>
          <w:color w:val="000000"/>
          <w:sz w:val="20"/>
        </w:rPr>
      </w:pPr>
      <w:r>
        <w:rPr>
          <w:rFonts w:ascii="Times New Roman;serif" w:hAnsi="Times New Roman;serif"/>
          <w:b w:val="false"/>
          <w:color w:val="000000"/>
          <w:sz w:val="20"/>
        </w:rPr>
        <w:t>5.9Without limiting any obligation of the Issuer pursuant to this Agreement to provide the Dealer with credit and financial information, the Issuer hereby acknowledges and agrees that the Dealer may share the Company Information (other than any Company Information to the extent that it consists of information that the Issuer has designated in writing to the Dealer as confidential) and any other non-confidential information or matters relating to the Issuer or the transactions contemplated hereby with affiliates of the Dealer, including, but not limited to, ________________and that such affiliates may likewise share information relating to the Issuer or such transactions with the Dealer.</w:t>
      </w:r>
    </w:p>
    <w:p>
      <w:pPr>
        <w:pStyle w:val="TextBody"/>
        <w:bidi w:val="0"/>
        <w:spacing w:before="9" w:after="283"/>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6.Disclosure.</w:t>
      </w:r>
    </w:p>
    <w:p>
      <w:pPr>
        <w:pStyle w:val="TextBody"/>
        <w:bidi w:val="0"/>
        <w:spacing w:lineRule="auto" w:line="288" w:before="21"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6.1The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pStyle w:val="TextBody"/>
        <w:bidi w:val="0"/>
        <w:spacing w:lineRule="auto" w:line="288" w:before="157"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6.2The Issuer agrees to promptly furnish the Dealer the Company Information as it becomes available.</w:t>
      </w:r>
    </w:p>
    <w:p>
      <w:pPr>
        <w:pStyle w:val="TextBody"/>
        <w:bidi w:val="0"/>
        <w:spacing w:lineRule="auto" w:line="288" w:before="163"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6.3(a) The Issuer further agrees to notify the Dealer promptly upon the occurrence of any event relating to or affecting the Issuer that would cause the Company Information then in existence to include an untrue statement of a material fact or to omit to state a material fact necessary in order to make the statements contained therein, in light of the circumstances under which they are made, not misleading.</w:t>
      </w:r>
    </w:p>
    <w:p>
      <w:pPr>
        <w:pStyle w:val="TextBody"/>
        <w:bidi w:val="0"/>
        <w:spacing w:lineRule="auto" w:line="288" w:before="132" w:after="283"/>
        <w:jc w:val="both"/>
        <w:rPr>
          <w:rFonts w:ascii="Times New Roman;serif" w:hAnsi="Times New Roman;serif"/>
          <w:b w:val="false"/>
          <w:color w:val="000000"/>
          <w:sz w:val="20"/>
        </w:rPr>
      </w:pPr>
      <w:r>
        <w:rPr>
          <w:rFonts w:ascii="Times New Roman;serif" w:hAnsi="Times New Roman;serif"/>
          <w:b w:val="false"/>
          <w:color w:val="000000"/>
          <w:sz w:val="20"/>
        </w:rPr>
        <w:t>(a)In the event that the Issuer gives the Dealer notice pursuant to Section 4.3(a) and (i) the Issuer is selling Notes in accordance with Section 1 or (ii) the Dealer notifies the Issuer that it then has Notes it is holding in inventory, the Issuer agrees promptly to supplement or amend the Private Placement Memorandum so that the Private Placement Memorandum, as amended or supplemented (and including the information incorporated by reference therein),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pStyle w:val="TextBody"/>
        <w:bidi w:val="0"/>
        <w:spacing w:before="8"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(b)In the event that (i) the Issuer gives the Dealer notice pursuant to Section 4.3(a), (ii) (A) the Issuer is not selling Notes in accordance with Section 1 and (B)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993900"/>
                <wp:effectExtent l="0" t="0" r="0" b="0"/>
                <wp:wrapNone/>
                <wp:docPr id="88" name="Frame87"/>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4" w:after="283"/>
        <w:jc w:val="both"/>
        <w:rPr>
          <w:rFonts w:ascii="Times New Roman;serif" w:hAnsi="Times New Roman;serif"/>
          <w:b w:val="false"/>
          <w:color w:val="000000"/>
          <w:sz w:val="20"/>
        </w:rPr>
      </w:pPr>
      <w:r>
        <w:rPr>
          <w:rFonts w:ascii="Times New Roman;serif" w:hAnsi="Times New Roman;serif"/>
          <w:b w:val="false"/>
          <w:color w:val="000000"/>
          <w:sz w:val="20"/>
        </w:rPr>
        <w:t>until such time as the Issuer has so amended or supplemented the Private Placement Memorandum, and made such amendment or supplement available to the Dealer.</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(c)Without limiting the generality of Section 4.3(a), to the extent that the Private Placement Memorandum sets forth financial information of the Issuer (other than financial information included in a report described in clause (i) of the definition of "Company Information" that (i) is incorporated by reference in the Private Placement Memorandum or</w:t>
      </w:r>
    </w:p>
    <w:p>
      <w:pPr>
        <w:pStyle w:val="TextBody"/>
        <w:bidi w:val="0"/>
        <w:spacing w:lineRule="auto" w:line="288" w:before="0" w:after="0"/>
        <w:jc w:val="both"/>
        <w:rPr/>
      </w:pPr>
      <w:r>
        <w:rPr>
          <w:rFonts w:ascii="Times New Roman;serif" w:hAnsi="Times New Roman;serif"/>
          <w:b w:val="false"/>
          <w:color w:val="000000"/>
          <w:sz w:val="20"/>
        </w:rPr>
        <w:t xml:space="preserve">(ii) the Private Placement Memorandum expressly states is being made available to holders and prospective purchasers of the Notes but is not otherwise set forth therein), the Issuer shall review, amend and supplement the Private Placement Memorandum on a periodic basis, but no less than at least once annually, to incorporate current financial information of the Issuer to the extent necessary to ensure that the information provided or incorporated by reference in the Private Placement Memorandum is accurate and complete;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obligation shall be suspended to the extent, and for the period, that the Issuer has suspended all solicitations and sales of the Notes as contemplated by Section 4.3(c).</w:t>
      </w:r>
    </w:p>
    <w:p>
      <w:pPr>
        <w:pStyle w:val="TextBody"/>
        <w:bidi w:val="0"/>
        <w:spacing w:before="9" w:after="283"/>
        <w:jc w:val="both"/>
        <w:rPr/>
      </w:pPr>
      <w:r>
        <w:rPr/>
      </w:r>
    </w:p>
    <w:p>
      <w:pPr>
        <w:pStyle w:val="TextBody"/>
        <w:bidi w:val="0"/>
        <w:spacing w:lineRule="auto" w:line="288" w:before="1" w:after="283"/>
        <w:ind w:left="0" w:right="0" w:hanging="452"/>
        <w:jc w:val="both"/>
        <w:rPr/>
      </w:pPr>
      <w:r>
        <w:rPr>
          <w:rFonts w:ascii="Times New Roman;serif" w:hAnsi="Times New Roman;serif"/>
          <w:b w:val="false"/>
          <w:color w:val="000000"/>
          <w:sz w:val="20"/>
        </w:rPr>
        <w:t xml:space="preserve">6.4Notwithstanding anything herein to the contrary, for so long as the Issuer is required to file copies of the information, documents and other reports required hereunder (or copies of such portions of any of the foregoing as the SEC may by rules and regulations prescribe) with the SEC pursuant to Section 13 or 15(d) of the Exchange Act, such information, documents and other reports shall be deemed to be delivered in compliance with the terms hereof upon such filing thereof;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filing will not be deemed to satisfy the Issuer’s obligations under Section 3.2.</w:t>
      </w:r>
    </w:p>
    <w:p>
      <w:pPr>
        <w:pStyle w:val="TextBody"/>
        <w:bidi w:val="0"/>
        <w:spacing w:before="4" w:after="283"/>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7.Indemnification and Contribution.</w:t>
      </w:r>
    </w:p>
    <w:p>
      <w:pPr>
        <w:pStyle w:val="TextBody"/>
        <w:bidi w:val="0"/>
        <w:spacing w:lineRule="auto" w:line="288" w:before="156"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7.1The Issuer will indemnify and hold harmless the Dealer, each individual, corporation, partnership, trust, association or other entity controlling the Dealer, any affiliate of the Dealer or any such controlling entity and their respective directors, officers and employees, (hereinafter the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Indemnitees arising out of or based upon (i) any allegation that the Private Placement Memorandum, the Company Information or any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the breach by the Issuer of any agreement, covenant or representation made in or pursuant to this Agreement. This indemnification shall not apply to the extent that the Claim arises out of or is based upon Dealer Information.</w:t>
      </w:r>
    </w:p>
    <w:p>
      <w:pPr>
        <w:pStyle w:val="TextBody"/>
        <w:bidi w:val="0"/>
        <w:spacing w:lineRule="auto" w:line="288" w:before="149"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7.2Provisions relating to claims made for indemnification under this Section 5 are set forth on Exhibit B to this Agreement.</w:t>
      </w:r>
    </w:p>
    <w:p>
      <w:pPr>
        <w:pStyle w:val="TextBody"/>
        <w:bidi w:val="0"/>
        <w:spacing w:lineRule="auto" w:line="288" w:before="158" w:after="283"/>
        <w:ind w:left="0" w:right="0" w:hanging="452"/>
        <w:jc w:val="both"/>
        <w:rPr>
          <w:rFonts w:ascii="Times New Roman;serif" w:hAnsi="Times New Roman;serif"/>
          <w:b w:val="false"/>
          <w:color w:val="000000"/>
          <w:sz w:val="20"/>
        </w:rPr>
      </w:pPr>
      <w:r>
        <w:rPr>
          <w:rFonts w:ascii="Times New Roman;serif" w:hAnsi="Times New Roman;serif"/>
          <w:b w:val="false"/>
          <w:color w:val="000000"/>
          <w:sz w:val="20"/>
        </w:rPr>
        <w:t>7.3In order to provide for just and equitable contribution in circumstances in which the indemnification provided for in this Section 5 is held to be unavailable or insufficient to hold harmless the Indemnitees, although applicable in accordance with the terms of this Section 5 and Exhibit B, the Issuer shall contribute to the aggregate costs incurred by the Dealer in connection with any Claim in the proportion of the respective economic interests of the Issuer and the Dealer; provided, however, that such contribution by the Issuer shall</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993900"/>
                <wp:effectExtent l="0" t="0" r="0" b="0"/>
                <wp:wrapNone/>
                <wp:docPr id="89" name="Frame88"/>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0"/>
        <w:jc w:val="both"/>
        <w:rPr>
          <w:rFonts w:ascii="Times New Roman;serif" w:hAnsi="Times New Roman;serif"/>
          <w:b w:val="false"/>
          <w:color w:val="000000"/>
          <w:sz w:val="20"/>
        </w:rPr>
      </w:pPr>
      <w:r>
        <w:rPr>
          <w:rFonts w:ascii="Times New Roman;serif" w:hAnsi="Times New Roman;serif"/>
          <w:b w:val="false"/>
          <w:color w:val="000000"/>
          <w:sz w:val="20"/>
        </w:rPr>
        <w:t>be in an amount such that the aggregate costs incurred by the Dealer do not exceed the aggregate of the commissions and fees earned by the Dealer hereunder with respect to the issue or issues of Notes to which such Claim relates. The respective economic interests shall be calculated by reference to the aggregate proceeds to the Issuer of the Notes issued hereunder and the aggregate commissions and fees earned by the Dealer hereunder.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8.Definitions.</w:t>
      </w:r>
    </w:p>
    <w:p>
      <w:pPr>
        <w:pStyle w:val="TextBody"/>
        <w:bidi w:val="0"/>
        <w:spacing w:lineRule="auto" w:line="288" w:before="21" w:after="283"/>
        <w:ind w:left="0" w:right="0" w:hanging="451"/>
        <w:jc w:val="both"/>
        <w:rPr/>
      </w:pPr>
      <w:r>
        <w:rPr>
          <w:rFonts w:ascii="Times New Roman;serif" w:hAnsi="Times New Roman;serif"/>
          <w:b w:val="false"/>
          <w:color w:val="000000"/>
          <w:sz w:val="20"/>
        </w:rPr>
        <w:t>8.1</w:t>
      </w:r>
      <w:r>
        <w:rPr>
          <w:color w:val="000000"/>
        </w:rPr>
        <w:t>“</w:t>
      </w:r>
      <w:r>
        <w:rPr>
          <w:rFonts w:ascii="Times New Roman;serif" w:hAnsi="Times New Roman;serif"/>
          <w:b w:val="false"/>
          <w:color w:val="000000"/>
          <w:sz w:val="20"/>
        </w:rPr>
        <w:t>Anti-Corruption Law” shall have the meaning set forth in Section 2.11.</w:t>
      </w:r>
    </w:p>
    <w:p>
      <w:pPr>
        <w:pStyle w:val="TextBody"/>
        <w:bidi w:val="0"/>
        <w:spacing w:lineRule="auto" w:line="288" w:before="186" w:after="283"/>
        <w:ind w:left="0" w:right="0" w:hanging="451"/>
        <w:jc w:val="both"/>
        <w:rPr/>
      </w:pPr>
      <w:r>
        <w:rPr>
          <w:rFonts w:ascii="Times New Roman;serif" w:hAnsi="Times New Roman;serif"/>
          <w:b w:val="false"/>
          <w:color w:val="000000"/>
          <w:sz w:val="20"/>
        </w:rPr>
        <w:t>8.2</w:t>
      </w:r>
      <w:r>
        <w:rPr>
          <w:color w:val="000000"/>
        </w:rPr>
        <w:t>“</w:t>
      </w:r>
      <w:r>
        <w:rPr>
          <w:rFonts w:ascii="Times New Roman;serif" w:hAnsi="Times New Roman;serif"/>
          <w:b w:val="false"/>
          <w:color w:val="000000"/>
          <w:sz w:val="20"/>
        </w:rPr>
        <w:t>Claim” shall have the meaning set forth in Section 5.1.</w:t>
      </w:r>
    </w:p>
    <w:p>
      <w:pPr>
        <w:pStyle w:val="TextBody"/>
        <w:bidi w:val="0"/>
        <w:spacing w:lineRule="auto" w:line="288" w:before="189" w:after="283"/>
        <w:ind w:left="0" w:right="0" w:hanging="451"/>
        <w:jc w:val="both"/>
        <w:rPr/>
      </w:pPr>
      <w:r>
        <w:rPr>
          <w:rFonts w:ascii="Times New Roman;serif" w:hAnsi="Times New Roman;serif"/>
          <w:b w:val="false"/>
          <w:color w:val="000000"/>
          <w:sz w:val="20"/>
        </w:rPr>
        <w:t>8.3</w:t>
      </w:r>
      <w:r>
        <w:rPr>
          <w:color w:val="000000"/>
        </w:rPr>
        <w:t>“</w:t>
      </w:r>
      <w:r>
        <w:rPr>
          <w:rFonts w:ascii="Times New Roman;serif" w:hAnsi="Times New Roman;serif"/>
          <w:b w:val="false"/>
          <w:color w:val="000000"/>
          <w:sz w:val="20"/>
        </w:rPr>
        <w:t>Company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by the Issuer for dissemination to investors or potential investors in the Notes.</w:t>
      </w:r>
    </w:p>
    <w:p>
      <w:pPr>
        <w:pStyle w:val="TextBody"/>
        <w:bidi w:val="0"/>
        <w:spacing w:lineRule="auto" w:line="288" w:before="151" w:after="283"/>
        <w:ind w:left="0" w:right="0" w:hanging="451"/>
        <w:jc w:val="both"/>
        <w:rPr/>
      </w:pPr>
      <w:r>
        <w:rPr>
          <w:rFonts w:ascii="Times New Roman;serif" w:hAnsi="Times New Roman;serif"/>
          <w:b w:val="false"/>
          <w:color w:val="000000"/>
          <w:sz w:val="20"/>
        </w:rPr>
        <w:t>8.4</w:t>
      </w:r>
      <w:r>
        <w:rPr>
          <w:color w:val="000000"/>
        </w:rPr>
        <w:t>“</w:t>
      </w:r>
      <w:r>
        <w:rPr>
          <w:rFonts w:ascii="Times New Roman;serif" w:hAnsi="Times New Roman;serif"/>
          <w:b w:val="false"/>
          <w:color w:val="000000"/>
          <w:sz w:val="20"/>
        </w:rPr>
        <w:t>Current Issuing and Paying Agent” shall have the meaning set forth in Section 7.9(i).</w:t>
      </w:r>
    </w:p>
    <w:p>
      <w:pPr>
        <w:pStyle w:val="TextBody"/>
        <w:bidi w:val="0"/>
        <w:spacing w:lineRule="auto" w:line="288" w:before="187" w:after="283"/>
        <w:ind w:left="0" w:right="0" w:hanging="452"/>
        <w:jc w:val="both"/>
        <w:rPr/>
      </w:pPr>
      <w:r>
        <w:rPr>
          <w:rFonts w:ascii="Times New Roman;serif" w:hAnsi="Times New Roman;serif"/>
          <w:b w:val="false"/>
          <w:color w:val="000000"/>
          <w:sz w:val="20"/>
        </w:rPr>
        <w:t>8.5</w:t>
      </w:r>
      <w:r>
        <w:rPr>
          <w:color w:val="000000"/>
        </w:rPr>
        <w:t>“</w:t>
      </w:r>
      <w:r>
        <w:rPr>
          <w:rFonts w:ascii="Times New Roman;serif" w:hAnsi="Times New Roman;serif"/>
          <w:b w:val="false"/>
          <w:color w:val="000000"/>
          <w:sz w:val="20"/>
        </w:rPr>
        <w:t>Dealer Information” shall mean material concerning the Dealer (including, without limitation, the information contained in the Private Placement Memorandum under the heading entitled “THE PLACEMENT AGENT”) provided by the Dealer in writing expressly for inclusion in the Private Placement Memorandum.</w:t>
      </w:r>
    </w:p>
    <w:p>
      <w:pPr>
        <w:pStyle w:val="TextBody"/>
        <w:bidi w:val="0"/>
        <w:spacing w:lineRule="auto" w:line="288" w:before="158" w:after="283"/>
        <w:ind w:left="0" w:right="0" w:hanging="451"/>
        <w:jc w:val="both"/>
        <w:rPr/>
      </w:pPr>
      <w:r>
        <w:rPr>
          <w:rFonts w:ascii="Times New Roman;serif" w:hAnsi="Times New Roman;serif"/>
          <w:b w:val="false"/>
          <w:color w:val="000000"/>
          <w:sz w:val="20"/>
        </w:rPr>
        <w:t>8.6</w:t>
      </w:r>
      <w:r>
        <w:rPr>
          <w:color w:val="000000"/>
        </w:rPr>
        <w:t>“</w:t>
      </w:r>
      <w:r>
        <w:rPr>
          <w:rFonts w:ascii="Times New Roman;serif" w:hAnsi="Times New Roman;serif"/>
          <w:b w:val="false"/>
          <w:color w:val="000000"/>
          <w:sz w:val="20"/>
        </w:rPr>
        <w:t>Exchange Act” shall mean the U.S. Securities Exchange Act of 1934, as amended.</w:t>
      </w:r>
    </w:p>
    <w:p>
      <w:pPr>
        <w:pStyle w:val="TextBody"/>
        <w:bidi w:val="0"/>
        <w:spacing w:lineRule="auto" w:line="288" w:before="186" w:after="283"/>
        <w:ind w:left="0" w:right="0" w:hanging="506"/>
        <w:jc w:val="both"/>
        <w:rPr/>
      </w:pPr>
      <w:r>
        <w:rPr>
          <w:rFonts w:ascii="Times New Roman;serif" w:hAnsi="Times New Roman;serif"/>
          <w:b w:val="false"/>
          <w:color w:val="000000"/>
          <w:sz w:val="20"/>
        </w:rPr>
        <w:t>8.7</w:t>
      </w:r>
      <w:r>
        <w:rPr>
          <w:color w:val="000000"/>
        </w:rPr>
        <w:t>“</w:t>
      </w:r>
      <w:r>
        <w:rPr>
          <w:rFonts w:ascii="Times New Roman;serif" w:hAnsi="Times New Roman;serif"/>
          <w:b w:val="false"/>
          <w:color w:val="000000"/>
          <w:sz w:val="20"/>
        </w:rPr>
        <w:t>Indemnitee” shall have the meaning set forth in Section 5.1.</w:t>
      </w:r>
    </w:p>
    <w:p>
      <w:pPr>
        <w:pStyle w:val="TextBody"/>
        <w:bidi w:val="0"/>
        <w:spacing w:lineRule="auto" w:line="288" w:before="186" w:after="283"/>
        <w:ind w:left="0" w:right="0" w:hanging="452"/>
        <w:jc w:val="both"/>
        <w:rPr/>
      </w:pPr>
      <w:r>
        <w:rPr>
          <w:rFonts w:ascii="Times New Roman;serif" w:hAnsi="Times New Roman;serif"/>
          <w:b w:val="false"/>
          <w:color w:val="000000"/>
          <w:sz w:val="20"/>
        </w:rPr>
        <w:t>8.8</w:t>
      </w:r>
      <w:r>
        <w:rPr>
          <w:color w:val="000000"/>
        </w:rPr>
        <w:t>“</w:t>
      </w:r>
      <w:r>
        <w:rPr>
          <w:rFonts w:ascii="Times New Roman;serif" w:hAnsi="Times New Roman;serif"/>
          <w:b w:val="false"/>
          <w:color w:val="000000"/>
          <w:sz w:val="20"/>
        </w:rPr>
        <w:t>Institutional Accredited Investor” shall mean an accredited investor within the meaning of Rule 501 under the Securities Act that is not a natural person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pStyle w:val="TextBody"/>
        <w:bidi w:val="0"/>
        <w:spacing w:lineRule="auto" w:line="288" w:before="157" w:after="283"/>
        <w:ind w:left="0" w:right="0" w:hanging="452"/>
        <w:jc w:val="both"/>
        <w:rPr/>
      </w:pPr>
      <w:r>
        <w:rPr>
          <w:rFonts w:ascii="Times New Roman;serif" w:hAnsi="Times New Roman;serif"/>
          <w:b w:val="false"/>
          <w:color w:val="000000"/>
          <w:sz w:val="20"/>
        </w:rPr>
        <w:t>8.9</w:t>
      </w:r>
      <w:r>
        <w:rPr>
          <w:color w:val="000000"/>
        </w:rPr>
        <w:t>“</w:t>
      </w:r>
      <w:r>
        <w:rPr>
          <w:rFonts w:ascii="Times New Roman;serif" w:hAnsi="Times New Roman;serif"/>
          <w:b w:val="false"/>
          <w:color w:val="000000"/>
          <w:sz w:val="20"/>
        </w:rPr>
        <w:t>Issuing and Paying Agent Agreement” shall mean the issuing and paying agent agreement described on the cover page of this Agreement, or any replacement thereof, as such agreement may be amended or supplemented from time to time.</w:t>
      </w:r>
    </w:p>
    <w:p>
      <w:pPr>
        <w:pStyle w:val="TextBody"/>
        <w:bidi w:val="0"/>
        <w:spacing w:lineRule="auto" w:line="288" w:before="156" w:after="283"/>
        <w:ind w:left="0" w:right="0" w:hanging="452"/>
        <w:jc w:val="both"/>
        <w:rPr/>
      </w:pPr>
      <w:r>
        <w:rPr>
          <w:rFonts w:ascii="Times New Roman;serif" w:hAnsi="Times New Roman;serif"/>
          <w:b w:val="false"/>
          <w:color w:val="000000"/>
          <w:sz w:val="20"/>
        </w:rPr>
        <w:t>8.10</w:t>
      </w:r>
      <w:r>
        <w:rPr>
          <w:color w:val="000000"/>
        </w:rPr>
        <w:t>“</w:t>
      </w:r>
      <w:r>
        <w:rPr>
          <w:rFonts w:ascii="Times New Roman;serif" w:hAnsi="Times New Roman;serif"/>
          <w:b w:val="false"/>
          <w:color w:val="000000"/>
          <w:sz w:val="20"/>
        </w:rPr>
        <w:t>Issuing and Paying Agent” shall mean the party designated as such on the cover page of this Agreement, as issuing and paying agent under the Issuing and Paying Agent Agreement, or any successor or replacement thereto in accordance with the Issuing and Paying Agent Agreement.</w:t>
      </w:r>
    </w:p>
    <w:p>
      <w:pPr>
        <w:pStyle w:val="TextBody"/>
        <w:bidi w:val="0"/>
        <w:spacing w:lineRule="auto" w:line="288" w:before="156" w:after="283"/>
        <w:ind w:left="0" w:right="0" w:hanging="452"/>
        <w:jc w:val="both"/>
        <w:rPr/>
      </w:pPr>
      <w:r>
        <w:rPr>
          <w:rFonts w:ascii="Times New Roman;serif" w:hAnsi="Times New Roman;serif"/>
          <w:b w:val="false"/>
          <w:color w:val="000000"/>
          <w:sz w:val="20"/>
        </w:rPr>
        <w:t>8.11</w:t>
      </w:r>
      <w:r>
        <w:rPr>
          <w:color w:val="000000"/>
        </w:rPr>
        <w:t>“</w:t>
      </w:r>
      <w:r>
        <w:rPr>
          <w:rFonts w:ascii="Times New Roman;serif" w:hAnsi="Times New Roman;serif"/>
          <w:b w:val="false"/>
          <w:color w:val="000000"/>
          <w:sz w:val="20"/>
        </w:rPr>
        <w:t>Money Laundering Laws” shall have the meaning set forth in Section 2.12</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993900"/>
                <wp:effectExtent l="0" t="0" r="0" b="0"/>
                <wp:wrapNone/>
                <wp:docPr id="90" name="Frame89"/>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hanging="452"/>
        <w:jc w:val="both"/>
        <w:rPr/>
      </w:pPr>
      <w:r>
        <w:rPr>
          <w:rFonts w:ascii="Times New Roman;serif" w:hAnsi="Times New Roman;serif"/>
          <w:b w:val="false"/>
          <w:color w:val="000000"/>
          <w:sz w:val="20"/>
        </w:rPr>
        <w:t>8.12</w:t>
      </w:r>
      <w:r>
        <w:rPr>
          <w:color w:val="000000"/>
        </w:rPr>
        <w:t>“</w:t>
      </w:r>
      <w:r>
        <w:rPr>
          <w:rFonts w:ascii="Times New Roman;serif" w:hAnsi="Times New Roman;serif"/>
          <w:b w:val="false"/>
          <w:color w:val="000000"/>
          <w:sz w:val="20"/>
        </w:rPr>
        <w:t>Non-bank fiduciary or agent” shall mean a fiduciary or agent other than (a) a bank, as defined in Section 3(a)(2) of the Securities Act, or (b) a savings and loan association, as defined in Section 3(a)(5)(A) of the Securities Act.</w:t>
      </w:r>
    </w:p>
    <w:p>
      <w:pPr>
        <w:pStyle w:val="TextBody"/>
        <w:bidi w:val="0"/>
        <w:spacing w:lineRule="auto" w:line="288" w:before="158" w:after="283"/>
        <w:ind w:left="0" w:right="0" w:hanging="450"/>
        <w:jc w:val="both"/>
        <w:rPr/>
      </w:pPr>
      <w:r>
        <w:rPr>
          <w:rFonts w:ascii="Times New Roman;serif" w:hAnsi="Times New Roman;serif"/>
          <w:b w:val="false"/>
          <w:color w:val="000000"/>
          <w:sz w:val="20"/>
        </w:rPr>
        <w:t>8.13</w:t>
      </w:r>
      <w:r>
        <w:rPr>
          <w:color w:val="000000"/>
        </w:rPr>
        <w:t>“</w:t>
      </w:r>
      <w:r>
        <w:rPr>
          <w:rFonts w:ascii="Times New Roman;serif" w:hAnsi="Times New Roman;serif"/>
          <w:b w:val="false"/>
          <w:color w:val="000000"/>
          <w:sz w:val="20"/>
        </w:rPr>
        <w:t>Outstanding Notes” shall have the meaning set forth in Section 7.9(ii).</w:t>
      </w:r>
    </w:p>
    <w:p>
      <w:pPr>
        <w:pStyle w:val="TextBody"/>
        <w:bidi w:val="0"/>
        <w:spacing w:lineRule="auto" w:line="288" w:before="186" w:after="283"/>
        <w:ind w:left="0" w:right="0" w:hanging="452"/>
        <w:jc w:val="both"/>
        <w:rPr/>
      </w:pPr>
      <w:r>
        <w:rPr>
          <w:rFonts w:ascii="Times New Roman;serif" w:hAnsi="Times New Roman;serif"/>
          <w:b w:val="false"/>
          <w:color w:val="000000"/>
          <w:sz w:val="20"/>
        </w:rPr>
        <w:t>8.14</w:t>
      </w:r>
      <w:r>
        <w:rPr>
          <w:color w:val="000000"/>
        </w:rPr>
        <w:t>“</w:t>
      </w:r>
      <w:r>
        <w:rPr>
          <w:rFonts w:ascii="Times New Roman;serif" w:hAnsi="Times New Roman;serif"/>
          <w:b w:val="false"/>
          <w:color w:val="000000"/>
          <w:sz w:val="20"/>
        </w:rPr>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and not superseded by a later amendment or supplement.</w:t>
      </w:r>
    </w:p>
    <w:p>
      <w:pPr>
        <w:pStyle w:val="TextBody"/>
        <w:bidi w:val="0"/>
        <w:spacing w:lineRule="auto" w:line="288" w:before="156" w:after="283"/>
        <w:ind w:left="0" w:right="0" w:hanging="541"/>
        <w:jc w:val="both"/>
        <w:rPr/>
      </w:pPr>
      <w:r>
        <w:rPr>
          <w:rFonts w:ascii="Times New Roman;serif" w:hAnsi="Times New Roman;serif"/>
          <w:b w:val="false"/>
          <w:color w:val="000000"/>
          <w:sz w:val="20"/>
        </w:rPr>
        <w:t>8.15</w:t>
      </w:r>
      <w:r>
        <w:rPr>
          <w:color w:val="000000"/>
        </w:rPr>
        <w:t>“</w:t>
      </w:r>
      <w:r>
        <w:rPr>
          <w:rFonts w:ascii="Times New Roman;serif" w:hAnsi="Times New Roman;serif"/>
          <w:b w:val="false"/>
          <w:color w:val="000000"/>
          <w:sz w:val="20"/>
        </w:rPr>
        <w:t>Qualified Institutional Buyer” shall have the meaning assigned to that term in Rule 144A under the Securities Act.</w:t>
      </w:r>
    </w:p>
    <w:p>
      <w:pPr>
        <w:pStyle w:val="TextBody"/>
        <w:bidi w:val="0"/>
        <w:spacing w:lineRule="auto" w:line="288" w:before="159" w:after="283"/>
        <w:ind w:left="0" w:right="0" w:hanging="450"/>
        <w:jc w:val="both"/>
        <w:rPr/>
      </w:pPr>
      <w:r>
        <w:rPr>
          <w:rFonts w:ascii="Times New Roman;serif" w:hAnsi="Times New Roman;serif"/>
          <w:b w:val="false"/>
          <w:color w:val="000000"/>
          <w:sz w:val="20"/>
        </w:rPr>
        <w:t>8.16</w:t>
      </w:r>
      <w:r>
        <w:rPr>
          <w:color w:val="000000"/>
        </w:rPr>
        <w:t>“</w:t>
      </w:r>
      <w:r>
        <w:rPr>
          <w:rFonts w:ascii="Times New Roman;serif" w:hAnsi="Times New Roman;serif"/>
          <w:b w:val="false"/>
          <w:color w:val="000000"/>
          <w:sz w:val="20"/>
        </w:rPr>
        <w:t>Replacement” shall have the meaning set forth in Section 7.9(i).</w:t>
      </w:r>
    </w:p>
    <w:p>
      <w:pPr>
        <w:pStyle w:val="TextBody"/>
        <w:bidi w:val="0"/>
        <w:spacing w:lineRule="auto" w:line="288" w:before="186" w:after="283"/>
        <w:ind w:left="0" w:right="0" w:hanging="450"/>
        <w:jc w:val="both"/>
        <w:rPr/>
      </w:pPr>
      <w:r>
        <w:rPr>
          <w:rFonts w:ascii="Times New Roman;serif" w:hAnsi="Times New Roman;serif"/>
          <w:b w:val="false"/>
          <w:color w:val="000000"/>
          <w:sz w:val="20"/>
        </w:rPr>
        <w:t>8.17</w:t>
      </w:r>
      <w:r>
        <w:rPr>
          <w:color w:val="000000"/>
        </w:rPr>
        <w:t>“</w:t>
      </w:r>
      <w:r>
        <w:rPr>
          <w:rFonts w:ascii="Times New Roman;serif" w:hAnsi="Times New Roman;serif"/>
          <w:b w:val="false"/>
          <w:color w:val="000000"/>
          <w:sz w:val="20"/>
        </w:rPr>
        <w:t>Replacement Issuing and Paying Agent” shall have the meaning set forth in Section 7.9(i).</w:t>
      </w:r>
    </w:p>
    <w:p>
      <w:pPr>
        <w:pStyle w:val="TextBody"/>
        <w:bidi w:val="0"/>
        <w:spacing w:lineRule="auto" w:line="288" w:before="189" w:after="283"/>
        <w:ind w:left="0" w:right="0" w:hanging="452"/>
        <w:jc w:val="both"/>
        <w:rPr/>
      </w:pPr>
      <w:r>
        <w:rPr>
          <w:rFonts w:ascii="Times New Roman;serif" w:hAnsi="Times New Roman;serif"/>
          <w:b w:val="false"/>
          <w:color w:val="000000"/>
          <w:sz w:val="20"/>
        </w:rPr>
        <w:t>8.18</w:t>
      </w:r>
      <w:r>
        <w:rPr>
          <w:color w:val="000000"/>
        </w:rPr>
        <w:t>“</w:t>
      </w:r>
      <w:r>
        <w:rPr>
          <w:rFonts w:ascii="Times New Roman;serif" w:hAnsi="Times New Roman;serif"/>
          <w:b w:val="false"/>
          <w:color w:val="000000"/>
          <w:sz w:val="20"/>
        </w:rPr>
        <w:t>Replacement Issuing and Paying Agent Agreement” shall have the meaning set forth in Section 7.9(i).</w:t>
      </w:r>
    </w:p>
    <w:p>
      <w:pPr>
        <w:pStyle w:val="TextBody"/>
        <w:bidi w:val="0"/>
        <w:spacing w:lineRule="auto" w:line="288" w:before="163" w:after="283"/>
        <w:ind w:left="0" w:right="0" w:hanging="539"/>
        <w:jc w:val="both"/>
        <w:rPr/>
      </w:pPr>
      <w:r>
        <w:rPr>
          <w:rFonts w:ascii="Times New Roman;serif" w:hAnsi="Times New Roman;serif"/>
          <w:b w:val="false"/>
          <w:color w:val="000000"/>
          <w:sz w:val="20"/>
        </w:rPr>
        <w:t>8.19</w:t>
      </w:r>
      <w:r>
        <w:rPr>
          <w:color w:val="000000"/>
        </w:rPr>
        <w:t>“</w:t>
      </w:r>
      <w:r>
        <w:rPr>
          <w:rFonts w:ascii="Times New Roman;serif" w:hAnsi="Times New Roman;serif"/>
          <w:b w:val="false"/>
          <w:color w:val="000000"/>
          <w:sz w:val="20"/>
        </w:rPr>
        <w:t>Rule 144A” shall mean Rule 144A under the Securities Act.</w:t>
      </w:r>
    </w:p>
    <w:p>
      <w:pPr>
        <w:pStyle w:val="TextBody"/>
        <w:bidi w:val="0"/>
        <w:spacing w:lineRule="auto" w:line="288" w:before="186" w:after="283"/>
        <w:ind w:left="0" w:right="0" w:hanging="541"/>
        <w:jc w:val="both"/>
        <w:rPr/>
      </w:pPr>
      <w:r>
        <w:rPr>
          <w:rFonts w:ascii="Times New Roman;serif" w:hAnsi="Times New Roman;serif"/>
          <w:b w:val="false"/>
          <w:color w:val="000000"/>
          <w:sz w:val="20"/>
        </w:rPr>
        <w:t>8.20</w:t>
      </w:r>
      <w:r>
        <w:rPr>
          <w:color w:val="000000"/>
        </w:rPr>
        <w:t>“</w:t>
      </w:r>
      <w:r>
        <w:rPr>
          <w:rFonts w:ascii="Times New Roman;serif" w:hAnsi="Times New Roman;serif"/>
          <w:b w:val="false"/>
          <w:color w:val="000000"/>
          <w:sz w:val="20"/>
        </w:rPr>
        <w:t>Sanctioned Countries” and “Sanctioned Country” shall have the meanings set forth in Section 2.13.</w:t>
      </w:r>
    </w:p>
    <w:p>
      <w:pPr>
        <w:pStyle w:val="TextBody"/>
        <w:bidi w:val="0"/>
        <w:spacing w:lineRule="auto" w:line="288" w:before="159" w:after="283"/>
        <w:ind w:left="0" w:right="0" w:hanging="541"/>
        <w:jc w:val="both"/>
        <w:rPr/>
      </w:pPr>
      <w:r>
        <w:rPr>
          <w:rFonts w:ascii="Times New Roman;serif" w:hAnsi="Times New Roman;serif"/>
          <w:b w:val="false"/>
          <w:color w:val="000000"/>
          <w:sz w:val="20"/>
        </w:rPr>
        <w:t>8.21</w:t>
      </w:r>
      <w:r>
        <w:rPr>
          <w:color w:val="000000"/>
        </w:rPr>
        <w:t>“</w:t>
      </w:r>
      <w:r>
        <w:rPr>
          <w:rFonts w:ascii="Times New Roman;serif" w:hAnsi="Times New Roman;serif"/>
          <w:b w:val="false"/>
          <w:color w:val="000000"/>
          <w:sz w:val="20"/>
        </w:rPr>
        <w:t>Sanctioned Persons” and “Sanctioned Person” shall have the meanings set forth in Section 2.13.</w:t>
      </w:r>
    </w:p>
    <w:p>
      <w:pPr>
        <w:pStyle w:val="TextBody"/>
        <w:bidi w:val="0"/>
        <w:spacing w:lineRule="auto" w:line="288" w:before="158" w:after="283"/>
        <w:ind w:left="0" w:right="0" w:hanging="539"/>
        <w:jc w:val="both"/>
        <w:rPr/>
      </w:pPr>
      <w:r>
        <w:rPr>
          <w:rFonts w:ascii="Times New Roman;serif" w:hAnsi="Times New Roman;serif"/>
          <w:b w:val="false"/>
          <w:color w:val="000000"/>
          <w:sz w:val="20"/>
        </w:rPr>
        <w:t>8.22</w:t>
      </w:r>
      <w:r>
        <w:rPr>
          <w:color w:val="000000"/>
        </w:rPr>
        <w:t>“</w:t>
      </w:r>
      <w:r>
        <w:rPr>
          <w:rFonts w:ascii="Times New Roman;serif" w:hAnsi="Times New Roman;serif"/>
          <w:b w:val="false"/>
          <w:color w:val="000000"/>
          <w:sz w:val="20"/>
        </w:rPr>
        <w:t>Sanctions” shall have the meaning set forth in Section 2.13.</w:t>
      </w:r>
    </w:p>
    <w:p>
      <w:pPr>
        <w:pStyle w:val="TextBody"/>
        <w:bidi w:val="0"/>
        <w:spacing w:lineRule="auto" w:line="288" w:before="186" w:after="283"/>
        <w:ind w:left="0" w:right="0" w:hanging="539"/>
        <w:jc w:val="both"/>
        <w:rPr/>
      </w:pPr>
      <w:r>
        <w:rPr>
          <w:rFonts w:ascii="Times New Roman;serif" w:hAnsi="Times New Roman;serif"/>
          <w:b w:val="false"/>
          <w:color w:val="000000"/>
          <w:sz w:val="20"/>
        </w:rPr>
        <w:t>8.23</w:t>
      </w:r>
      <w:r>
        <w:rPr>
          <w:color w:val="000000"/>
        </w:rPr>
        <w:t>“</w:t>
      </w:r>
      <w:r>
        <w:rPr>
          <w:rFonts w:ascii="Times New Roman;serif" w:hAnsi="Times New Roman;serif"/>
          <w:b w:val="false"/>
          <w:color w:val="000000"/>
          <w:sz w:val="20"/>
        </w:rPr>
        <w:t>SEC” shall mean the U.S. Securities and Exchange Commission.</w:t>
      </w:r>
    </w:p>
    <w:p>
      <w:pPr>
        <w:pStyle w:val="TextBody"/>
        <w:bidi w:val="0"/>
        <w:spacing w:lineRule="auto" w:line="288" w:before="189" w:after="283"/>
        <w:ind w:left="0" w:right="0" w:hanging="539"/>
        <w:jc w:val="both"/>
        <w:rPr/>
      </w:pPr>
      <w:r>
        <w:rPr>
          <w:rFonts w:ascii="Times New Roman;serif" w:hAnsi="Times New Roman;serif"/>
          <w:b w:val="false"/>
          <w:color w:val="000000"/>
          <w:sz w:val="20"/>
        </w:rPr>
        <w:t>8.24</w:t>
      </w:r>
      <w:r>
        <w:rPr>
          <w:color w:val="000000"/>
        </w:rPr>
        <w:t>“</w:t>
      </w:r>
      <w:r>
        <w:rPr>
          <w:rFonts w:ascii="Times New Roman;serif" w:hAnsi="Times New Roman;serif"/>
          <w:b w:val="false"/>
          <w:color w:val="000000"/>
          <w:sz w:val="20"/>
        </w:rPr>
        <w:t>Securities Act” shall mean the U.S. Securities Act of 1933, as amended.</w:t>
      </w:r>
    </w:p>
    <w:p>
      <w:pPr>
        <w:pStyle w:val="TextBody"/>
        <w:bidi w:val="0"/>
        <w:spacing w:lineRule="auto" w:line="288" w:before="186" w:after="283"/>
        <w:ind w:left="0" w:right="0" w:hanging="359"/>
        <w:jc w:val="both"/>
        <w:rPr/>
      </w:pPr>
      <w:r>
        <w:rPr>
          <w:rFonts w:ascii="Times New Roman;serif" w:hAnsi="Times New Roman;serif"/>
          <w:b w:val="false"/>
          <w:color w:val="000000"/>
          <w:sz w:val="20"/>
        </w:rPr>
        <w:t>9.</w:t>
      </w:r>
      <w:r>
        <w:rPr>
          <w:rFonts w:ascii="Times New Roman;serif" w:hAnsi="Times New Roman;serif"/>
          <w:b/>
          <w:color w:val="000000"/>
          <w:sz w:val="20"/>
        </w:rPr>
        <w:t>General</w:t>
      </w:r>
    </w:p>
    <w:p>
      <w:pPr>
        <w:pStyle w:val="TextBody"/>
        <w:bidi w:val="0"/>
        <w:spacing w:lineRule="auto" w:line="288" w:before="18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9.1Unless otherwise expressly provided herein, all notices under this Agreement to parties hereto shall be in writing and shall be effective when received at the address of the respective party set forth in the Addendum to this Agreement.</w:t>
      </w:r>
    </w:p>
    <w:p>
      <w:pPr>
        <w:pStyle w:val="TextBody"/>
        <w:bidi w:val="0"/>
        <w:spacing w:lineRule="auto" w:line="288" w:before="159"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9.2This Agreement shall be governed by and construed in accordance with the laws of the State of New York, without regard to its conflict of law provisions (other than Sections 5- 1401 and 5-1402 of the General Obligations Law).</w:t>
      </w:r>
    </w:p>
    <w:p>
      <w:pPr>
        <w:pStyle w:val="TextBody"/>
        <w:bidi w:val="0"/>
        <w:spacing w:lineRule="auto" w:line="288" w:before="15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9.3Each of the Dealer and the Issuer agrees that any suit, action or proceeding brought by such party in connection with or arising out of this Agreement or the Notes or the offer and sale of the Notes shall be brought solely in the United States federal courts located in the Borough of Manhattan or the courts of the State of New York located in the Borough of Manhattan, and each of the Dealer and the Issuer hereby irrevocably accepts and submits to the jurisdiction of each of such courts with respect to any suit, action or proceeding in connection with or arising out of this Agreement or the Notes or the offer and sale of the Notes. EACH OF THE DEALER AND THE ISSUER WAIVES ITS RIGHT TO TRIAL</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993900"/>
                <wp:effectExtent l="0" t="0" r="0" b="0"/>
                <wp:wrapNone/>
                <wp:docPr id="91" name="Frame90"/>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BY JURY IN ANY SUIT, ACTION OR PROCEEDING WITH RESPECT TO THIS AGREEMENT OR THE TRANSACTIONS CONTEMPLATED HEREBY.</w:t>
      </w:r>
    </w:p>
    <w:p>
      <w:pPr>
        <w:pStyle w:val="TextBody"/>
        <w:bidi w:val="0"/>
        <w:spacing w:lineRule="auto" w:line="288" w:before="158"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9.4This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5 and 7.3 hereof or the respective representations, warranties, agreements, covenants, rights or responsibilities of the parties made or arising prior to the termination of this Agreement.</w:t>
      </w:r>
    </w:p>
    <w:p>
      <w:pPr>
        <w:pStyle w:val="TextBody"/>
        <w:bidi w:val="0"/>
        <w:spacing w:lineRule="auto" w:line="288" w:before="15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9.5This Agreement is not assignable by either party hereto without the written consent of the other party; provided, however, that the Dealer may assign its rights and obligations under this Agreement to any affiliate of the Dealer.</w:t>
      </w:r>
    </w:p>
    <w:p>
      <w:pPr>
        <w:pStyle w:val="TextBody"/>
        <w:bidi w:val="0"/>
        <w:spacing w:lineRule="auto" w:line="288" w:before="15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9.6This Agreement may be signed in any number of counterparts, each of which shall be an original, with the same effect as if the signatures thereto and hereto were upon the same instrument.</w:t>
      </w:r>
    </w:p>
    <w:p>
      <w:pPr>
        <w:pStyle w:val="TextBody"/>
        <w:bidi w:val="0"/>
        <w:spacing w:lineRule="auto" w:line="288" w:before="159"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9.7Except as provided in Section 5 with respect to non-party Indemnitees, this Agreement is for the exclusive benefit of the parties hereto, and their respective permitted successors and assigns hereunder, and shall not be deemed to give any legal or equitable right, remedy or claim to any other person whatsoever; provided, however, that the Issuer’s submission to jurisdiction contained in Section 7.3 is hereby specifically and expressly acknowledged to also be for the benefit of the holders from time to time of the Notes, as third-party beneficiaries.</w:t>
      </w:r>
    </w:p>
    <w:p>
      <w:pPr>
        <w:pStyle w:val="TextBody"/>
        <w:bidi w:val="0"/>
        <w:spacing w:lineRule="auto" w:line="288" w:before="15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9.8The Issuer acknowledges and agrees that (i) purchases and sales, or placements, of the Notes pursuant to this Agreement, including the determination of any price for the Notes and Dealer compensation, are arm's-length commercial transactions between the Issuer and the Dealer, (ii) in connection therewith and with the process leading to such transactions, the Dealer is acting solely as a principal and not the agent (except to the extent explicitly set forth herein) or fiduciary of the Issuer or any of its affiliates, (iii) the Dealer has not assumed an advisory or fiduciary responsibility in favor of the Issuer or any of its affiliates with respect to the offering contemplated hereby or the process leading thereto (irrespective of whether the Dealer has advised or is currently advising the Issuer or any of its affiliates on other matters) or any other obligation to the Issuer or any of its affiliates except the obligations expressly set forth in this Agreement, (iv) the Issuer is capable of evaluating and understanding and understands and accepts the terms, risks and conditions of the transactions contemplated by this Agreement, (v) the Dealer and its affiliates may be engaged in a broad range of transactions that involve interests that differ from those of the Issuer and that the Dealer has no obligation to disclose any of those interests by virtue of any advisory or fiduciary relationship, (vi) the Dealer has not provided any legal, accounting, regulatory or tax advice with respect to the transactions contemplated hereby, and (vii) the Issuer has consulted its own legal and financial advisors to the extent it deemed appropriate. The Issuer agrees that it will not claim that the Dealer has rendered advisory services of any nature or respect, or owes a fiduciary or similar duty to the Issuer in connection with such transactions or the process leading thereto. Any review by the Dealer of the Issuer, the transactions contemplated hereby or other matters relating to such transactions shall be performed solely for the benefit of the Dealer and shall not be on</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993900"/>
                <wp:effectExtent l="0" t="0" r="0" b="0"/>
                <wp:wrapNone/>
                <wp:docPr id="92" name="Frame91"/>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behalf of the Issuer. This Agreement supersedes all prior agreements and understandings (whether written or oral) between the Issuer and the Dealer with respect to the subject matter hereof. The Issuer hereby waives and releases, to the fullest extent permitted by law, any claims the Issuer may have against the Dealer with respect to any breach or alleged breach of fiduciary duty.</w:t>
      </w:r>
    </w:p>
    <w:p>
      <w:pPr>
        <w:pStyle w:val="TextBody"/>
        <w:bidi w:val="0"/>
        <w:spacing w:lineRule="auto" w:line="288" w:before="156" w:after="283"/>
        <w:ind w:left="0" w:right="0" w:hanging="454"/>
        <w:jc w:val="both"/>
        <w:rPr>
          <w:rFonts w:ascii="Times New Roman;serif" w:hAnsi="Times New Roman;serif"/>
          <w:b w:val="false"/>
          <w:color w:val="000000"/>
          <w:sz w:val="20"/>
        </w:rPr>
      </w:pPr>
      <w:r>
        <w:rPr>
          <w:rFonts w:ascii="Times New Roman;serif" w:hAnsi="Times New Roman;serif"/>
          <w:b w:val="false"/>
          <w:color w:val="000000"/>
          <w:sz w:val="20"/>
        </w:rPr>
        <w:t>9.9(i) The parties hereto agree that the Issuer may, in accordance with the terms of this Section 7.9,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Agent Agreement”) (any such replacement, a “Replacement”).</w:t>
      </w:r>
    </w:p>
    <w:p>
      <w:pPr>
        <w:pStyle w:val="TextBody"/>
        <w:bidi w:val="0"/>
        <w:spacing w:lineRule="auto" w:line="288" w:before="154" w:after="283"/>
        <w:jc w:val="both"/>
        <w:rPr>
          <w:rFonts w:ascii="Times New Roman;serif" w:hAnsi="Times New Roman;serif"/>
          <w:b w:val="false"/>
          <w:color w:val="000000"/>
          <w:sz w:val="20"/>
        </w:rPr>
      </w:pPr>
      <w:r>
        <w:rPr>
          <w:rFonts w:ascii="Times New Roman;serif" w:hAnsi="Times New Roman;serif"/>
          <w:b w:val="false"/>
          <w:color w:val="000000"/>
          <w:sz w:val="20"/>
        </w:rPr>
        <w:t>(ii)From and after the effective date of any Replacement, (A) to the extent that the Issuing and Paying Agent Agreement provides that the Current Issuing and Paying Agent will continue to act in respect of Notes outstanding as of the effective date of such Replacement (the “Outstanding Notes”), then (i) the “Issuing and Paying Agent” for the Notes shall be deemed to be the Current Issuing and Paying Agent, in respect of the Outstanding Notes, and the Replacement Issuing and Paying Agent, in respect of Notes issued on or after the Replacement, (ii) all references to the “Issuing and Paying Agent” hereunder shall be deemed to refer to the Current Issuing and Paying Agent in respect of the Outstanding Notes, and the Replacement Issuing and Paying Agent in respect of Notes issued on or after the Replacement, and (iii) all references to the “Issuing and Paying Agent Agreement” hereunder shall be deemed to refer to the existing Issuing and Paying Agent Agreement, in respect of the Outstanding Notes, and the Replacement Issuing and Paying Agent Agreement, in respect of Notes issued on or after the Replacement; and (B) to the extent that the Issuing and Paying Agent Agreement does not provide that the Current Issuing and Paying Agent will continue to act in respect of the Outstanding Notes, then (i) the “Issuing and Paying Agent” for the Notes shall be deemed to be the Replacement Issuing and Paying Agent, (ii) all references to the “Issuing and Paying Agent” hereunder shall be deemed to refer to the Replacement Issuing and Paying Agent, and (iii) all references to the “Issuing and Paying Agent Agreement” hereunder shall be deemed to refer to the Replacement Issuing and Paying Agent Agreement.</w:t>
      </w:r>
    </w:p>
    <w:p>
      <w:pPr>
        <w:pStyle w:val="TextBody"/>
        <w:bidi w:val="0"/>
        <w:spacing w:lineRule="auto" w:line="288" w:before="144" w:after="283"/>
        <w:jc w:val="both"/>
        <w:rPr>
          <w:rFonts w:ascii="Times New Roman;serif" w:hAnsi="Times New Roman;serif"/>
          <w:b w:val="false"/>
          <w:color w:val="000000"/>
          <w:sz w:val="20"/>
        </w:rPr>
      </w:pPr>
      <w:r>
        <w:rPr>
          <w:rFonts w:ascii="Times New Roman;serif" w:hAnsi="Times New Roman;serif"/>
          <w:b w:val="false"/>
          <w:color w:val="000000"/>
          <w:sz w:val="20"/>
        </w:rPr>
        <w:t>(iii)From and after the effective date of any Replacement, the Issuer shall not issue any Notes hereunder unless and until the Dealer shall have received: (a) a copy of the executed Replacement Issuing and Paying Agent Agreement, (b) a copy of the executed Letter of Representations among the Issuer, the Replacement Issuing and Paying Agent and DTC, (c) a copy of the executed Master Note authenticated by the Replacement Issuing and Paying Agent and registered in the name of DTC or its nominee, (d) an amendment or supplement to the Private Placement Memorandum describing the Replacement Issuing and Paying Agent as the Issuing and Paying Agent for the Notes, and reflecting any other changes thereto necessary in light of the Replacement so that the Private Placement Memorandum, as amended or supplemented, satisfies the requirements of this Agreement, and (e) a legal opinion of counsel to the Issuer, addressed to the Dealer, in form and substance reasonably satisfactory to the Dealer, as to (x) the due authorization, delivery,</w: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validity and enforceability of Notes issued pursuant to the Replacement Issuing and Paying Agent Agreement, and (y) such other matters as the Dealer may reasonably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993900"/>
                <wp:effectExtent l="0" t="0" r="0" b="0"/>
                <wp:wrapNone/>
                <wp:docPr id="93" name="Frame92"/>
                <a:graphic xmlns:a="http://schemas.openxmlformats.org/drawingml/2006/main">
                  <a:graphicData uri="http://schemas.microsoft.com/office/word/2010/wordprocessingShape">
                    <wps:wsp>
                      <wps:cNvSpPr txBox="1"/>
                      <wps:spPr>
                        <a:xfrm>
                          <a:off x="0" y="0"/>
                          <a:ext cx="6480175" cy="19939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54" w:after="283"/>
        <w:jc w:val="left"/>
        <w:rPr>
          <w:rFonts w:ascii="Times New Roman;serif" w:hAnsi="Times New Roman;serif"/>
          <w:b w:val="false"/>
          <w:color w:val="464646"/>
          <w:sz w:val="22"/>
        </w:rPr>
      </w:pPr>
      <w:r>
        <w:rPr>
          <w:rFonts w:ascii="Times New Roman;serif" w:hAnsi="Times New Roman;serif"/>
          <w:b w:val="false"/>
          <w:color w:val="464646"/>
          <w:sz w:val="22"/>
        </w:rPr>
        <w:t>IN WITNESS WHEREOF, the parties hereto have caused this Agreement to be executed as of the date and year first above written.</w:t>
      </w:r>
    </w:p>
    <w:p>
      <w:pPr>
        <w:pStyle w:val="TextBody"/>
        <w:bidi w:val="0"/>
        <w:spacing w:before="0" w:after="0"/>
        <w:jc w:val="left"/>
        <w:rPr/>
      </w:pPr>
      <w:r>
        <w:rPr/>
      </w:r>
    </w:p>
    <w:p>
      <w:pPr>
        <w:pStyle w:val="TextBody"/>
        <w:bidi w:val="0"/>
        <w:spacing w:lineRule="auto" w:line="288" w:before="0" w:after="0"/>
        <w:ind w:left="0" w:right="0" w:firstLine="90"/>
        <w:jc w:val="left"/>
        <w:rPr/>
      </w:pPr>
      <w:r>
        <w:rPr>
          <w:rFonts w:ascii="Times New Roman;serif" w:hAnsi="Times New Roman;serif"/>
          <w:b/>
          <w:color w:val="464646"/>
          <w:sz w:val="21"/>
        </w:rPr>
        <w:t>ENERGY</w:t>
      </w:r>
      <w:r>
        <w:rPr>
          <w:color w:val="464646"/>
        </w:rPr>
        <w:t xml:space="preserve"> </w:t>
      </w:r>
      <w:r>
        <w:rPr>
          <w:rFonts w:ascii="Times New Roman;serif" w:hAnsi="Times New Roman;serif"/>
          <w:b/>
          <w:color w:val="464646"/>
          <w:sz w:val="21"/>
        </w:rPr>
        <w:t>TRANSFER</w:t>
      </w:r>
      <w:r>
        <w:rPr>
          <w:color w:val="464646"/>
        </w:rPr>
        <w:t xml:space="preserve"> </w:t>
      </w:r>
      <w:r>
        <w:rPr>
          <w:rFonts w:ascii="Times New Roman;serif" w:hAnsi="Times New Roman;serif"/>
          <w:b/>
          <w:color w:val="464646"/>
          <w:sz w:val="21"/>
        </w:rPr>
        <w:t>LP,</w:t>
      </w:r>
      <w:r>
        <w:rPr>
          <w:color w:val="464646"/>
        </w:rPr>
        <w:t xml:space="preserve"> </w:t>
      </w:r>
      <w:r>
        <w:rPr>
          <w:rFonts w:ascii="Times New Roman;serif" w:hAnsi="Times New Roman;serif"/>
          <w:b/>
          <w:color w:val="464646"/>
          <w:sz w:val="24"/>
        </w:rPr>
        <w:t>as</w:t>
      </w:r>
    </w:p>
    <w:p>
      <w:pPr>
        <w:pStyle w:val="TextBody"/>
        <w:bidi w:val="0"/>
        <w:spacing w:lineRule="auto" w:line="288" w:before="0" w:after="0"/>
        <w:ind w:left="0" w:right="0" w:firstLine="112"/>
        <w:jc w:val="left"/>
        <w:rPr>
          <w:rFonts w:ascii="Times New Roman;serif" w:hAnsi="Times New Roman;serif"/>
          <w:b/>
          <w:color w:val="464646"/>
          <w:sz w:val="21"/>
        </w:rPr>
      </w:pPr>
      <w:r>
        <w:rPr>
          <w:rFonts w:ascii="Times New Roman;serif" w:hAnsi="Times New Roman;serif"/>
          <w:b/>
          <w:color w:val="464646"/>
          <w:sz w:val="21"/>
        </w:rPr>
        <w:t>Issuer</w:t>
      </w:r>
    </w:p>
    <w:p>
      <w:pPr>
        <w:pStyle w:val="TextBody"/>
        <w:bidi w:val="0"/>
        <w:spacing w:lineRule="auto" w:line="288" w:before="0" w:after="0"/>
        <w:ind w:left="0" w:right="0" w:firstLine="111"/>
        <w:jc w:val="left"/>
        <w:rPr/>
      </w:pPr>
      <w:r>
        <w:rPr>
          <w:rFonts w:ascii="Times New Roman;serif" w:hAnsi="Times New Roman;serif"/>
          <w:b/>
          <w:color w:val="464646"/>
          <w:sz w:val="21"/>
        </w:rPr>
        <w:t>By:</w:t>
      </w:r>
      <w:r>
        <w:rPr>
          <w:color w:val="464646"/>
        </w:rPr>
        <w:t xml:space="preserve"> </w:t>
      </w:r>
      <w:r>
        <w:rPr>
          <w:rFonts w:ascii="Times New Roman;serif" w:hAnsi="Times New Roman;serif"/>
          <w:b/>
          <w:color w:val="464646"/>
          <w:sz w:val="21"/>
        </w:rPr>
        <w:t>LE GP, LLC, its general partner</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By: ______________________________________</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Name:____________________________________</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Title:_____________________________________</w:t>
      </w:r>
    </w:p>
    <w:p>
      <w:pPr>
        <w:pStyle w:val="TextBody"/>
        <w:bidi w:val="0"/>
        <w:spacing w:before="0" w:after="0"/>
        <w:ind w:left="0" w:right="0" w:firstLine="111"/>
        <w:jc w:val="left"/>
        <w:rPr/>
      </w:pPr>
      <w:r>
        <w:rPr/>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pPr>
      <w:r>
        <w:rPr>
          <w:rFonts w:ascii="Times New Roman;serif" w:hAnsi="Times New Roman;serif"/>
          <w:b w:val="false"/>
          <w:color w:val="464646"/>
          <w:sz w:val="21"/>
        </w:rPr>
        <w:t>[DEALER]</w:t>
      </w:r>
      <w:r>
        <w:rPr>
          <w:rFonts w:ascii="Times New Roman;serif" w:hAnsi="Times New Roman;serif"/>
          <w:b/>
          <w:color w:val="464646"/>
          <w:sz w:val="21"/>
        </w:rPr>
        <w:t>,</w:t>
      </w:r>
      <w:r>
        <w:rPr>
          <w:color w:val="464646"/>
        </w:rPr>
        <w:t xml:space="preserve"> </w:t>
      </w:r>
      <w:r>
        <w:rPr>
          <w:rFonts w:ascii="Times New Roman;serif" w:hAnsi="Times New Roman;serif"/>
          <w:b/>
          <w:color w:val="464646"/>
          <w:sz w:val="24"/>
        </w:rPr>
        <w:t>as Dealer</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By: ______________________________________</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Name:____________________________________</w:t>
      </w:r>
    </w:p>
    <w:p>
      <w:pPr>
        <w:pStyle w:val="TextBody"/>
        <w:bidi w:val="0"/>
        <w:spacing w:before="0" w:after="0"/>
        <w:ind w:left="0" w:right="0" w:firstLine="111"/>
        <w:jc w:val="left"/>
        <w:rPr/>
      </w:pPr>
      <w:r>
        <w:rPr/>
      </w:r>
    </w:p>
    <w:p>
      <w:pPr>
        <w:pStyle w:val="TextBody"/>
        <w:bidi w:val="0"/>
        <w:spacing w:lineRule="auto" w:line="288" w:before="0" w:after="0"/>
        <w:ind w:left="0" w:right="0" w:firstLine="111"/>
        <w:jc w:val="left"/>
        <w:rPr>
          <w:rFonts w:ascii="Times New Roman;serif" w:hAnsi="Times New Roman;serif"/>
          <w:b/>
          <w:color w:val="464646"/>
          <w:sz w:val="21"/>
        </w:rPr>
      </w:pPr>
      <w:r>
        <w:rPr>
          <w:rFonts w:ascii="Times New Roman;serif" w:hAnsi="Times New Roman;serif"/>
          <w:b/>
          <w:color w:val="464646"/>
          <w:sz w:val="21"/>
        </w:rPr>
        <w:t>Title:_____________________________________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4"/>
        </w:rPr>
      </w:pPr>
      <w:r>
        <w:rPr>
          <w:rFonts w:ascii="Times New Roman;serif" w:hAnsi="Times New Roman;serif"/>
          <w:b/>
          <w:color w:val="000000"/>
          <w:sz w:val="24"/>
        </w:rPr>
        <w:t>Addendum</w:t>
      </w:r>
    </w:p>
    <w:p>
      <w:pPr>
        <w:pStyle w:val="TextBody"/>
        <w:bidi w:val="0"/>
        <w:spacing w:lineRule="auto" w:line="288" w:before="142" w:after="283"/>
        <w:jc w:val="left"/>
        <w:rPr>
          <w:rFonts w:ascii="Times New Roman;serif" w:hAnsi="Times New Roman;serif"/>
          <w:b w:val="false"/>
          <w:color w:val="000000"/>
          <w:sz w:val="22"/>
        </w:rPr>
      </w:pPr>
      <w:r>
        <w:rPr>
          <w:rFonts w:ascii="Times New Roman;serif" w:hAnsi="Times New Roman;serif"/>
          <w:b w:val="false"/>
          <w:color w:val="000000"/>
          <w:sz w:val="22"/>
        </w:rPr>
        <w:t>The following additional clauses shall apply to the Agreement and be deemed a part thereof.</w:t>
      </w:r>
    </w:p>
    <w:p>
      <w:pPr>
        <w:pStyle w:val="TextBody"/>
        <w:bidi w:val="0"/>
        <w:spacing w:lineRule="auto" w:line="288" w:before="186"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other dealers referred to in clause (b) of Section 1.2 of the Agreement are __________________________________.</w:t>
      </w:r>
    </w:p>
    <w:p>
      <w:pPr>
        <w:pStyle w:val="TextBody"/>
        <w:bidi w:val="0"/>
        <w:spacing w:lineRule="auto" w:line="288" w:before="158" w:after="283"/>
        <w:ind w:left="0" w:right="0" w:hanging="359"/>
        <w:jc w:val="left"/>
        <w:rPr>
          <w:rFonts w:ascii="Times New Roman;serif" w:hAnsi="Times New Roman;serif"/>
          <w:b w:val="false"/>
          <w:color w:val="000000"/>
          <w:sz w:val="22"/>
        </w:rPr>
      </w:pPr>
      <w:r>
        <w:rPr>
          <w:rFonts w:ascii="Times New Roman;serif" w:hAnsi="Times New Roman;serif"/>
          <w:b w:val="false"/>
          <w:color w:val="000000"/>
          <w:sz w:val="22"/>
        </w:rPr>
        <w:t>2.The addresses of the respective parties for purposes of notices under Section 7.1 are as follows:</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Issuer: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Address:_______________________________________________________________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Attention:______________________________________________________________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number:_______________________________________________________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Fax number:____________________________________________________________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Dealer: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Address:_______________________________________________________________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Attention:______________________________________________________________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Telephone number:_______________________________________________________ </w:t>
      </w:r>
    </w:p>
    <w:p>
      <w:pPr>
        <w:pStyle w:val="TextBody"/>
        <w:bidi w:val="0"/>
        <w:spacing w:lineRule="auto" w:line="288" w:before="0" w:after="0"/>
        <w:ind w:left="0" w:right="0" w:firstLine="104"/>
        <w:jc w:val="left"/>
        <w:rPr>
          <w:rFonts w:ascii="Times New Roman;serif" w:hAnsi="Times New Roman;serif"/>
          <w:b w:val="false"/>
          <w:color w:val="000000"/>
          <w:sz w:val="22"/>
        </w:rPr>
      </w:pPr>
      <w:r>
        <w:rPr>
          <w:rFonts w:ascii="Times New Roman;serif" w:hAnsi="Times New Roman;serif"/>
          <w:b w:val="false"/>
          <w:color w:val="000000"/>
          <w:sz w:val="22"/>
        </w:rPr>
        <w:t xml:space="preserve">Fax number:___________________________________________________________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81685"/>
                <wp:effectExtent l="0" t="0" r="0" b="0"/>
                <wp:wrapNone/>
                <wp:docPr id="95" name="Frame94"/>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163" w:after="283"/>
        <w:jc w:val="left"/>
        <w:rPr>
          <w:rFonts w:ascii="Times New Roman;serif" w:hAnsi="Times New Roman;serif"/>
          <w:b/>
          <w:color w:val="000000"/>
          <w:sz w:val="20"/>
        </w:rPr>
      </w:pPr>
      <w:r>
        <w:rPr>
          <w:rFonts w:ascii="Times New Roman;serif" w:hAnsi="Times New Roman;serif"/>
          <w:b/>
          <w:color w:val="000000"/>
          <w:sz w:val="20"/>
        </w:rPr>
        <w:t>Form of Legend for Private Placement Memorandum and Notes</w:t>
      </w:r>
    </w:p>
    <w:p>
      <w:pPr>
        <w:pStyle w:val="TextBody"/>
        <w:bidi w:val="0"/>
        <w:spacing w:lineRule="auto" w:line="288" w:before="184" w:after="283"/>
        <w:jc w:val="both"/>
        <w:rPr>
          <w:rFonts w:ascii="Times New Roman;serif" w:hAnsi="Times New Roman;serif"/>
          <w:b w:val="false"/>
          <w:color w:val="000000"/>
          <w:sz w:val="20"/>
        </w:rPr>
      </w:pPr>
      <w:r>
        <w:rPr>
          <w:rFonts w:ascii="Times New Roman;serif" w:hAnsi="Times New Roman;serif"/>
          <w:b w:val="false"/>
          <w:color w:val="000000"/>
          <w:sz w:val="20"/>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ENERGY TRANSFER LP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OR OTHER SUCH INSTITUTION)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81685"/>
                <wp:effectExtent l="0" t="0" r="0" b="0"/>
                <wp:wrapNone/>
                <wp:docPr id="96" name="Frame95"/>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123" w:after="283"/>
        <w:jc w:val="both"/>
        <w:rPr>
          <w:rFonts w:ascii="Times New Roman;serif" w:hAnsi="Times New Roman;serif"/>
          <w:b/>
          <w:color w:val="000000"/>
          <w:sz w:val="20"/>
        </w:rPr>
      </w:pPr>
      <w:r>
        <w:rPr>
          <w:rFonts w:ascii="Times New Roman;serif" w:hAnsi="Times New Roman;serif"/>
          <w:b/>
          <w:color w:val="000000"/>
          <w:sz w:val="20"/>
        </w:rPr>
        <w:t>Further Provisions Relating to Indemnification</w:t>
      </w:r>
    </w:p>
    <w:p>
      <w:pPr>
        <w:pStyle w:val="TextBody"/>
        <w:bidi w:val="0"/>
        <w:spacing w:lineRule="auto" w:line="288" w:before="182"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(a)The Issuer agrees to reimburse each Indemnitee for all reasonable expenses (including reasonable fees and disbursements of internal and external counsel) as they are incurred by it in connection with investigating or defending any loss, claim, damage, liability or action in respect of which indemnification may be sought under Section 5 of the Agreement (whether or not it is a party to any such proceedings).</w:t>
      </w:r>
    </w:p>
    <w:p>
      <w:pPr>
        <w:pStyle w:val="TextBody"/>
        <w:bidi w:val="0"/>
        <w:spacing w:lineRule="auto" w:line="288" w:before="156"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(b)Promptly after receipt by an Indemnitee of notice of the existence of a Claim, such Indemnitee will, if a claim in respect thereof is to be made against the Issuer, notify the Issuer in writing of the existence thereof; provided that (i) the omission to so notify the Issuer will not relieve the Issuer from any liability which the Issuer may have hereunder unless and except to the extent it did not otherwise learn of such Claim and such failure results in the forfeiture by the Issuer of substantial rights and defenses, and (ii) the omission to so notify the Issuer will not relieve it from liability which it may have to an Indemnitee otherwise than on account of this Agreement. In case any such Claim is made against any Indemnitee and it notifies the Issuer of the existence thereof, the Issuer will be entitled to participate therein, and to the extent that it may elect by written notice delivered to the Indemnitee, to assume the defense thereof, with counsel reasonably satisfactory to such Indemnitee; provided that if the defendants in any such Claim include both the Indemnitee and the Issuer, and the Indemnitee shall have concluded that there may be legal defenses available to it which are different from or additional to those available to the Issuer, the Issuer shall not have the right to direct the defense of such Claim on behalf of such Indemnitee, and the Indemnitee shall have the right to select separate counsel to assert such legal defenses on behalf of such Indemnitee. Upon receipt of notice from the Issuer to such Indemnitee of the Issuer’s election to so assume the defense of such Claim and approval by the Indemnitee of counsel, the Issuer will not be liable to such Indemnitee for expenses incurred thereafter by the Indemnitee in connection with the defense thereof (other than reasonable costs of investigation) unless (i) the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all Indemnitees who are party to such Claim), (ii) the Issuer shall not have employed counsel reasonably satisfactory to the Indemnitee to represent the Indemnitee within a reasonable time after notice of existence of the Claim or (iii) the Issuer has authorized in writing the employment of counsel for the Indemnitee. The indemnity, reimbursement and contribution obligations of the Issuer hereunder shall be in addition to any other liability the Issuer may otherwise have to an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81685"/>
                <wp:effectExtent l="0" t="0" r="0" b="0"/>
                <wp:wrapNone/>
                <wp:docPr id="97" name="Frame96"/>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Exhibit C</w:t>
      </w:r>
    </w:p>
    <w:p>
      <w:pPr>
        <w:pStyle w:val="TextBody"/>
        <w:bidi w:val="0"/>
        <w:spacing w:lineRule="auto" w:line="288" w:before="123" w:after="283"/>
        <w:jc w:val="both"/>
        <w:rPr>
          <w:rFonts w:ascii="Times New Roman;serif" w:hAnsi="Times New Roman;serif"/>
          <w:b/>
          <w:color w:val="000000"/>
          <w:sz w:val="20"/>
        </w:rPr>
      </w:pPr>
      <w:r>
        <w:rPr>
          <w:rFonts w:ascii="Times New Roman;serif" w:hAnsi="Times New Roman;serif"/>
          <w:b/>
          <w:color w:val="000000"/>
          <w:sz w:val="20"/>
        </w:rPr>
        <w:t>Statement of Terms for Interest – Bearing Commercial Paper Notes of Energy Transfer LP</w:t>
      </w:r>
    </w:p>
    <w:p>
      <w:pPr>
        <w:pStyle w:val="TextBody"/>
        <w:bidi w:val="0"/>
        <w:spacing w:lineRule="auto" w:line="288" w:before="176" w:after="283"/>
        <w:jc w:val="both"/>
        <w:rPr>
          <w:rFonts w:ascii="Times New Roman;serif" w:hAnsi="Times New Roman;serif"/>
          <w:b/>
          <w:color w:val="000000"/>
          <w:sz w:val="20"/>
        </w:rPr>
      </w:pPr>
      <w:r>
        <w:rPr>
          <w:rFonts w:ascii="Times New Roman;serif" w:hAnsi="Times New Roman;serif"/>
          <w:b/>
          <w:color w:val="000000"/>
          <w:sz w:val="20"/>
        </w:rPr>
        <w:t>THE PROVISIONS SET FORTH BELOW ARE QUALIFIED TO THE EXTENT APPLICABLE BY THE TRANSACTION SPECIFIC PRIVATE PLACEMENT MEMORANDUM SUPPLEMENT (THE “SUPPLEMENT”) (IF ANY) SENT TO EACH PURCHASER AT THE TIME OF THE TRANSACTION.</w:t>
      </w:r>
    </w:p>
    <w:p>
      <w:pPr>
        <w:pStyle w:val="TextBody"/>
        <w:bidi w:val="0"/>
        <w:spacing w:lineRule="auto" w:line="288" w:before="156" w:after="283"/>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General.</w:t>
      </w:r>
      <w:r>
        <w:rPr>
          <w:color w:val="000000"/>
        </w:rPr>
        <w:t xml:space="preserve"> </w:t>
      </w:r>
      <w:r>
        <w:rPr>
          <w:rFonts w:ascii="Times New Roman;serif" w:hAnsi="Times New Roman;serif"/>
          <w:b w:val="false"/>
          <w:color w:val="000000"/>
          <w:sz w:val="20"/>
        </w:rPr>
        <w:t>(a)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pStyle w:val="TextBody"/>
        <w:bidi w:val="0"/>
        <w:spacing w:lineRule="auto" w:line="288" w:before="155" w:after="283"/>
        <w:jc w:val="both"/>
        <w:rPr>
          <w:rFonts w:ascii="Times New Roman;serif" w:hAnsi="Times New Roman;serif"/>
          <w:b w:val="false"/>
          <w:color w:val="000000"/>
          <w:sz w:val="20"/>
        </w:rPr>
      </w:pPr>
      <w:r>
        <w:rPr>
          <w:rFonts w:ascii="Times New Roman;serif" w:hAnsi="Times New Roman;serif"/>
          <w:b w:val="false"/>
          <w:color w:val="000000"/>
          <w:sz w:val="20"/>
        </w:rPr>
        <w:t>(b) “Business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pStyle w:val="TextBody"/>
        <w:bidi w:val="0"/>
        <w:spacing w:lineRule="auto" w:line="288" w:before="157" w:after="283"/>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Interest.</w:t>
      </w:r>
      <w:r>
        <w:rPr>
          <w:color w:val="000000"/>
        </w:rPr>
        <w:t xml:space="preserve"> </w:t>
      </w:r>
      <w:r>
        <w:rPr>
          <w:rFonts w:ascii="Times New Roman;serif" w:hAnsi="Times New Roman;serif"/>
          <w:b w:val="false"/>
          <w:color w:val="000000"/>
          <w:sz w:val="20"/>
        </w:rPr>
        <w:t>(a) Each Note will bear interest at a fixed rate (a “Fixed Rate Note”) or at a floating rate (a “Floating Rate Note”).</w:t>
      </w:r>
    </w:p>
    <w:p>
      <w:pPr>
        <w:pStyle w:val="TextBody"/>
        <w:bidi w:val="0"/>
        <w:spacing w:lineRule="auto" w:line="288" w:before="163" w:after="283"/>
        <w:jc w:val="both"/>
        <w:rPr>
          <w:rFonts w:ascii="Times New Roman;serif" w:hAnsi="Times New Roman;serif"/>
          <w:b w:val="false"/>
          <w:color w:val="000000"/>
          <w:sz w:val="20"/>
        </w:rPr>
      </w:pPr>
      <w:r>
        <w:rPr>
          <w:rFonts w:ascii="Times New Roman;serif" w:hAnsi="Times New Roman;serif"/>
          <w:b w:val="false"/>
          <w:color w:val="000000"/>
          <w:sz w:val="20"/>
        </w:rPr>
        <w:t>(b)The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pStyle w:val="TextBody"/>
        <w:bidi w:val="0"/>
        <w:spacing w:lineRule="auto" w:line="288" w:before="149" w:after="283"/>
        <w:jc w:val="both"/>
        <w:rPr>
          <w:rFonts w:ascii="Times New Roman;serif" w:hAnsi="Times New Roman;serif"/>
          <w:b w:val="false"/>
          <w:color w:val="000000"/>
          <w:sz w:val="20"/>
        </w:rPr>
      </w:pPr>
      <w:r>
        <w:rPr>
          <w:rFonts w:ascii="Times New Roman;serif" w:hAnsi="Times New Roman;serif"/>
          <w:b w:val="false"/>
          <w:color w:val="000000"/>
          <w:sz w:val="20"/>
        </w:rPr>
        <w:t>(c)Each Fixed Rate Note will bear interest from its Issue Date at the rate per annum specified in the Supplement until the principal amount thereof is paid or made available for payment.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If any Interest Payment Date or the Maturity Date of a Fixed Rate Note falls on a day that is not a Business Day, the required payment of principal, premium, if any, and/or interest will be</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81685"/>
                <wp:effectExtent l="0" t="0" r="0" b="0"/>
                <wp:wrapNone/>
                <wp:docPr id="98" name="Frame97"/>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payable on the next succeeding Business Day, and no additional interest will accrue in respect of the payment made on that next succeeding Business Day.</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(d)The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pStyle w:val="TextBody"/>
        <w:bidi w:val="0"/>
        <w:spacing w:lineRule="auto" w:line="288" w:before="151" w:after="283"/>
        <w:jc w:val="both"/>
        <w:rPr>
          <w:rFonts w:ascii="Times New Roman;serif" w:hAnsi="Times New Roman;serif"/>
          <w:b w:val="false"/>
          <w:color w:val="000000"/>
          <w:sz w:val="20"/>
        </w:rPr>
      </w:pPr>
      <w:r>
        <w:rPr>
          <w:rFonts w:ascii="Times New Roman;serif" w:hAnsi="Times New Roman;serif"/>
          <w:b w:val="false"/>
          <w:color w:val="000000"/>
          <w:sz w:val="20"/>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pStyle w:val="TextBody"/>
        <w:bidi w:val="0"/>
        <w:spacing w:lineRule="auto" w:line="288" w:before="145" w:after="283"/>
        <w:jc w:val="both"/>
        <w:rPr>
          <w:rFonts w:ascii="Times New Roman;serif" w:hAnsi="Times New Roman;serif"/>
          <w:b w:val="false"/>
          <w:color w:val="000000"/>
          <w:sz w:val="20"/>
        </w:rPr>
      </w:pPr>
      <w:r>
        <w:rPr>
          <w:rFonts w:ascii="Times New Roman;serif" w:hAnsi="Times New Roman;serif"/>
          <w:b w:val="false"/>
          <w:color w:val="000000"/>
          <w:sz w:val="20"/>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pStyle w:val="TextBody"/>
        <w:bidi w:val="0"/>
        <w:spacing w:lineRule="auto" w:line="288" w:before="151" w:after="283"/>
        <w:jc w:val="both"/>
        <w:rPr>
          <w:rFonts w:ascii="Times New Roman;serif" w:hAnsi="Times New Roman;serif"/>
          <w:b w:val="false"/>
          <w:color w:val="000000"/>
          <w:sz w:val="20"/>
        </w:rPr>
      </w:pPr>
      <w:r>
        <w:rPr>
          <w:rFonts w:ascii="Times New Roman;serif" w:hAnsi="Times New Roman;serif"/>
          <w:b w:val="false"/>
          <w:color w:val="000000"/>
          <w:sz w:val="20"/>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81685"/>
                <wp:effectExtent l="0" t="0" r="0" b="0"/>
                <wp:wrapNone/>
                <wp:docPr id="99" name="Frame98"/>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pStyle w:val="TextBody"/>
        <w:bidi w:val="0"/>
        <w:spacing w:lineRule="auto" w:line="288" w:before="149" w:after="283"/>
        <w:jc w:val="both"/>
        <w:rPr>
          <w:rFonts w:ascii="Times New Roman;serif" w:hAnsi="Times New Roman;serif"/>
          <w:b w:val="false"/>
          <w:color w:val="000000"/>
          <w:sz w:val="20"/>
        </w:rPr>
      </w:pPr>
      <w:r>
        <w:rPr>
          <w:rFonts w:ascii="Times New Roman;serif" w:hAnsi="Times New Roman;serif"/>
          <w:b w:val="false"/>
          <w:color w:val="000000"/>
          <w:sz w:val="20"/>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pStyle w:val="TextBody"/>
        <w:bidi w:val="0"/>
        <w:spacing w:lineRule="auto" w:line="288" w:before="151" w:after="283"/>
        <w:jc w:val="both"/>
        <w:rPr>
          <w:rFonts w:ascii="Times New Roman;serif" w:hAnsi="Times New Roman;serif"/>
          <w:b w:val="false"/>
          <w:color w:val="000000"/>
          <w:sz w:val="20"/>
        </w:rPr>
      </w:pPr>
      <w:r>
        <w:rPr>
          <w:rFonts w:ascii="Times New Roman;serif" w:hAnsi="Times New Roman;serif"/>
          <w:b w:val="false"/>
          <w:color w:val="000000"/>
          <w:sz w:val="20"/>
        </w:rPr>
        <w:t>The “Index Maturity” is the period to maturity of the instrument or obligation from which the applicable Base Rate is calculated.</w:t>
      </w:r>
    </w:p>
    <w:p>
      <w:pPr>
        <w:pStyle w:val="TextBody"/>
        <w:bidi w:val="0"/>
        <w:spacing w:lineRule="auto" w:line="288" w:before="159" w:after="283"/>
        <w:jc w:val="both"/>
        <w:rPr>
          <w:rFonts w:ascii="Times New Roman;serif" w:hAnsi="Times New Roman;serif"/>
          <w:b w:val="false"/>
          <w:color w:val="000000"/>
          <w:sz w:val="20"/>
        </w:rPr>
      </w:pPr>
      <w:r>
        <w:rPr>
          <w:rFonts w:ascii="Times New Roman;serif" w:hAnsi="Times New Roman;serif"/>
          <w:b w:val="false"/>
          <w:color w:val="000000"/>
          <w:sz w:val="20"/>
        </w:rPr>
        <w:t>The “Calculation Date,” where applicable, shall be the earlier of (i) the tenth calendar day following the applicable Interest Determination Date or (ii) the Business Day preceding the applicable Interest Payment Date or Maturity Date.</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All times referred to herein reflect New York City time, unless otherwise specified.</w:t>
      </w:r>
    </w:p>
    <w:p>
      <w:pPr>
        <w:pStyle w:val="TextBody"/>
        <w:bidi w:val="0"/>
        <w:spacing w:lineRule="auto" w:line="288" w:before="186" w:after="283"/>
        <w:jc w:val="both"/>
        <w:rPr>
          <w:rFonts w:ascii="Times New Roman;serif" w:hAnsi="Times New Roman;serif"/>
          <w:b w:val="false"/>
          <w:color w:val="000000"/>
          <w:sz w:val="20"/>
        </w:rPr>
      </w:pPr>
      <w:r>
        <w:rPr>
          <w:rFonts w:ascii="Times New Roman;serif" w:hAnsi="Times New Roman;serif"/>
          <w:b w:val="false"/>
          <w:color w:val="000000"/>
          <w:sz w:val="20"/>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pStyle w:val="TextBody"/>
        <w:bidi w:val="0"/>
        <w:spacing w:lineRule="auto" w:line="288" w:before="157" w:after="283"/>
        <w:jc w:val="both"/>
        <w:rPr>
          <w:rFonts w:ascii="Times New Roman;serif" w:hAnsi="Times New Roman;serif"/>
          <w:b w:val="false"/>
          <w:color w:val="000000"/>
          <w:sz w:val="20"/>
        </w:rPr>
      </w:pPr>
      <w:r>
        <w:rPr>
          <w:rFonts w:ascii="Times New Roman;serif" w:hAnsi="Times New Roman;serif"/>
          <w:b w:val="false"/>
          <w:color w:val="000000"/>
          <w:sz w:val="20"/>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81685"/>
                <wp:effectExtent l="0" t="0" r="0" b="0"/>
                <wp:wrapNone/>
                <wp:docPr id="100" name="Frame99"/>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i/>
          <w:color w:val="000000"/>
          <w:sz w:val="20"/>
        </w:rPr>
      </w:pPr>
      <w:r>
        <w:rPr>
          <w:rFonts w:ascii="Times New Roman;serif" w:hAnsi="Times New Roman;serif"/>
          <w:b w:val="false"/>
          <w:i/>
          <w:color w:val="000000"/>
          <w:sz w:val="20"/>
        </w:rPr>
        <w:t>CD Rate Notes</w:t>
      </w:r>
    </w:p>
    <w:p>
      <w:pPr>
        <w:pStyle w:val="TextBody"/>
        <w:bidi w:val="0"/>
        <w:spacing w:lineRule="auto" w:line="288" w:before="160" w:after="283"/>
        <w:jc w:val="both"/>
        <w:rPr>
          <w:color w:val="000000"/>
        </w:rPr>
      </w:pPr>
      <w:r>
        <w:rPr>
          <w:color w:val="000000"/>
        </w:rPr>
        <w:t>“</w:t>
      </w:r>
      <w:r>
        <w:rPr>
          <w:rFonts w:ascii="Times New Roman;serif" w:hAnsi="Times New Roman;serif"/>
          <w:b w:val="false"/>
          <w:color w:val="000000"/>
          <w:sz w:val="20"/>
        </w:rPr>
        <w:t>CD Rate” means the rate on any Interest Determination Date for negotiable U.S. dollar certificates of deposit having the Index Maturity as published in the source specified in the Supplement.</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above rate is not published by 3:00 p.m., New York City time, on the Calculation Date, the CD Rate will be the rate on such Interest Determination Date published under the caption specified in the Supplement in another recognized electronic source used for the purpose of displaying the applicable rate.</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such rate is not published in either the source specified on the Supplement or another recognized electronic source by 3:00 p.m., New York City time, on the Calculation Date, the Calculation Agent will determine the CD Rate to be the arithmetic mean of the secondary market offered rates as of 10:00 a.m., New York City time, on such Interest</w:t>
      </w:r>
    </w:p>
    <w:p>
      <w:pPr>
        <w:pStyle w:val="TextBody"/>
        <w:bidi w:val="0"/>
        <w:spacing w:lineRule="auto" w:line="288" w:before="0" w:after="0"/>
        <w:jc w:val="both"/>
        <w:rPr/>
      </w:pPr>
      <w:r>
        <w:rPr>
          <w:rFonts w:ascii="Times New Roman;serif" w:hAnsi="Times New Roman;serif"/>
          <w:b w:val="false"/>
          <w:color w:val="000000"/>
          <w:sz w:val="20"/>
        </w:rPr>
        <w:t>Determination Date of three leading nonbank dealers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fewer than the three dealers selected by the Calculation Agent are quoting as set forth above, the CD Rate will remain the CD Rate then in effect on such Interest Determination Date.</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Paper Rate Notes</w:t>
      </w:r>
    </w:p>
    <w:p>
      <w:pPr>
        <w:pStyle w:val="TextBody"/>
        <w:bidi w:val="0"/>
        <w:spacing w:before="10" w:after="283"/>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Commercial Paper Rate” means the Money Market Yield (calculated as described below) of the rate on any Interest Determination Date for commercial paper having the Index Maturity, as published by the Board of Governors of the Federal Reserve System (“FRB”) in “Statistical Release H.15(519), Selected Interest Rates” or any successor publication of the FRB (“H.15(519)”) under the heading “Commercial Paper- [Financial][Nonfinancial]”.</w:t>
      </w:r>
    </w:p>
    <w:p>
      <w:pPr>
        <w:pStyle w:val="TextBody"/>
        <w:bidi w:val="0"/>
        <w:spacing w:before="10" w:after="283"/>
        <w:jc w:val="both"/>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If the above rate is not published in H.15(519) by 3:00 p.m., New York City time, on the Calculation Date, then the Commercial Paper Rate will be the Money Market Yield of the rate on such Interest Determination Date for commercial paper of the Index Maturity published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heading “Commercial Paper-[Financial][Nonfinancial]”.</w:t>
      </w:r>
    </w:p>
    <w:p>
      <w:pPr>
        <w:pStyle w:val="TextBody"/>
        <w:bidi w:val="0"/>
        <w:spacing w:before="1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1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Such nonbank dealers referred to in this Statement of Terms may include affiliates of the Dealer.</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81685"/>
                <wp:effectExtent l="0" t="0" r="0" b="0"/>
                <wp:wrapNone/>
                <wp:docPr id="101" name="Frame100"/>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2" w:after="283"/>
        <w:jc w:val="both"/>
        <w:rPr>
          <w:rFonts w:ascii="Times New Roman;serif" w:hAnsi="Times New Roman;serif"/>
          <w:b w:val="false"/>
          <w:color w:val="000000"/>
          <w:sz w:val="20"/>
        </w:rPr>
      </w:pPr>
      <w:r>
        <w:rPr>
          <w:rFonts w:ascii="Times New Roman;serif" w:hAnsi="Times New Roman;serif"/>
          <w:b w:val="false"/>
          <w:color w:val="000000"/>
          <w:sz w:val="20"/>
        </w:rPr>
        <w:t>selected by the Calculation Agent for commercial paper of the Index Maturity placed for an industrial issuer whose bond rating is “AA,” or the equivalent, from a nationally recognized statistical rating 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dealers selected by the Calculation Agent are not quoting as mentioned above, the Commercial Paper Rate with respect to such Interest Determination Date will remain the Commercial Paper Rate then in effect on such Interest Determination Date.</w:t>
      </w:r>
    </w:p>
    <w:p>
      <w:pPr>
        <w:pStyle w:val="TextBody"/>
        <w:bidi w:val="0"/>
        <w:spacing w:before="1" w:after="283"/>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Money Market Yield” will be a yield calculated in accordance with the following formula:</w:t>
      </w:r>
    </w:p>
    <w:p>
      <w:pPr>
        <w:pStyle w:val="TextBody"/>
        <w:bidi w:val="0"/>
        <w:spacing w:lineRule="auto" w:line="288" w:before="185" w:after="283"/>
        <w:jc w:val="left"/>
        <w:rPr>
          <w:rFonts w:ascii="Arial;sans-serif" w:hAnsi="Arial;sans-serif"/>
          <w:b w:val="false"/>
          <w:color w:val="000000"/>
          <w:sz w:val="20"/>
        </w:rPr>
      </w:pPr>
      <w:r>
        <w:rPr>
          <w:rFonts w:ascii="Arial;sans-serif" w:hAnsi="Arial;sans-serif"/>
          <w:b w:val="false"/>
          <w:color w:val="000000"/>
          <w:sz w:val="20"/>
        </w:rPr>
        <w:t>D x 360</w:t>
      </w:r>
    </w:p>
    <w:p>
      <w:pPr>
        <w:pStyle w:val="TextBody"/>
        <w:bidi w:val="0"/>
        <w:spacing w:lineRule="auto" w:line="288" w:before="189" w:after="283"/>
        <w:jc w:val="left"/>
        <w:rPr>
          <w:rFonts w:ascii="Arial;sans-serif" w:hAnsi="Arial;sans-serif"/>
          <w:b w:val="false"/>
          <w:color w:val="000000"/>
          <w:sz w:val="20"/>
        </w:rPr>
      </w:pPr>
      <w:r>
        <w:rPr>
          <w:rFonts w:ascii="Arial;sans-serif" w:hAnsi="Arial;sans-serif"/>
          <w:b w:val="false"/>
          <w:color w:val="000000"/>
          <w:sz w:val="20"/>
        </w:rPr>
        <w:t>Money Market Yield = ___________ x100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360 - (D x 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“D” refers to the applicable per annum rate for commercial paper quoted on a bank discount basis and expressed as a decimal and “M” refers to the actual number of days in the interest period for which interest is being calculated.</w:t>
      </w:r>
    </w:p>
    <w:p>
      <w:pPr>
        <w:pStyle w:val="TextBody"/>
        <w:bidi w:val="0"/>
        <w:spacing w:lineRule="auto" w:line="288" w:before="157" w:after="283"/>
        <w:jc w:val="both"/>
        <w:rPr>
          <w:rFonts w:ascii="Times New Roman;serif" w:hAnsi="Times New Roman;serif"/>
          <w:b w:val="false"/>
          <w:i/>
          <w:color w:val="000000"/>
          <w:sz w:val="20"/>
        </w:rPr>
      </w:pPr>
      <w:r>
        <w:rPr>
          <w:rFonts w:ascii="Times New Roman;serif" w:hAnsi="Times New Roman;serif"/>
          <w:b w:val="false"/>
          <w:i/>
          <w:color w:val="000000"/>
          <w:sz w:val="20"/>
        </w:rPr>
        <w:t>Federal Funds Rate Notes</w:t>
      </w:r>
    </w:p>
    <w:p>
      <w:pPr>
        <w:pStyle w:val="TextBody"/>
        <w:bidi w:val="0"/>
        <w:spacing w:lineRule="auto" w:line="288" w:before="187" w:after="283"/>
        <w:jc w:val="both"/>
        <w:rPr>
          <w:color w:val="000000"/>
        </w:rPr>
      </w:pPr>
      <w:r>
        <w:rPr>
          <w:color w:val="000000"/>
        </w:rPr>
        <w:t>“</w:t>
      </w:r>
      <w:r>
        <w:rPr>
          <w:rFonts w:ascii="Times New Roman;serif" w:hAnsi="Times New Roman;serif"/>
          <w:b w:val="false"/>
          <w:color w:val="000000"/>
          <w:sz w:val="20"/>
        </w:rPr>
        <w:t>Federal Funds Rate” means the rate on any Interest Determination Date for federal funds as published in H.15(519) under the heading “Federal Funds (Effective)” and displayed on Reuters Page (as defined below) FEDFUNDS1 (or any other page as may replace the specified page on that service) (“Reuters Page FEDFUNDS1”) under the heading EFFECT.</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If the above rate does not appear on Reuters Page FEDFUNDS1or is not so published by 3:00</w:t>
      </w:r>
    </w:p>
    <w:p>
      <w:pPr>
        <w:pStyle w:val="TextBody"/>
        <w:bidi w:val="0"/>
        <w:spacing w:lineRule="auto" w:line="288" w:before="26" w:after="283"/>
        <w:jc w:val="both"/>
        <w:rPr>
          <w:rFonts w:ascii="Times New Roman;serif" w:hAnsi="Times New Roman;serif"/>
          <w:b w:val="false"/>
          <w:color w:val="000000"/>
          <w:sz w:val="20"/>
        </w:rPr>
      </w:pPr>
      <w:r>
        <w:rPr>
          <w:rFonts w:ascii="Times New Roman;serif" w:hAnsi="Times New Roman;serif"/>
          <w:b w:val="false"/>
          <w:color w:val="000000"/>
          <w:sz w:val="20"/>
        </w:rPr>
        <w:t>p.m. on the Calculation Date, the Federal Funds Rate will be the rate on such Interest Determination Date as published in H.15 Daily Update under the heading “Federal Funds/(Effective)”.</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If the brokers selected by the Calculation Agent are not quoting as mentioned above, the Federal Funds Rate will remain the Federal Funds Rate then in effect on such Interest Determination Date.</w:t>
      </w:r>
    </w:p>
    <w:p>
      <w:pPr>
        <w:pStyle w:val="TextBody"/>
        <w:bidi w:val="0"/>
        <w:spacing w:lineRule="auto" w:line="288" w:before="159" w:after="283"/>
        <w:jc w:val="both"/>
        <w:rPr>
          <w:rFonts w:ascii="Times New Roman;serif" w:hAnsi="Times New Roman;serif"/>
          <w:b w:val="false"/>
          <w:color w:val="000000"/>
          <w:sz w:val="20"/>
        </w:rPr>
      </w:pPr>
      <w:r>
        <w:rPr>
          <w:rFonts w:ascii="Times New Roman;serif" w:hAnsi="Times New Roman;serif"/>
          <w:b w:val="false"/>
          <w:color w:val="000000"/>
          <w:sz w:val="20"/>
        </w:rPr>
        <w:t>"Reuters Page" means the display on the Reuters 3000 Xtra Service, or any successor service, on the page or pages specified in this Statement of Terms or the Supplement, or any replacement page on that service.</w:t>
      </w:r>
    </w:p>
    <w:p>
      <w:pPr>
        <w:pStyle w:val="TextBody"/>
        <w:bidi w:val="0"/>
        <w:spacing w:lineRule="auto" w:line="288" w:before="156" w:after="283"/>
        <w:jc w:val="both"/>
        <w:rPr>
          <w:rFonts w:ascii="Times New Roman;serif" w:hAnsi="Times New Roman;serif"/>
          <w:b w:val="false"/>
          <w:i/>
          <w:color w:val="000000"/>
          <w:sz w:val="20"/>
        </w:rPr>
      </w:pPr>
      <w:r>
        <w:rPr>
          <w:rFonts w:ascii="Times New Roman;serif" w:hAnsi="Times New Roman;serif"/>
          <w:b w:val="false"/>
          <w:i/>
          <w:color w:val="000000"/>
          <w:sz w:val="20"/>
        </w:rPr>
        <w:t>LIBOR Notes</w:t>
      </w:r>
    </w:p>
    <w:p>
      <w:pPr>
        <w:pStyle w:val="TextBody"/>
        <w:bidi w:val="0"/>
        <w:spacing w:lineRule="auto" w:line="288" w:before="188" w:after="283"/>
        <w:jc w:val="both"/>
        <w:rPr>
          <w:rFonts w:ascii="Times New Roman;serif" w:hAnsi="Times New Roman;serif"/>
          <w:b w:val="false"/>
          <w:color w:val="000000"/>
          <w:sz w:val="20"/>
        </w:rPr>
      </w:pPr>
      <w:r>
        <w:rPr>
          <w:rFonts w:ascii="Times New Roman;serif" w:hAnsi="Times New Roman;serif"/>
          <w:b w:val="false"/>
          <w:color w:val="000000"/>
          <w:sz w:val="20"/>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81685"/>
                <wp:effectExtent l="0" t="0" r="0" b="0"/>
                <wp:wrapNone/>
                <wp:docPr id="102" name="Frame10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color w:val="000000"/>
          <w:sz w:val="20"/>
        </w:rPr>
      </w:pPr>
      <w:r>
        <w:rPr>
          <w:rFonts w:ascii="Times New Roman;serif" w:hAnsi="Times New Roman;serif"/>
          <w:b w:val="false"/>
          <w:color w:val="000000"/>
          <w:sz w:val="20"/>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pStyle w:val="TextBody"/>
        <w:bidi w:val="0"/>
        <w:spacing w:lineRule="auto" w:line="288" w:before="149" w:after="283"/>
        <w:jc w:val="both"/>
        <w:rPr>
          <w:color w:val="000000"/>
        </w:rPr>
      </w:pPr>
      <w:r>
        <w:rPr>
          <w:color w:val="000000"/>
        </w:rPr>
        <w:t>“</w:t>
      </w:r>
      <w:r>
        <w:rPr>
          <w:rFonts w:ascii="Times New Roman;serif" w:hAnsi="Times New Roman;serif"/>
          <w:b w:val="false"/>
          <w:color w:val="000000"/>
          <w:sz w:val="20"/>
        </w:rPr>
        <w:t>Designated LIBOR Page” means the display on the Reuters 3000 Xtra Service (or any successor service) on the "LIBOR01" page (or any other page as may replace such page on such service) for the purpose of displaying the London interbank rates of major banks.</w:t>
      </w:r>
    </w:p>
    <w:p>
      <w:pPr>
        <w:pStyle w:val="TextBody"/>
        <w:bidi w:val="0"/>
        <w:spacing w:lineRule="auto" w:line="288" w:before="156" w:after="283"/>
        <w:jc w:val="both"/>
        <w:rPr>
          <w:rFonts w:ascii="Times New Roman;serif" w:hAnsi="Times New Roman;serif"/>
          <w:b w:val="false"/>
          <w:i/>
          <w:color w:val="000000"/>
          <w:sz w:val="20"/>
        </w:rPr>
      </w:pPr>
      <w:r>
        <w:rPr>
          <w:rFonts w:ascii="Times New Roman;serif" w:hAnsi="Times New Roman;serif"/>
          <w:b w:val="false"/>
          <w:i/>
          <w:color w:val="000000"/>
          <w:sz w:val="20"/>
        </w:rPr>
        <w:t>Prime Rate Notes</w:t>
      </w:r>
    </w:p>
    <w:p>
      <w:pPr>
        <w:pStyle w:val="TextBody"/>
        <w:bidi w:val="0"/>
        <w:spacing w:lineRule="auto" w:line="288" w:before="148" w:after="283"/>
        <w:jc w:val="both"/>
        <w:rPr>
          <w:color w:val="000000"/>
        </w:rPr>
      </w:pPr>
      <w:r>
        <w:rPr>
          <w:color w:val="000000"/>
        </w:rPr>
        <w:t>“</w:t>
      </w:r>
      <w:r>
        <w:rPr>
          <w:rFonts w:ascii="Times New Roman;serif" w:hAnsi="Times New Roman;serif"/>
          <w:b w:val="false"/>
          <w:color w:val="000000"/>
          <w:sz w:val="20"/>
        </w:rPr>
        <w:t>Prime Rate” means the rate on any Interest Determination Date as published in H.15(519) under the heading “Bank Prime Loan”.</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If the above rate is not published in H.15(519) prior to 3:00 p.m. on the Calculation Date, then the Prime Rate will be the rate on such Interest Determination Date as published in H.15 Daily Update opposite the caption “Bank Prime Loan”.</w:t>
      </w:r>
    </w:p>
    <w:p>
      <w:pPr>
        <w:pStyle w:val="TextBody"/>
        <w:bidi w:val="0"/>
        <w:spacing w:lineRule="auto" w:line="288" w:before="159" w:after="283"/>
        <w:jc w:val="both"/>
        <w:rPr>
          <w:rFonts w:ascii="Times New Roman;serif" w:hAnsi="Times New Roman;serif"/>
          <w:b w:val="false"/>
          <w:color w:val="000000"/>
          <w:sz w:val="20"/>
        </w:rPr>
      </w:pPr>
      <w:r>
        <w:rPr>
          <w:rFonts w:ascii="Times New Roman;serif" w:hAnsi="Times New Roman;serif"/>
          <w:b w:val="false"/>
          <w:color w:val="000000"/>
          <w:sz w:val="20"/>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If the banks selected are not quoting as mentioned above, the Prime Rate will remain the Prime Rate in effect on such Interest Determination Date.</w:t>
      </w:r>
    </w:p>
    <w:p>
      <w:pPr>
        <w:pStyle w:val="TextBody"/>
        <w:bidi w:val="0"/>
        <w:spacing w:lineRule="auto" w:line="288" w:before="163" w:after="283"/>
        <w:jc w:val="both"/>
        <w:rPr>
          <w:color w:val="000000"/>
        </w:rPr>
      </w:pPr>
      <w:r>
        <w:rPr>
          <w:color w:val="000000"/>
        </w:rPr>
        <w:t>“</w:t>
      </w:r>
      <w:r>
        <w:rPr>
          <w:rFonts w:ascii="Times New Roman;serif" w:hAnsi="Times New Roman;serif"/>
          <w:b w:val="false"/>
          <w:color w:val="000000"/>
          <w:sz w:val="20"/>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pStyle w:val="TextBody"/>
        <w:bidi w:val="0"/>
        <w:spacing w:before="156"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81685"/>
                <wp:effectExtent l="0" t="0" r="0" b="0"/>
                <wp:wrapNone/>
                <wp:docPr id="103" name="Frame10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56" w:after="283"/>
        <w:jc w:val="both"/>
        <w:rPr>
          <w:rFonts w:ascii="Times New Roman;serif" w:hAnsi="Times New Roman;serif"/>
          <w:b w:val="false"/>
          <w:i/>
          <w:color w:val="000000"/>
          <w:sz w:val="20"/>
        </w:rPr>
      </w:pPr>
      <w:r>
        <w:rPr>
          <w:rFonts w:ascii="Times New Roman;serif" w:hAnsi="Times New Roman;serif"/>
          <w:b w:val="false"/>
          <w:i/>
          <w:color w:val="000000"/>
          <w:sz w:val="20"/>
        </w:rPr>
        <w:t>Treasury Rate Notes</w:t>
      </w:r>
    </w:p>
    <w:p>
      <w:pPr>
        <w:pStyle w:val="TextBody"/>
        <w:bidi w:val="0"/>
        <w:spacing w:lineRule="auto" w:line="288" w:before="148" w:after="283"/>
        <w:jc w:val="both"/>
        <w:rPr>
          <w:color w:val="000000"/>
        </w:rPr>
      </w:pPr>
      <w:r>
        <w:rPr>
          <w:color w:val="000000"/>
        </w:rPr>
        <w:t>“</w:t>
      </w:r>
      <w:r>
        <w:rPr>
          <w:rFonts w:ascii="Times New Roman;serif" w:hAnsi="Times New Roman;serif"/>
          <w:b w:val="false"/>
          <w:color w:val="000000"/>
          <w:sz w:val="20"/>
        </w:rPr>
        <w:t>Treasury Rate” means:</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(1)the rate from the auction held on the Interest Determination Date (the “Auction”) of direct obligations of the United States (“Treasury Bills”) having the Index Maturity specified in the Supplement under the caption “INVEST RATE” on the display on the Reuters Page designated as USAUCTION10 (or any other page as may replace that page on that service) or the Reuters Page designated as USAUCTION11 (or any other page as may replace that page on that service), or</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(2)if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(3)if the rate referred to in clause (2) is not so published by 3:00 p.m. on the related Calculation Date, the Bond Equivalent Yield of the auction rate of the applicable Treasury Bills as announced by the United States Department of the Treasury, or</w:t>
      </w:r>
    </w:p>
    <w:p>
      <w:pPr>
        <w:pStyle w:val="TextBody"/>
        <w:bidi w:val="0"/>
        <w:spacing w:lineRule="auto" w:line="288" w:before="158" w:after="283"/>
        <w:jc w:val="both"/>
        <w:rPr>
          <w:rFonts w:ascii="Times New Roman;serif" w:hAnsi="Times New Roman;serif"/>
          <w:b w:val="false"/>
          <w:color w:val="000000"/>
          <w:sz w:val="20"/>
        </w:rPr>
      </w:pPr>
      <w:r>
        <w:rPr>
          <w:rFonts w:ascii="Times New Roman;serif" w:hAnsi="Times New Roman;serif"/>
          <w:b w:val="false"/>
          <w:color w:val="000000"/>
          <w:sz w:val="20"/>
        </w:rPr>
        <w:t>(4)if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(5)if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pStyle w:val="TextBody"/>
        <w:bidi w:val="0"/>
        <w:spacing w:lineRule="auto" w:line="288" w:before="156" w:after="283"/>
        <w:jc w:val="both"/>
        <w:rPr>
          <w:rFonts w:ascii="Times New Roman;serif" w:hAnsi="Times New Roman;serif"/>
          <w:b w:val="false"/>
          <w:color w:val="000000"/>
          <w:sz w:val="20"/>
        </w:rPr>
      </w:pPr>
      <w:r>
        <w:rPr>
          <w:rFonts w:ascii="Times New Roman;serif" w:hAnsi="Times New Roman;serif"/>
          <w:b w:val="false"/>
          <w:color w:val="000000"/>
          <w:sz w:val="20"/>
        </w:rPr>
        <w:t>(6)if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pStyle w:val="TextBody"/>
        <w:bidi w:val="0"/>
        <w:spacing w:lineRule="auto" w:line="288" w:before="157" w:after="283"/>
        <w:jc w:val="both"/>
        <w:rPr>
          <w:rFonts w:ascii="Times New Roman;serif" w:hAnsi="Times New Roman;serif"/>
          <w:b w:val="false"/>
          <w:color w:val="000000"/>
          <w:sz w:val="20"/>
        </w:rPr>
      </w:pPr>
      <w:r>
        <w:rPr>
          <w:rFonts w:ascii="Times New Roman;serif" w:hAnsi="Times New Roman;serif"/>
          <w:b w:val="false"/>
          <w:color w:val="000000"/>
          <w:sz w:val="20"/>
        </w:rPr>
        <w:t>(7)if the dealers so selected by the Calculation Agent are not quoting as mentioned in clause (6), the Treasury Rate in effect on the particular Interest Determination Date.</w:t>
      </w:r>
    </w:p>
    <w:p>
      <w:pPr>
        <w:pStyle w:val="TextBody"/>
        <w:bidi w:val="0"/>
        <w:spacing w:lineRule="auto" w:line="288" w:before="158" w:after="283"/>
        <w:jc w:val="both"/>
        <w:rPr>
          <w:color w:val="000000"/>
        </w:rPr>
      </w:pPr>
      <w:r>
        <w:rPr>
          <w:color w:val="000000"/>
        </w:rPr>
        <w:t>“</w:t>
      </w:r>
      <w:r>
        <w:rPr>
          <w:rFonts w:ascii="Times New Roman;serif" w:hAnsi="Times New Roman;serif"/>
          <w:b w:val="false"/>
          <w:color w:val="000000"/>
          <w:sz w:val="20"/>
        </w:rPr>
        <w:t>Bond Equivalent Yield” means a yield (expressed as a percentage) calculated in accordance with the following formula:</w:t>
      </w:r>
    </w:p>
    <w:p>
      <w:pPr>
        <w:pStyle w:val="TextBody"/>
        <w:bidi w:val="0"/>
        <w:spacing w:lineRule="auto" w:line="288" w:before="138" w:after="283"/>
        <w:jc w:val="center"/>
        <w:rPr>
          <w:rFonts w:ascii="Arial;sans-serif" w:hAnsi="Arial;sans-serif"/>
          <w:b w:val="false"/>
          <w:color w:val="000000"/>
          <w:sz w:val="20"/>
        </w:rPr>
      </w:pPr>
      <w:r>
        <w:rPr>
          <w:rFonts w:ascii="Arial;sans-serif" w:hAnsi="Arial;sans-serif"/>
          <w:b w:val="false"/>
          <w:color w:val="000000"/>
          <w:sz w:val="20"/>
        </w:rPr>
        <w:t>D x 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Bond Equivalent Yield =    100</w:t>
      </w:r>
    </w:p>
    <w:p>
      <w:pPr>
        <w:pStyle w:val="TextBody"/>
        <w:bidi w:val="0"/>
        <w:spacing w:lineRule="auto" w:line="288" w:before="6" w:after="283"/>
        <w:jc w:val="center"/>
        <w:rPr>
          <w:rFonts w:ascii="Arial;sans-serif" w:hAnsi="Arial;sans-serif"/>
          <w:b w:val="false"/>
          <w:color w:val="000000"/>
          <w:sz w:val="20"/>
        </w:rPr>
      </w:pPr>
      <w:r>
        <w:rPr>
          <w:rFonts w:ascii="Arial;sans-serif" w:hAnsi="Arial;sans-serif"/>
          <w:b w:val="false"/>
          <w:color w:val="000000"/>
          <w:sz w:val="20"/>
        </w:rPr>
        <w:t>360 - (D x M)</w:t>
      </w:r>
    </w:p>
    <w:p>
      <w:pPr>
        <w:pStyle w:val="TextBody"/>
        <w:bidi w:val="0"/>
        <w:spacing w:before="6"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“D” refers to the applicable per annum rate for Treasury Bills quoted on a bank discount basis and expressed as a decimal, “N” refers to 365 or 366, as the case may be, and “M” refers to the actual number of days in the applicable Interest Reset Period.</w:t>
      </w:r>
    </w:p>
    <w:p>
      <w:pPr>
        <w:pStyle w:val="TextBody"/>
        <w:bidi w:val="0"/>
        <w:spacing w:lineRule="auto" w:line="288" w:before="158"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Final Maturity.</w:t>
      </w:r>
      <w:r>
        <w:rPr>
          <w:color w:val="000000"/>
        </w:rPr>
        <w:t xml:space="preserve"> </w:t>
      </w:r>
      <w:r>
        <w:rPr>
          <w:rFonts w:ascii="Times New Roman;serif" w:hAnsi="Times New Roman;serif"/>
          <w:b w:val="false"/>
          <w:color w:val="000000"/>
          <w:sz w:val="20"/>
        </w:rPr>
        <w:t xml:space="preserve">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such Note, together with accrued and unpaid interest thereon, will be immediately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81685"/>
                <wp:effectExtent l="0" t="0" r="0" b="0"/>
                <wp:wrapNone/>
                <wp:docPr id="104" name="Frame103"/>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158" w:after="283"/>
        <w:jc w:val="both"/>
        <w:rPr/>
      </w:pPr>
      <w:r>
        <w:rPr/>
      </w:r>
    </w:p>
    <w:p>
      <w:pPr>
        <w:pStyle w:val="TextBody"/>
        <w:bidi w:val="0"/>
        <w:spacing w:lineRule="auto" w:line="240" w:before="156" w:after="283"/>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0"/>
          <w:u w:val="single"/>
        </w:rPr>
        <w:t>Events of Default.</w:t>
      </w:r>
      <w:r>
        <w:rPr>
          <w:color w:val="000000"/>
        </w:rPr>
        <w:t xml:space="preserve"> </w:t>
      </w:r>
      <w:r>
        <w:rPr>
          <w:rFonts w:ascii="Times New Roman;serif" w:hAnsi="Times New Roman;serif"/>
          <w:b w:val="false"/>
          <w:color w:val="000000"/>
          <w:sz w:val="20"/>
        </w:rPr>
        <w:t>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such Note (together with interest accrued and unpaid thereon) shall become, without any notice or demand, immediately due and payable.</w:t>
      </w:r>
      <w:r>
        <w:rPr>
          <w:rFonts w:ascii="Times New Roman;serif" w:hAnsi="Times New Roman;serif"/>
          <w:b w:val="false"/>
          <w:color w:val="000000"/>
          <w:sz w:val="13"/>
        </w:rPr>
        <w:t xml:space="preserve">2 </w:t>
      </w:r>
    </w:p>
    <w:p>
      <w:pPr>
        <w:pStyle w:val="TextBody"/>
        <w:bidi w:val="0"/>
        <w:spacing w:lineRule="auto" w:line="240" w:before="156"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0"/>
          <w:u w:val="single"/>
        </w:rPr>
        <w:t>Obligation Absolute.</w:t>
      </w:r>
      <w:r>
        <w:rPr>
          <w:color w:val="000000"/>
        </w:rPr>
        <w:t xml:space="preserve"> </w:t>
      </w:r>
      <w:r>
        <w:rPr>
          <w:rFonts w:ascii="Times New Roman;serif" w:hAnsi="Times New Roman;serif"/>
          <w:b w:val="false"/>
          <w:color w:val="000000"/>
          <w:sz w:val="20"/>
        </w:rPr>
        <w:t xml:space="preserve">No provision of the Issuing and Paying Agent Agreement under which the Notes are issued shall alter or impair the obligation of the Issuer, which is absolute and unconditional, to pay the principal of and interest on each Note at the times, place and rate, and in the coin or currency, herein prescribed. </w:t>
      </w:r>
    </w:p>
    <w:p>
      <w:pPr>
        <w:pStyle w:val="TextBody"/>
        <w:bidi w:val="0"/>
        <w:spacing w:lineRule="auto" w:line="240" w:before="156" w:after="283"/>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0"/>
          <w:u w:val="single"/>
        </w:rPr>
        <w:t>Supplement</w:t>
      </w:r>
      <w:r>
        <w:rPr>
          <w:rFonts w:ascii="Times New Roman;serif" w:hAnsi="Times New Roman;serif"/>
          <w:b w:val="false"/>
          <w:color w:val="000000"/>
          <w:sz w:val="20"/>
        </w:rPr>
        <w:t>. Any term contained in the Supplement shall supercede any conflicting term contained herein.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119" w:after="283"/>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Unlike single payment notes, where a default arises only at the stated maturity, interest-bearing notes with multiple payment dates should contain a default provision permitting acceleration of the maturity if the Issuer defaults on an interest payment.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81685"/>
                <wp:effectExtent l="0" t="0" r="0" b="0"/>
                <wp:wrapNone/>
                <wp:docPr id="105" name="Frame104"/>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CO-CHIEF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Marshall S. McCrea, III,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Marshall S. McCrea, III</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S. McCrea, III</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CO-CHIEF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Thomas E. Long,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2385" w:type="dxa"/>
        <w:jc w:val="right"/>
        <w:tblInd w:w="0" w:type="dxa"/>
        <w:tblLayout w:type="fixed"/>
        <w:tblCellMar>
          <w:top w:w="28" w:type="dxa"/>
          <w:left w:w="28" w:type="dxa"/>
          <w:bottom w:w="28" w:type="dxa"/>
          <w:right w:w="28" w:type="dxa"/>
        </w:tblCellMar>
      </w:tblPr>
      <w:tblGrid>
        <w:gridCol w:w="762"/>
        <w:gridCol w:w="670"/>
        <w:gridCol w:w="953"/>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Long</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Long</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Dylan A. Bramhall,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5009" w:type="dxa"/>
        <w:jc w:val="right"/>
        <w:tblInd w:w="0" w:type="dxa"/>
        <w:tblLayout w:type="fixed"/>
        <w:tblCellMar>
          <w:top w:w="28" w:type="dxa"/>
          <w:left w:w="28" w:type="dxa"/>
          <w:bottom w:w="28" w:type="dxa"/>
          <w:right w:w="28" w:type="dxa"/>
        </w:tblCellMar>
      </w:tblPr>
      <w:tblGrid>
        <w:gridCol w:w="1603"/>
        <w:gridCol w:w="1404"/>
        <w:gridCol w:w="2002"/>
      </w:tblGrid>
      <w:tr>
        <w:trPr/>
        <w:tc>
          <w:tcPr>
            <w:tcW w:w="16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June 30, 2026,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180" w:after="283"/>
        <w:jc w:val="left"/>
        <w:rPr/>
      </w:pPr>
      <w:r>
        <w:rPr/>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Marshall S. McCrea, III</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S. McCrea, III</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1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June 30, 2026,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180" w:after="283"/>
        <w:jc w:val="left"/>
        <w:rPr/>
      </w:pPr>
      <w:r>
        <w:rPr/>
      </w:r>
    </w:p>
    <w:tbl>
      <w:tblPr>
        <w:tblW w:w="2385" w:type="dxa"/>
        <w:jc w:val="right"/>
        <w:tblInd w:w="0" w:type="dxa"/>
        <w:tblLayout w:type="fixed"/>
        <w:tblCellMar>
          <w:top w:w="28" w:type="dxa"/>
          <w:left w:w="28" w:type="dxa"/>
          <w:bottom w:w="28" w:type="dxa"/>
          <w:right w:w="28" w:type="dxa"/>
        </w:tblCellMar>
      </w:tblPr>
      <w:tblGrid>
        <w:gridCol w:w="762"/>
        <w:gridCol w:w="670"/>
        <w:gridCol w:w="953"/>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Long</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Long</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June 30, 2026, as filed with the Securities and Exchange Commission on the date hereof (the “Report”), I, Dylan A. Bramhall, Chief Financial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180" w:after="283"/>
        <w:jc w:val="left"/>
        <w:rPr/>
      </w:pPr>
      <w:r>
        <w:rPr/>
      </w:r>
    </w:p>
    <w:tbl>
      <w:tblPr>
        <w:tblW w:w="5009" w:type="dxa"/>
        <w:jc w:val="right"/>
        <w:tblInd w:w="0" w:type="dxa"/>
        <w:tblLayout w:type="fixed"/>
        <w:tblCellMar>
          <w:top w:w="28" w:type="dxa"/>
          <w:left w:w="28" w:type="dxa"/>
          <w:bottom w:w="28" w:type="dxa"/>
          <w:right w:w="28" w:type="dxa"/>
        </w:tblCellMar>
      </w:tblPr>
      <w:tblGrid>
        <w:gridCol w:w="1603"/>
        <w:gridCol w:w="1404"/>
        <w:gridCol w:w="2002"/>
      </w:tblGrid>
      <w:tr>
        <w:trPr/>
        <w:tc>
          <w:tcPr>
            <w:tcW w:w="16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76187/000119312526295529/d109647dex21.htm" TargetMode="External"/><Relationship Id="rId4" Type="http://schemas.openxmlformats.org/officeDocument/2006/relationships/hyperlink" Target="https://www.sec.gov/Archives/edgar/data/1276187/000119312526295529/d109647dex31.htm" TargetMode="External"/><Relationship Id="rId5" Type="http://schemas.openxmlformats.org/officeDocument/2006/relationships/hyperlink" Target="https://www.sec.gov/Archives/edgar/data/1276187/000119312526295529/d109647dex32.htm" TargetMode="External"/><Relationship Id="rId6" Type="http://schemas.openxmlformats.org/officeDocument/2006/relationships/hyperlink" Target="https://www.sec.gov/Archives/edgar/data/1276187/000127618721000067/et06-30x2021ex22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57395</Words>
  <Characters>307372</Characters>
  <CharactersWithSpaces>361649</CharactersWithSpaces>
  <Paragraphs>5363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