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445770</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411480</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47" w:lineRule="exact"/>
        <w:rPr>
          <w:sz w:val="24"/>
          <w:szCs w:val="24"/>
          <w:color w:val="auto"/>
        </w:rPr>
      </w:pPr>
    </w:p>
    <w:p>
      <w:pPr>
        <w:ind w:left="2680" w:hanging="203"/>
        <w:spacing w:after="0"/>
        <w:tabs>
          <w:tab w:leader="none" w:pos="26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22"/>
          <w:szCs w:val="22"/>
          <w:b w:val="1"/>
          <w:bCs w:val="1"/>
          <w:color w:val="auto"/>
        </w:rPr>
        <w:t>QUARTERLY REPORT PURSUANT TO SECTION 13 OR 15(d)</w:t>
      </w:r>
    </w:p>
    <w:p>
      <w:pPr>
        <w:spacing w:after="0" w:line="31" w:lineRule="exact"/>
        <w:rPr>
          <w:rFonts w:ascii="MS PGothic" w:cs="MS PGothic" w:eastAsia="MS PGothic" w:hAnsi="MS PGothic"/>
          <w:sz w:val="16"/>
          <w:szCs w:val="16"/>
          <w:color w:val="auto"/>
        </w:rPr>
      </w:pPr>
    </w:p>
    <w:p>
      <w:pPr>
        <w:ind w:left="3220"/>
        <w:spacing w:after="0"/>
        <w:rPr>
          <w:rFonts w:ascii="MS PGothic" w:cs="MS PGothic" w:eastAsia="MS PGothic" w:hAnsi="MS PGothic"/>
          <w:sz w:val="16"/>
          <w:szCs w:val="16"/>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2022</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1" w:lineRule="exact"/>
        <w:rPr>
          <w:sz w:val="24"/>
          <w:szCs w:val="24"/>
          <w:color w:val="auto"/>
        </w:rPr>
      </w:pPr>
    </w:p>
    <w:p>
      <w:pPr>
        <w:ind w:left="2660" w:hanging="190"/>
        <w:spacing w:after="0"/>
        <w:tabs>
          <w:tab w:leader="none" w:pos="266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22"/>
          <w:szCs w:val="22"/>
          <w:b w:val="1"/>
          <w:bCs w:val="1"/>
          <w:color w:val="auto"/>
        </w:rPr>
        <w:t>TRANSITION REPORT PURSUANT TO SECTION 13 OR 15(d)</w:t>
      </w:r>
    </w:p>
    <w:p>
      <w:pPr>
        <w:spacing w:after="0" w:line="31" w:lineRule="exact"/>
        <w:rPr>
          <w:rFonts w:ascii="MS PGothic" w:cs="MS PGothic" w:eastAsia="MS PGothic" w:hAnsi="MS PGothic"/>
          <w:sz w:val="16"/>
          <w:szCs w:val="16"/>
          <w:color w:val="auto"/>
        </w:rPr>
      </w:pPr>
    </w:p>
    <w:p>
      <w:pPr>
        <w:ind w:left="3220"/>
        <w:spacing w:after="0"/>
        <w:rPr>
          <w:rFonts w:ascii="MS PGothic" w:cs="MS PGothic" w:eastAsia="MS PGothic" w:hAnsi="MS PGothic"/>
          <w:sz w:val="16"/>
          <w:szCs w:val="16"/>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1-2921</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5"/>
          <w:szCs w:val="35"/>
          <w:b w:val="1"/>
          <w:bCs w:val="1"/>
          <w:color w:val="auto"/>
        </w:rPr>
        <w:t>PANHANDLE EASTERN PIPE LINE COMPANY, LP</w:t>
      </w:r>
    </w:p>
    <w:p>
      <w:pPr>
        <w:sectPr>
          <w:pgSz w:w="11900" w:h="16838" w:orient="portrait"/>
          <w:cols w:equalWidth="0" w:num="1">
            <w:col w:w="11240"/>
          </w:cols>
          <w:pgMar w:left="320" w:top="229" w:right="339" w:bottom="1440" w:gutter="0" w:footer="0" w:header="0"/>
        </w:sectPr>
      </w:pPr>
    </w:p>
    <w:p>
      <w:pPr>
        <w:spacing w:after="0" w:line="6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8"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9"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14"/>
          <w:szCs w:val="14"/>
          <w:color w:val="auto"/>
        </w:rPr>
        <w:t>(State or other jurisdiction of</w:t>
      </w:r>
    </w:p>
    <w:p>
      <w:pPr>
        <w:ind w:left="1940"/>
        <w:spacing w:after="0"/>
        <w:rPr>
          <w:sz w:val="20"/>
          <w:szCs w:val="20"/>
          <w:color w:val="auto"/>
        </w:rPr>
      </w:pPr>
      <w:r>
        <w:rPr>
          <w:rFonts w:ascii="Times New Roman" w:cs="Times New Roman" w:eastAsia="Times New Roman" w:hAnsi="Times New Roman"/>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4"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44-0382470</w:t>
      </w:r>
    </w:p>
    <w:p>
      <w:pPr>
        <w:spacing w:after="0" w:line="1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color w:val="auto"/>
        </w:rPr>
        <w:t>(I.R.S. Employer</w:t>
      </w:r>
    </w:p>
    <w:p>
      <w:pPr>
        <w:spacing w:after="0"/>
        <w:rPr>
          <w:sz w:val="20"/>
          <w:szCs w:val="20"/>
          <w:color w:val="auto"/>
        </w:rPr>
      </w:pPr>
      <w:r>
        <w:rPr>
          <w:rFonts w:ascii="Times New Roman" w:cs="Times New Roman" w:eastAsia="Times New Roman" w:hAnsi="Times New Roman"/>
          <w:sz w:val="14"/>
          <w:szCs w:val="14"/>
          <w:color w:val="auto"/>
        </w:rPr>
        <w:t>Identification No.)</w:t>
      </w:r>
    </w:p>
    <w:p>
      <w:pPr>
        <w:spacing w:after="0" w:line="147" w:lineRule="exact"/>
        <w:rPr>
          <w:sz w:val="24"/>
          <w:szCs w:val="24"/>
          <w:color w:val="auto"/>
        </w:rPr>
      </w:pPr>
    </w:p>
    <w:p>
      <w:pPr>
        <w:sectPr>
          <w:pgSz w:w="11900" w:h="16838" w:orient="portrait"/>
          <w:cols w:equalWidth="0" w:num="2">
            <w:col w:w="7480" w:space="380"/>
            <w:col w:w="3380"/>
          </w:cols>
          <w:pgMar w:left="320" w:top="229"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8111 Westchester Drive, Suite 600, Dallas, Texas 75225</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(214) 981-0700</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27" w:lineRule="exact"/>
        <w:rPr>
          <w:sz w:val="24"/>
          <w:szCs w:val="24"/>
          <w:color w:val="auto"/>
        </w:rPr>
      </w:pPr>
    </w:p>
    <w:p>
      <w:pPr>
        <w:jc w:val="both"/>
        <w:spacing w:after="0" w:line="22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8"/>
          <w:szCs w:val="18"/>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2" w:lineRule="exact"/>
        <w:rPr>
          <w:sz w:val="24"/>
          <w:szCs w:val="24"/>
          <w:color w:val="auto"/>
        </w:rPr>
      </w:pPr>
    </w:p>
    <w:p>
      <w:pPr>
        <w:jc w:val="both"/>
        <w:spacing w:after="0" w:line="22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8"/>
          <w:szCs w:val="18"/>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2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7" w:lineRule="exact"/>
        <w:rPr>
          <w:sz w:val="24"/>
          <w:szCs w:val="24"/>
          <w:color w:val="auto"/>
        </w:rPr>
      </w:pPr>
    </w:p>
    <w:tbl>
      <w:tblPr>
        <w:tblLayout w:type="fixed"/>
        <w:tblInd w:w="20" w:type="dxa"/>
        <w:tblCellMar>
          <w:top w:w="0" w:type="dxa"/>
          <w:left w:w="0" w:type="dxa"/>
          <w:bottom w:w="0" w:type="dxa"/>
          <w:right w:w="0" w:type="dxa"/>
        </w:tblCellMar>
      </w:tblPr>
      <w:tr>
        <w:trPr>
          <w:trHeight w:val="310"/>
        </w:trPr>
        <w:tc>
          <w:tcPr>
            <w:tcW w:w="19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Large accelerated filer</w:t>
            </w:r>
          </w:p>
        </w:tc>
        <w:tc>
          <w:tcPr>
            <w:tcW w:w="280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Accelerated filer</w:t>
            </w:r>
          </w:p>
        </w:tc>
        <w:tc>
          <w:tcPr>
            <w:tcW w:w="1120" w:type="dxa"/>
            <w:vAlign w:val="bottom"/>
          </w:tcPr>
          <w:p>
            <w:pPr>
              <w:ind w:left="9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0"/>
        </w:trPr>
        <w:tc>
          <w:tcPr>
            <w:tcW w:w="19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Non-accelerated filer</w:t>
            </w:r>
          </w:p>
        </w:tc>
        <w:tc>
          <w:tcPr>
            <w:tcW w:w="280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120" w:type="dxa"/>
            <w:vAlign w:val="bottom"/>
          </w:tcPr>
          <w:p>
            <w:pPr>
              <w:ind w:left="9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1"/>
        </w:trPr>
        <w:tc>
          <w:tcPr>
            <w:tcW w:w="19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526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Emerging growth company</w:t>
            </w:r>
          </w:p>
        </w:tc>
        <w:tc>
          <w:tcPr>
            <w:tcW w:w="1120" w:type="dxa"/>
            <w:vAlign w:val="bottom"/>
          </w:tcPr>
          <w:p>
            <w:pPr>
              <w:ind w:left="9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03"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spacing w:after="0" w:line="20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Arial" w:cs="Arial" w:eastAsia="Arial" w:hAnsi="Arial"/>
          <w:sz w:val="18"/>
          <w:szCs w:val="18"/>
          <w:color w:val="auto"/>
        </w:rPr>
        <w:t>x</w:t>
      </w:r>
    </w:p>
    <w:p>
      <w:pPr>
        <w:spacing w:after="0" w:line="19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Panhandle Eastern Pipe Line Company, LP meets the conditions set forth in General Instructions H(1)(a) and (b) of Form 10-Q and is therefore filing this Form 10-Q with the reduced disclosure format.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10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90"/>
        </w:trPr>
        <w:tc>
          <w:tcPr>
            <w:tcW w:w="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4920" w:type="dxa"/>
            <w:vAlign w:val="bottom"/>
            <w:gridSpan w:val="5"/>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540" w:type="dxa"/>
            <w:vAlign w:val="bottom"/>
            <w:gridSpan w:val="11"/>
          </w:tcPr>
          <w:p>
            <w:pPr>
              <w:jc w:val="center"/>
              <w:ind w:right="3300"/>
              <w:spacing w:after="0"/>
              <w:rPr>
                <w:sz w:val="20"/>
                <w:szCs w:val="20"/>
                <w:color w:val="auto"/>
              </w:rPr>
            </w:pPr>
            <w:r>
              <w:rPr>
                <w:rFonts w:ascii="Times New Roman" w:cs="Times New Roman" w:eastAsia="Times New Roman" w:hAnsi="Times New Roman"/>
                <w:sz w:val="18"/>
                <w:szCs w:val="18"/>
                <w:b w:val="1"/>
                <w:bCs w:val="1"/>
                <w:color w:val="auto"/>
                <w:w w:val="99"/>
              </w:rPr>
              <w:t>PANHANDLE EASTERN PIPE LINE COMPANY, LP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8"/>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3080" w:type="dxa"/>
            <w:vAlign w:val="bottom"/>
            <w:tcBorders>
              <w:top w:val="single" w:sz="8" w:color="auto"/>
            </w:tcBorders>
            <w:gridSpan w:val="6"/>
          </w:tcPr>
          <w:p>
            <w:pPr>
              <w:jc w:val="center"/>
              <w:ind w:right="11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330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93"/>
        </w:trPr>
        <w:tc>
          <w:tcPr>
            <w:tcW w:w="20" w:type="dxa"/>
            <w:vAlign w:val="bottom"/>
          </w:tcPr>
          <w:p>
            <w:pPr>
              <w:spacing w:after="0"/>
              <w:rPr>
                <w:sz w:val="24"/>
                <w:szCs w:val="24"/>
                <w:color w:val="auto"/>
              </w:rPr>
            </w:pPr>
          </w:p>
        </w:tc>
        <w:tc>
          <w:tcPr>
            <w:tcW w:w="32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b w:val="1"/>
                <w:bCs w:val="1"/>
                <w:color w:val="0000FF"/>
                <w:w w:val="98"/>
              </w:rPr>
              <w:t>PART I — FINANCIAL INFORMATION</w:t>
            </w:r>
          </w:p>
        </w:tc>
        <w:tc>
          <w:tcPr>
            <w:tcW w:w="1380" w:type="dxa"/>
            <w:vAlign w:val="bottom"/>
            <w:gridSpan w:val="4"/>
          </w:tcPr>
          <w:p>
            <w:pPr>
              <w:spacing w:after="0"/>
              <w:rPr>
                <w:sz w:val="24"/>
                <w:szCs w:val="24"/>
                <w:color w:val="auto"/>
              </w:rPr>
            </w:pPr>
          </w:p>
        </w:tc>
        <w:tc>
          <w:tcPr>
            <w:tcW w:w="1920" w:type="dxa"/>
            <w:vAlign w:val="bottom"/>
            <w:tcBorders>
              <w:top w:val="single" w:sz="8" w:color="auto"/>
            </w:tcBorders>
            <w:gridSpan w:val="4"/>
          </w:tcPr>
          <w:p>
            <w:pPr>
              <w:spacing w:after="0"/>
              <w:rPr>
                <w:sz w:val="24"/>
                <w:szCs w:val="24"/>
                <w:color w:val="auto"/>
              </w:rPr>
            </w:pPr>
          </w:p>
        </w:tc>
        <w:tc>
          <w:tcPr>
            <w:tcW w:w="4460" w:type="dxa"/>
            <w:vAlign w:val="bottom"/>
            <w:gridSpan w:val="4"/>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37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8"/>
              </w:rPr>
              <w:t>ITEM 1. FINANCIAL STATEMENTS (Unaudited)</w:t>
            </w:r>
          </w:p>
        </w:tc>
        <w:tc>
          <w:tcPr>
            <w:tcW w:w="7280" w:type="dxa"/>
            <w:vAlign w:val="bottom"/>
            <w:gridSpan w:val="9"/>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1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w w:val="98"/>
              </w:rPr>
              <w:t>Consolidated Balance Sheets</w:t>
            </w:r>
          </w:p>
        </w:tc>
        <w:tc>
          <w:tcPr>
            <w:tcW w:w="8600" w:type="dxa"/>
            <w:vAlign w:val="bottom"/>
            <w:gridSpan w:val="16"/>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700" w:type="dxa"/>
            <w:vAlign w:val="bottom"/>
            <w:gridSpan w:val="21"/>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Income</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80" w:type="dxa"/>
            <w:vAlign w:val="bottom"/>
            <w:gridSpan w:val="15"/>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Partners’ Capital</w:t>
            </w:r>
          </w:p>
        </w:tc>
        <w:tc>
          <w:tcPr>
            <w:tcW w:w="5820" w:type="dxa"/>
            <w:vAlign w:val="bottom"/>
            <w:gridSpan w:val="6"/>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40" w:type="dxa"/>
            <w:vAlign w:val="bottom"/>
            <w:gridSpan w:val="7"/>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8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FF"/>
                <w:w w:val="98"/>
              </w:rPr>
              <w:t>Consolidated Statements of Cash Flows</w:t>
            </w:r>
          </w:p>
        </w:tc>
        <w:tc>
          <w:tcPr>
            <w:tcW w:w="360" w:type="dxa"/>
            <w:vAlign w:val="bottom"/>
            <w:gridSpan w:val="3"/>
          </w:tcPr>
          <w:p>
            <w:pPr>
              <w:spacing w:after="0"/>
              <w:rPr>
                <w:sz w:val="22"/>
                <w:szCs w:val="22"/>
                <w:color w:val="auto"/>
              </w:rPr>
            </w:pPr>
          </w:p>
        </w:tc>
        <w:tc>
          <w:tcPr>
            <w:tcW w:w="7460" w:type="dxa"/>
            <w:vAlign w:val="bottom"/>
            <w:gridSpan w:val="10"/>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20" w:type="dxa"/>
            <w:vAlign w:val="bottom"/>
            <w:gridSpan w:val="8"/>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16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7540" w:type="dxa"/>
            <w:vAlign w:val="bottom"/>
            <w:gridSpan w:val="11"/>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320" w:type="dxa"/>
            <w:vAlign w:val="bottom"/>
            <w:gridSpan w:val="8"/>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10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10</w:t>
            </w:r>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540" w:type="dxa"/>
            <w:vAlign w:val="bottom"/>
            <w:gridSpan w:val="9"/>
            <w:shd w:val="clear" w:color="auto" w:fill="0000FF"/>
          </w:tcPr>
          <w:p>
            <w:pPr>
              <w:spacing w:after="0" w:line="20" w:lineRule="exact"/>
              <w:rPr>
                <w:sz w:val="1"/>
                <w:szCs w:val="1"/>
                <w:color w:val="auto"/>
              </w:rPr>
            </w:pPr>
          </w:p>
        </w:tc>
        <w:tc>
          <w:tcPr>
            <w:tcW w:w="2780" w:type="dxa"/>
            <w:vAlign w:val="bottom"/>
            <w:gridSpan w:val="2"/>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5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1440" w:type="dxa"/>
            <w:vAlign w:val="bottom"/>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11</w:t>
            </w:r>
          </w:p>
        </w:tc>
      </w:tr>
      <w:tr>
        <w:trPr>
          <w:trHeight w:val="263"/>
        </w:trPr>
        <w:tc>
          <w:tcPr>
            <w:tcW w:w="20" w:type="dxa"/>
            <w:vAlign w:val="bottom"/>
          </w:tcPr>
          <w:p>
            <w:pPr>
              <w:spacing w:after="0"/>
              <w:rPr>
                <w:sz w:val="22"/>
                <w:szCs w:val="22"/>
                <w:color w:val="auto"/>
              </w:rPr>
            </w:pPr>
          </w:p>
        </w:tc>
        <w:tc>
          <w:tcPr>
            <w:tcW w:w="680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4220" w:type="dxa"/>
            <w:vAlign w:val="bottom"/>
            <w:gridSpan w:val="3"/>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12</w:t>
            </w:r>
          </w:p>
        </w:tc>
        <w:tc>
          <w:tcPr>
            <w:tcW w:w="20" w:type="dxa"/>
            <w:vAlign w:val="bottom"/>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296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b w:val="1"/>
                <w:bCs w:val="1"/>
                <w:color w:val="0000FF"/>
                <w:w w:val="98"/>
              </w:rPr>
              <w:t>PART II — OTHER INFORMATION</w:t>
            </w:r>
          </w:p>
        </w:tc>
        <w:tc>
          <w:tcPr>
            <w:tcW w:w="300" w:type="dxa"/>
            <w:vAlign w:val="bottom"/>
            <w:tcBorders>
              <w:top w:val="single" w:sz="8" w:color="0000FF"/>
            </w:tcBorders>
            <w:gridSpan w:val="2"/>
          </w:tcPr>
          <w:p>
            <w:pPr>
              <w:spacing w:after="0"/>
              <w:rPr>
                <w:sz w:val="22"/>
                <w:szCs w:val="22"/>
                <w:color w:val="auto"/>
              </w:rPr>
            </w:pPr>
          </w:p>
        </w:tc>
        <w:tc>
          <w:tcPr>
            <w:tcW w:w="7760" w:type="dxa"/>
            <w:vAlign w:val="bottom"/>
            <w:gridSpan w:val="12"/>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110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1. LEGAL PROCEEDINGS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13</w:t>
            </w:r>
          </w:p>
        </w:tc>
        <w:tc>
          <w:tcPr>
            <w:tcW w:w="2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254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8480" w:type="dxa"/>
            <w:vAlign w:val="bottom"/>
            <w:gridSpan w:val="15"/>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13</w:t>
            </w:r>
          </w:p>
        </w:tc>
        <w:tc>
          <w:tcPr>
            <w:tcW w:w="2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150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ITEM 6. EXHIBITS</w:t>
            </w:r>
          </w:p>
        </w:tc>
        <w:tc>
          <w:tcPr>
            <w:tcW w:w="540" w:type="dxa"/>
            <w:vAlign w:val="bottom"/>
            <w:tcBorders>
              <w:top w:val="single" w:sz="8" w:color="0000FF"/>
            </w:tcBorders>
          </w:tcPr>
          <w:p>
            <w:pPr>
              <w:spacing w:after="0"/>
              <w:rPr>
                <w:sz w:val="22"/>
                <w:szCs w:val="22"/>
                <w:color w:val="auto"/>
              </w:rPr>
            </w:pPr>
          </w:p>
        </w:tc>
        <w:tc>
          <w:tcPr>
            <w:tcW w:w="8980" w:type="dxa"/>
            <w:vAlign w:val="bottom"/>
            <w:gridSpan w:val="17"/>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13</w:t>
            </w:r>
          </w:p>
        </w:tc>
        <w:tc>
          <w:tcPr>
            <w:tcW w:w="2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110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SIGNATURE</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14</w:t>
            </w:r>
          </w:p>
        </w:tc>
        <w:tc>
          <w:tcPr>
            <w:tcW w:w="20" w:type="dxa"/>
            <w:vAlign w:val="bottom"/>
          </w:tcPr>
          <w:p>
            <w:pPr>
              <w:spacing w:after="0"/>
              <w:rPr>
                <w:sz w:val="22"/>
                <w:szCs w:val="22"/>
                <w:color w:val="auto"/>
              </w:rPr>
            </w:pPr>
          </w:p>
        </w:tc>
      </w:tr>
      <w:tr>
        <w:trPr>
          <w:trHeight w:val="669"/>
        </w:trPr>
        <w:tc>
          <w:tcPr>
            <w:tcW w:w="20" w:type="dxa"/>
            <w:vAlign w:val="bottom"/>
          </w:tcPr>
          <w:p>
            <w:pPr>
              <w:spacing w:after="0"/>
              <w:rPr>
                <w:sz w:val="24"/>
                <w:szCs w:val="24"/>
                <w:color w:val="auto"/>
              </w:rPr>
            </w:pPr>
          </w:p>
        </w:tc>
        <w:tc>
          <w:tcPr>
            <w:tcW w:w="1000" w:type="dxa"/>
            <w:vAlign w:val="bottom"/>
            <w:tcBorders>
              <w:top w:val="single" w:sz="8" w:color="0000FF"/>
            </w:tcBorders>
            <w:gridSpan w:val="2"/>
          </w:tcPr>
          <w:p>
            <w:pPr>
              <w:spacing w:after="0"/>
              <w:rPr>
                <w:sz w:val="24"/>
                <w:szCs w:val="24"/>
                <w:color w:val="auto"/>
              </w:rPr>
            </w:pPr>
          </w:p>
        </w:tc>
        <w:tc>
          <w:tcPr>
            <w:tcW w:w="5100" w:type="dxa"/>
            <w:vAlign w:val="bottom"/>
            <w:gridSpan w:val="15"/>
          </w:tcPr>
          <w:p>
            <w:pPr>
              <w:jc w:val="center"/>
              <w:ind w:left="4010"/>
              <w:spacing w:after="0"/>
              <w:rPr>
                <w:sz w:val="20"/>
                <w:szCs w:val="20"/>
                <w:color w:val="auto"/>
              </w:rPr>
            </w:pPr>
            <w:r>
              <w:rPr>
                <w:rFonts w:ascii="Times New Roman" w:cs="Times New Roman" w:eastAsia="Times New Roman" w:hAnsi="Times New Roman"/>
                <w:sz w:val="18"/>
                <w:szCs w:val="18"/>
                <w:color w:val="auto"/>
                <w:w w:val="88"/>
              </w:rPr>
              <w:t>2</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358"/>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is a list of certain acronyms and terms used throughout this document:</w:t>
      </w:r>
    </w:p>
    <w:p>
      <w:pPr>
        <w:sectPr>
          <w:pgSz w:w="11900" w:h="16838" w:orient="portrait"/>
          <w:cols w:equalWidth="0" w:num="1">
            <w:col w:w="11240"/>
          </w:cols>
          <w:pgMar w:left="320" w:top="121" w:right="339" w:bottom="1440" w:gutter="0" w:footer="0" w:header="0"/>
        </w:sectPr>
      </w:pPr>
    </w:p>
    <w:p>
      <w:pPr>
        <w:spacing w:after="0" w:line="3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Energy Transfer</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Energy Transfer LP, the parent company of PEPL</w:t>
      </w:r>
    </w:p>
    <w:p>
      <w:pPr>
        <w:spacing w:after="0" w:line="88" w:lineRule="exact"/>
        <w:rPr>
          <w:sz w:val="20"/>
          <w:szCs w:val="20"/>
          <w:color w:val="auto"/>
        </w:rPr>
      </w:pPr>
    </w:p>
    <w:p>
      <w:pPr>
        <w:sectPr>
          <w:pgSz w:w="11900" w:h="16838" w:orient="portrait"/>
          <w:cols w:equalWidth="0" w:num="2">
            <w:col w:w="2600" w:space="720"/>
            <w:col w:w="7920"/>
          </w:cols>
          <w:pgMar w:left="320" w:top="121" w:right="33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8"/>
          <w:szCs w:val="18"/>
          <w:color w:val="auto"/>
        </w:rPr>
        <w:t>Exchange 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Securities Exchange Act of 1934, as amended</w:t>
      </w:r>
    </w:p>
    <w:p>
      <w:pPr>
        <w:spacing w:after="0" w:line="88" w:lineRule="exact"/>
        <w:rPr>
          <w:sz w:val="20"/>
          <w:szCs w:val="20"/>
          <w:color w:val="auto"/>
        </w:rPr>
      </w:pPr>
    </w:p>
    <w:p>
      <w:pPr>
        <w:sectPr>
          <w:pgSz w:w="11900" w:h="16838" w:orient="portrait"/>
          <w:cols w:equalWidth="0" w:num="2">
            <w:col w:w="2600" w:space="720"/>
            <w:col w:w="7920"/>
          </w:cols>
          <w:pgMar w:left="320" w:top="121" w:right="33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8"/>
          <w:szCs w:val="18"/>
          <w:color w:val="auto"/>
        </w:rPr>
        <w:t>FERC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Federal Energy Regulatory Commission</w:t>
      </w:r>
    </w:p>
    <w:p>
      <w:pPr>
        <w:spacing w:after="0" w:line="88" w:lineRule="exact"/>
        <w:rPr>
          <w:sz w:val="20"/>
          <w:szCs w:val="20"/>
          <w:color w:val="auto"/>
        </w:rPr>
      </w:pPr>
    </w:p>
    <w:p>
      <w:pPr>
        <w:sectPr>
          <w:pgSz w:w="11900" w:h="16838" w:orient="portrait"/>
          <w:cols w:equalWidth="0" w:num="2">
            <w:col w:w="2600" w:space="720"/>
            <w:col w:w="7920"/>
          </w:cols>
          <w:pgMar w:left="320" w:top="121" w:right="33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8"/>
          <w:szCs w:val="18"/>
          <w:color w:val="auto"/>
        </w:rPr>
        <w:t>GAAP</w:t>
      </w:r>
    </w:p>
    <w:p>
      <w:pPr>
        <w:spacing w:after="0" w:line="20" w:lineRule="exact"/>
        <w:rPr>
          <w:sz w:val="20"/>
          <w:szCs w:val="20"/>
          <w:color w:val="auto"/>
        </w:rPr>
      </w:pPr>
      <w:r>
        <w:rPr>
          <w:sz w:val="20"/>
          <w:szCs w:val="20"/>
          <w:color w:val="auto"/>
        </w:rPr>
        <w:br w:type="column"/>
      </w:r>
    </w:p>
    <w:p>
      <w:pPr>
        <w:jc w:val="center"/>
        <w:ind w:right="2660"/>
        <w:spacing w:after="0"/>
        <w:rPr>
          <w:sz w:val="20"/>
          <w:szCs w:val="20"/>
          <w:color w:val="auto"/>
        </w:rPr>
      </w:pPr>
      <w:r>
        <w:rPr>
          <w:rFonts w:ascii="Times New Roman" w:cs="Times New Roman" w:eastAsia="Times New Roman" w:hAnsi="Times New Roman"/>
          <w:sz w:val="18"/>
          <w:szCs w:val="18"/>
          <w:color w:val="auto"/>
        </w:rPr>
        <w:t>accounting principles generally accepted in the United States of America</w:t>
      </w:r>
    </w:p>
    <w:p>
      <w:pPr>
        <w:spacing w:after="0" w:line="77" w:lineRule="exact"/>
        <w:rPr>
          <w:sz w:val="20"/>
          <w:szCs w:val="20"/>
          <w:color w:val="auto"/>
        </w:rPr>
      </w:pPr>
    </w:p>
    <w:p>
      <w:pPr>
        <w:sectPr>
          <w:pgSz w:w="11900" w:h="16838" w:orient="portrait"/>
          <w:cols w:equalWidth="0" w:num="2">
            <w:col w:w="2600" w:space="720"/>
            <w:col w:w="7920"/>
          </w:cols>
          <w:pgMar w:left="320" w:top="121" w:right="33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7"/>
          <w:szCs w:val="17"/>
          <w:color w:val="auto"/>
        </w:rPr>
        <w:t>Sea Robin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Sea Robin Pipeline Company, LLC</w:t>
      </w:r>
    </w:p>
    <w:p>
      <w:pPr>
        <w:spacing w:after="0" w:line="88" w:lineRule="exact"/>
        <w:rPr>
          <w:sz w:val="20"/>
          <w:szCs w:val="20"/>
          <w:color w:val="auto"/>
        </w:rPr>
      </w:pPr>
    </w:p>
    <w:p>
      <w:pPr>
        <w:sectPr>
          <w:pgSz w:w="11900" w:h="16838" w:orient="portrait"/>
          <w:cols w:equalWidth="0" w:num="2">
            <w:col w:w="2600" w:space="720"/>
            <w:col w:w="7920"/>
          </w:cols>
          <w:pgMar w:left="320" w:top="121" w:right="33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8"/>
          <w:szCs w:val="18"/>
          <w:color w:val="auto"/>
        </w:rPr>
        <w:t>SEC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88" w:lineRule="exact"/>
        <w:rPr>
          <w:sz w:val="20"/>
          <w:szCs w:val="20"/>
          <w:color w:val="auto"/>
        </w:rPr>
      </w:pPr>
    </w:p>
    <w:p>
      <w:pPr>
        <w:sectPr>
          <w:pgSz w:w="11900" w:h="16838" w:orient="portrait"/>
          <w:cols w:equalWidth="0" w:num="2">
            <w:col w:w="2600" w:space="720"/>
            <w:col w:w="7920"/>
          </w:cols>
          <w:pgMar w:left="320" w:top="121" w:right="33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8"/>
          <w:szCs w:val="18"/>
          <w:color w:val="auto"/>
        </w:rPr>
        <w:t>Southwest Gas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Pan Gas Storage LLC (d.b.a. Southwest Gas)</w:t>
      </w:r>
    </w:p>
    <w:p>
      <w:pPr>
        <w:spacing w:after="0" w:line="77" w:lineRule="exact"/>
        <w:rPr>
          <w:sz w:val="20"/>
          <w:szCs w:val="20"/>
          <w:color w:val="auto"/>
        </w:rPr>
      </w:pPr>
    </w:p>
    <w:p>
      <w:pPr>
        <w:sectPr>
          <w:pgSz w:w="11900" w:h="16838" w:orient="portrait"/>
          <w:cols w:equalWidth="0" w:num="2">
            <w:col w:w="2600" w:space="720"/>
            <w:col w:w="7920"/>
          </w:cols>
          <w:pgMar w:left="320" w:top="121" w:right="33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8"/>
          <w:szCs w:val="18"/>
          <w:color w:val="auto"/>
        </w:rPr>
        <w:t>TBtu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Trillion British thermal units</w:t>
      </w:r>
    </w:p>
    <w:p>
      <w:pPr>
        <w:spacing w:after="0" w:line="88" w:lineRule="exact"/>
        <w:rPr>
          <w:sz w:val="20"/>
          <w:szCs w:val="20"/>
          <w:color w:val="auto"/>
        </w:rPr>
      </w:pPr>
    </w:p>
    <w:p>
      <w:pPr>
        <w:sectPr>
          <w:pgSz w:w="11900" w:h="16838" w:orient="portrait"/>
          <w:cols w:equalWidth="0" w:num="2">
            <w:col w:w="2600" w:space="720"/>
            <w:col w:w="7920"/>
          </w:cols>
          <w:pgMar w:left="320" w:top="121" w:right="33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7"/>
          <w:szCs w:val="17"/>
          <w:color w:val="auto"/>
        </w:rPr>
        <w:t>Trunkline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Trunkline Gas Company, LLC</w:t>
      </w:r>
    </w:p>
    <w:p>
      <w:pPr>
        <w:spacing w:after="0" w:line="179" w:lineRule="exact"/>
        <w:rPr>
          <w:sz w:val="20"/>
          <w:szCs w:val="20"/>
          <w:color w:val="auto"/>
        </w:rPr>
      </w:pPr>
    </w:p>
    <w:p>
      <w:pPr>
        <w:sectPr>
          <w:pgSz w:w="11900" w:h="16838" w:orient="portrait"/>
          <w:cols w:equalWidth="0" w:num="2">
            <w:col w:w="2600" w:space="720"/>
            <w:col w:w="7920"/>
          </w:cols>
          <w:pgMar w:left="320" w:top="12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matters discussed in this report, excluding historical information, as well as some statements by Panhandle Eastern Pipe Line Company, LP and its subsidiaries (“PEPL” or the “Company”) in periodic press releases and some oral statements of PEPL officials during presentations about the Company, include forward-looking statements. These forward-looking statements are identified as any statement that does not relate strictly to historical or current facts. Statements using words such as “anticipate,” “project,” “expect,” “plan,” “goal,” “forecast,” “estimate,” “intend,” “continue,” “believe,” “may,” “will” or similar expressions help identify forward-looking statements. Although the Company believes such forward-looking statements are based on reasonable assumptions and current expectations and projections about future events, no assurance can be given that such assumptions, expectations, or projections will prove to be correct. Forward-looking statements are subject to a variety of risks, uncertainties and assumptions. If one or more of these risks or uncertainties materialize, or if underlying assumptions prove incorrect, the Company’s actual results may vary materially from those anticipated, projected, forecasted, estimated or expressed in forward-looking statements since many of the factors that determine these results are subject to uncertainties and risks that are difficult to predict and beyond management’s control. For additional discussion of risks, uncertainties and assumptions, see “Part I — Item 1A. Risk Factors” in the Company’s Annual Report on Form 10-K for the year ended December 31, 2021 filed with the SEC on February 18, 2022.</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82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1"/>
        </w:trPr>
        <w:tc>
          <w:tcPr>
            <w:tcW w:w="1280" w:type="dxa"/>
            <w:vAlign w:val="bottom"/>
            <w:tcBorders>
              <w:top w:val="single" w:sz="8" w:color="0000FF"/>
            </w:tcBorders>
          </w:tcPr>
          <w:p>
            <w:pPr>
              <w:spacing w:after="0"/>
              <w:rPr>
                <w:sz w:val="24"/>
                <w:szCs w:val="24"/>
                <w:color w:val="auto"/>
              </w:rPr>
            </w:pPr>
          </w:p>
        </w:tc>
        <w:tc>
          <w:tcPr>
            <w:tcW w:w="2220" w:type="dxa"/>
            <w:vAlign w:val="bottom"/>
          </w:tcPr>
          <w:p>
            <w:pPr>
              <w:spacing w:after="0"/>
              <w:rPr>
                <w:sz w:val="24"/>
                <w:szCs w:val="24"/>
                <w:color w:val="auto"/>
              </w:rPr>
            </w:pPr>
          </w:p>
        </w:tc>
        <w:tc>
          <w:tcPr>
            <w:tcW w:w="4760" w:type="dxa"/>
            <w:vAlign w:val="bottom"/>
            <w:gridSpan w:val="4"/>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12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9"/>
              </w:rPr>
              <w:t>ITEM 1. FINANCIAL STATEMENTS</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2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4760" w:type="dxa"/>
            <w:vAlign w:val="bottom"/>
            <w:gridSpan w:val="4"/>
          </w:tcPr>
          <w:p>
            <w:pPr>
              <w:jc w:val="center"/>
              <w:ind w:right="520"/>
              <w:spacing w:after="0" w:line="198" w:lineRule="exact"/>
              <w:rPr>
                <w:sz w:val="20"/>
                <w:szCs w:val="20"/>
                <w:color w:val="auto"/>
              </w:rPr>
            </w:pPr>
            <w:r>
              <w:rPr>
                <w:rFonts w:ascii="Times New Roman" w:cs="Times New Roman" w:eastAsia="Times New Roman" w:hAnsi="Times New Roman"/>
                <w:sz w:val="18"/>
                <w:szCs w:val="18"/>
                <w:b w:val="1"/>
                <w:bCs w:val="1"/>
                <w:color w:val="auto"/>
                <w:w w:val="99"/>
              </w:rPr>
              <w:t>PANHANDLE EASTERN PIPE LINE COMPANY, LP</w:t>
            </w: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680" w:type="dxa"/>
            <w:vAlign w:val="bottom"/>
            <w:tcBorders>
              <w:top w:val="single" w:sz="8" w:color="auto"/>
            </w:tcBorders>
            <w:gridSpan w:val="2"/>
          </w:tcPr>
          <w:p>
            <w:pPr>
              <w:jc w:val="center"/>
              <w:ind w:right="560"/>
              <w:spacing w:after="0" w:line="196" w:lineRule="exact"/>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2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(Dollars in millions)</w:t>
            </w:r>
          </w:p>
        </w:tc>
        <w:tc>
          <w:tcPr>
            <w:tcW w:w="10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color w:val="auto"/>
              </w:rPr>
              <w:t>(unaudited)</w:t>
            </w: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2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31,</w:t>
            </w:r>
          </w:p>
        </w:tc>
        <w:tc>
          <w:tcPr>
            <w:tcW w:w="160" w:type="dxa"/>
            <w:vAlign w:val="bottom"/>
          </w:tcPr>
          <w:p>
            <w:pPr>
              <w:spacing w:after="0"/>
              <w:rPr>
                <w:sz w:val="24"/>
                <w:szCs w:val="24"/>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11"/>
        </w:trPr>
        <w:tc>
          <w:tcPr>
            <w:tcW w:w="12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760" w:type="dxa"/>
            <w:vAlign w:val="bottom"/>
            <w:gridSpan w:val="4"/>
          </w:tcPr>
          <w:p>
            <w:pPr>
              <w:jc w:val="center"/>
              <w:ind w:right="34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2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6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6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9"/>
        </w:trPr>
        <w:tc>
          <w:tcPr>
            <w:tcW w:w="826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from related companies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826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Exchanges receivable</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826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gridSpan w:val="6"/>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8260" w:type="dxa"/>
            <w:vAlign w:val="bottom"/>
            <w:gridSpan w:val="6"/>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70"/>
        </w:trPr>
        <w:tc>
          <w:tcPr>
            <w:tcW w:w="8260" w:type="dxa"/>
            <w:vAlign w:val="bottom"/>
            <w:gridSpan w:val="6"/>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826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3,421</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gridSpan w:val="6"/>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0" w:type="dxa"/>
            <w:vAlign w:val="bottom"/>
          </w:tcPr>
          <w:p>
            <w:pPr>
              <w:spacing w:after="0"/>
              <w:rPr>
                <w:sz w:val="1"/>
                <w:szCs w:val="1"/>
                <w:color w:val="auto"/>
              </w:rPr>
            </w:pPr>
          </w:p>
        </w:tc>
      </w:tr>
      <w:tr>
        <w:trPr>
          <w:trHeight w:val="223"/>
        </w:trPr>
        <w:tc>
          <w:tcPr>
            <w:tcW w:w="8260" w:type="dxa"/>
            <w:vAlign w:val="bottom"/>
            <w:gridSpan w:val="6"/>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w:t>
            </w:r>
          </w:p>
        </w:tc>
        <w:tc>
          <w:tcPr>
            <w:tcW w:w="0" w:type="dxa"/>
            <w:vAlign w:val="bottom"/>
          </w:tcPr>
          <w:p>
            <w:pPr>
              <w:spacing w:after="0"/>
              <w:rPr>
                <w:sz w:val="1"/>
                <w:szCs w:val="1"/>
                <w:color w:val="auto"/>
              </w:rPr>
            </w:pPr>
          </w:p>
        </w:tc>
      </w:tr>
      <w:tr>
        <w:trPr>
          <w:trHeight w:val="270"/>
        </w:trPr>
        <w:tc>
          <w:tcPr>
            <w:tcW w:w="8260" w:type="dxa"/>
            <w:vAlign w:val="bottom"/>
            <w:gridSpan w:val="6"/>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26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gridSpan w:val="6"/>
          </w:tcPr>
          <w:p>
            <w:pPr>
              <w:ind w:left="20"/>
              <w:spacing w:after="0"/>
              <w:rPr>
                <w:sz w:val="20"/>
                <w:szCs w:val="20"/>
                <w:color w:val="auto"/>
              </w:rPr>
            </w:pPr>
            <w:r>
              <w:rPr>
                <w:rFonts w:ascii="Times New Roman" w:cs="Times New Roman" w:eastAsia="Times New Roman" w:hAnsi="Times New Roman"/>
                <w:sz w:val="18"/>
                <w:szCs w:val="18"/>
                <w:color w:val="auto"/>
              </w:rPr>
              <w:t>Other non-current assets, net</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gridSpan w:val="6"/>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6980" w:type="dxa"/>
            <w:vAlign w:val="bottom"/>
            <w:tcBorders>
              <w:top w:val="single" w:sz="8" w:color="CCEEFF"/>
              <w:bottom w:val="single" w:sz="8" w:color="CCEEFF"/>
            </w:tcBorders>
            <w:gridSpan w:val="5"/>
            <w:vMerge w:val="restart"/>
          </w:tcPr>
          <w:p>
            <w:pPr>
              <w:jc w:val="center"/>
              <w:ind w:right="1260"/>
              <w:spacing w:after="0"/>
              <w:rPr>
                <w:sz w:val="20"/>
                <w:szCs w:val="20"/>
                <w:color w:val="auto"/>
              </w:rPr>
            </w:pPr>
            <w:r>
              <w:rPr>
                <w:rFonts w:ascii="Times New Roman" w:cs="Times New Roman" w:eastAsia="Times New Roman" w:hAnsi="Times New Roman"/>
                <w:sz w:val="18"/>
                <w:szCs w:val="18"/>
                <w:b w:val="1"/>
                <w:bCs w:val="1"/>
                <w:color w:val="auto"/>
                <w:w w:val="98"/>
              </w:rPr>
              <w:t>LIABILITIES AND PARTNERS’ CAPITAL</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1280" w:type="dxa"/>
            <w:vAlign w:val="bottom"/>
          </w:tcPr>
          <w:p>
            <w:pPr>
              <w:spacing w:after="0"/>
              <w:rPr>
                <w:sz w:val="24"/>
                <w:szCs w:val="24"/>
                <w:color w:val="auto"/>
              </w:rPr>
            </w:pPr>
          </w:p>
        </w:tc>
        <w:tc>
          <w:tcPr>
            <w:tcW w:w="6980" w:type="dxa"/>
            <w:vAlign w:val="bottom"/>
            <w:gridSpan w:val="5"/>
            <w:vMerge w:val="continue"/>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2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6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0"/>
        </w:trPr>
        <w:tc>
          <w:tcPr>
            <w:tcW w:w="826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Accounts payable to related companies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826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Exchanges payable</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gridSpan w:val="6"/>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3"/>
        </w:trPr>
        <w:tc>
          <w:tcPr>
            <w:tcW w:w="8260" w:type="dxa"/>
            <w:vAlign w:val="bottom"/>
            <w:gridSpan w:val="6"/>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70"/>
        </w:trPr>
        <w:tc>
          <w:tcPr>
            <w:tcW w:w="8260" w:type="dxa"/>
            <w:vAlign w:val="bottom"/>
            <w:gridSpan w:val="6"/>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26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29"/>
        </w:trPr>
        <w:tc>
          <w:tcPr>
            <w:tcW w:w="82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Note payable to related company</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30"/>
        </w:trPr>
        <w:tc>
          <w:tcPr>
            <w:tcW w:w="826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82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30"/>
        </w:trPr>
        <w:tc>
          <w:tcPr>
            <w:tcW w:w="826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260" w:type="dxa"/>
            <w:vAlign w:val="bottom"/>
            <w:gridSpan w:val="6"/>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826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Partners’ capital:</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Partners’ capital</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0" w:type="dxa"/>
            <w:vAlign w:val="bottom"/>
          </w:tcPr>
          <w:p>
            <w:pPr>
              <w:spacing w:after="0"/>
              <w:rPr>
                <w:sz w:val="1"/>
                <w:szCs w:val="1"/>
                <w:color w:val="auto"/>
              </w:rPr>
            </w:pPr>
          </w:p>
        </w:tc>
      </w:tr>
      <w:tr>
        <w:trPr>
          <w:trHeight w:val="230"/>
        </w:trPr>
        <w:tc>
          <w:tcPr>
            <w:tcW w:w="826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gridSpan w:val="6"/>
          </w:tcPr>
          <w:p>
            <w:pPr>
              <w:ind w:left="360"/>
              <w:spacing w:after="0"/>
              <w:rPr>
                <w:sz w:val="20"/>
                <w:szCs w:val="20"/>
                <w:color w:val="auto"/>
              </w:rPr>
            </w:pPr>
            <w:r>
              <w:rPr>
                <w:rFonts w:ascii="Times New Roman" w:cs="Times New Roman" w:eastAsia="Times New Roman" w:hAnsi="Times New Roman"/>
                <w:sz w:val="18"/>
                <w:szCs w:val="18"/>
                <w:color w:val="auto"/>
              </w:rPr>
              <w:t>Total partners’ capital</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gridSpan w:val="6"/>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and partners’ capital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PANHANDLE EASTERN PIPE LINE COMPANY,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76" w:lineRule="exact"/>
        <w:rPr>
          <w:sz w:val="20"/>
          <w:szCs w:val="20"/>
          <w:color w:val="auto"/>
        </w:rPr>
      </w:pPr>
    </w:p>
    <w:p>
      <w:pPr>
        <w:jc w:val="center"/>
        <w:ind w:left="8240"/>
        <w:spacing w:after="0"/>
        <w:rPr>
          <w:sz w:val="20"/>
          <w:szCs w:val="20"/>
          <w:color w:val="auto"/>
        </w:rPr>
      </w:pPr>
      <w:r>
        <w:rPr>
          <w:rFonts w:ascii="Times New Roman" w:cs="Times New Roman" w:eastAsia="Times New Roman" w:hAnsi="Times New Roman"/>
          <w:sz w:val="18"/>
          <w:szCs w:val="18"/>
          <w:color w:val="auto"/>
        </w:rPr>
        <w:t>Three Months Ended</w:t>
      </w:r>
    </w:p>
    <w:p>
      <w:pPr>
        <w:jc w:val="center"/>
        <w:ind w:left="8260"/>
        <w:spacing w:after="0"/>
        <w:rPr>
          <w:sz w:val="20"/>
          <w:szCs w:val="20"/>
          <w:color w:val="auto"/>
        </w:rPr>
      </w:pPr>
      <w:r>
        <w:rPr>
          <w:rFonts w:ascii="Times New Roman" w:cs="Times New Roman" w:eastAsia="Times New Roman" w:hAnsi="Times New Roman"/>
          <w:sz w:val="18"/>
          <w:szCs w:val="18"/>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336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c>
          <w:tcPr>
            <w:tcW w:w="4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09"/>
        </w:trPr>
        <w:tc>
          <w:tcPr>
            <w:tcW w:w="4900" w:type="dxa"/>
            <w:vAlign w:val="bottom"/>
            <w:vMerge w:val="continue"/>
          </w:tcPr>
          <w:p>
            <w:pPr>
              <w:spacing w:after="0"/>
              <w:rPr>
                <w:sz w:val="18"/>
                <w:szCs w:val="18"/>
                <w:color w:val="auto"/>
              </w:rPr>
            </w:pPr>
          </w:p>
        </w:tc>
        <w:tc>
          <w:tcPr>
            <w:tcW w:w="3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Transportation and storage of natural gas</w:t>
            </w:r>
          </w:p>
        </w:tc>
        <w:tc>
          <w:tcPr>
            <w:tcW w:w="436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29"/>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Operational gas sales</w:t>
            </w:r>
          </w:p>
        </w:tc>
        <w:tc>
          <w:tcPr>
            <w:tcW w:w="3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36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49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operating revenues</w:t>
            </w:r>
          </w:p>
        </w:tc>
        <w:tc>
          <w:tcPr>
            <w:tcW w:w="3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and maintenance</w:t>
            </w:r>
          </w:p>
        </w:tc>
        <w:tc>
          <w:tcPr>
            <w:tcW w:w="3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49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36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3"/>
        </w:trPr>
        <w:tc>
          <w:tcPr>
            <w:tcW w:w="49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36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3"/>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INCOME</w:t>
            </w:r>
          </w:p>
        </w:tc>
        <w:tc>
          <w:tcPr>
            <w:tcW w:w="3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3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3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 — related company</w:t>
            </w:r>
          </w:p>
        </w:tc>
        <w:tc>
          <w:tcPr>
            <w:tcW w:w="3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49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336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3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29"/>
        </w:trPr>
        <w:tc>
          <w:tcPr>
            <w:tcW w:w="49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336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70"/>
        </w:trPr>
        <w:tc>
          <w:tcPr>
            <w:tcW w:w="490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3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Actuarial gain relating to postretirement benefit plans</w:t>
            </w:r>
          </w:p>
        </w:tc>
        <w:tc>
          <w:tcPr>
            <w:tcW w:w="3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0"/>
        </w:trPr>
        <w:tc>
          <w:tcPr>
            <w:tcW w:w="4900" w:type="dxa"/>
            <w:vAlign w:val="bottom"/>
            <w:shd w:val="clear" w:color="auto" w:fill="CCEEFF"/>
          </w:tcPr>
          <w:p>
            <w:pPr>
              <w:spacing w:after="0"/>
              <w:rPr>
                <w:sz w:val="23"/>
                <w:szCs w:val="23"/>
                <w:color w:val="auto"/>
              </w:rPr>
            </w:pPr>
          </w:p>
        </w:tc>
        <w:tc>
          <w:tcPr>
            <w:tcW w:w="3360" w:type="dxa"/>
            <w:vAlign w:val="bottom"/>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COMPREHENSIVE INCOME</w:t>
            </w:r>
          </w:p>
        </w:tc>
        <w:tc>
          <w:tcPr>
            <w:tcW w:w="3360" w:type="dxa"/>
            <w:vAlign w:val="bottom"/>
          </w:tcPr>
          <w:p>
            <w:pPr>
              <w:spacing w:after="0"/>
              <w:rPr>
                <w:sz w:val="19"/>
                <w:szCs w:val="19"/>
                <w:color w:val="auto"/>
              </w:rPr>
            </w:pPr>
          </w:p>
        </w:tc>
        <w:tc>
          <w:tcPr>
            <w:tcW w:w="100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0"/>
        </w:trPr>
        <w:tc>
          <w:tcPr>
            <w:tcW w:w="8260" w:type="dxa"/>
            <w:vAlign w:val="bottom"/>
            <w:gridSpan w:val="2"/>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3"/>
        </w:trPr>
        <w:tc>
          <w:tcPr>
            <w:tcW w:w="9260" w:type="dxa"/>
            <w:vAlign w:val="bottom"/>
            <w:gridSpan w:val="3"/>
          </w:tcPr>
          <w:p>
            <w:pPr>
              <w:jc w:val="center"/>
              <w:ind w:left="1890"/>
              <w:spacing w:after="0"/>
              <w:rPr>
                <w:sz w:val="20"/>
                <w:szCs w:val="20"/>
                <w:color w:val="auto"/>
              </w:rPr>
            </w:pPr>
            <w:r>
              <w:rPr>
                <w:rFonts w:ascii="Times New Roman" w:cs="Times New Roman" w:eastAsia="Times New Roman" w:hAnsi="Times New Roman"/>
                <w:sz w:val="18"/>
                <w:szCs w:val="18"/>
                <w:color w:val="auto"/>
                <w:w w:val="99"/>
              </w:rPr>
              <w:t>The accompanying notes are an integral part of these consolidated financial statements.</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900" w:type="dxa"/>
            <w:vAlign w:val="bottom"/>
          </w:tcPr>
          <w:p>
            <w:pPr>
              <w:spacing w:after="0"/>
              <w:rPr>
                <w:sz w:val="20"/>
                <w:szCs w:val="20"/>
                <w:color w:val="auto"/>
              </w:rPr>
            </w:pPr>
          </w:p>
        </w:tc>
        <w:tc>
          <w:tcPr>
            <w:tcW w:w="3360" w:type="dxa"/>
            <w:vAlign w:val="bottom"/>
          </w:tcPr>
          <w:p>
            <w:pPr>
              <w:jc w:val="right"/>
              <w:ind w:right="2510"/>
              <w:spacing w:after="0"/>
              <w:rPr>
                <w:sz w:val="20"/>
                <w:szCs w:val="20"/>
                <w:color w:val="auto"/>
              </w:rPr>
            </w:pPr>
            <w:r>
              <w:rPr>
                <w:rFonts w:ascii="Times New Roman" w:cs="Times New Roman" w:eastAsia="Times New Roman" w:hAnsi="Times New Roman"/>
                <w:sz w:val="18"/>
                <w:szCs w:val="18"/>
                <w:color w:val="auto"/>
              </w:rPr>
              <w:t>5</w:t>
            </w: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4900" w:type="dxa"/>
            <w:vAlign w:val="bottom"/>
            <w:tcBorders>
              <w:bottom w:val="single" w:sz="8" w:color="9A9A9A"/>
            </w:tcBorders>
          </w:tcPr>
          <w:p>
            <w:pPr>
              <w:spacing w:after="0"/>
              <w:rPr>
                <w:sz w:val="10"/>
                <w:szCs w:val="10"/>
                <w:color w:val="auto"/>
              </w:rPr>
            </w:pPr>
          </w:p>
        </w:tc>
        <w:tc>
          <w:tcPr>
            <w:tcW w:w="33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790"/>
        </w:trPr>
        <w:tc>
          <w:tcPr>
            <w:tcW w:w="1280" w:type="dxa"/>
            <w:vAlign w:val="bottom"/>
            <w:tcBorders>
              <w:top w:val="single" w:sz="8" w:color="0000FF"/>
            </w:tcBorders>
          </w:tcPr>
          <w:p>
            <w:pPr>
              <w:spacing w:after="0"/>
              <w:rPr>
                <w:sz w:val="24"/>
                <w:szCs w:val="24"/>
                <w:color w:val="auto"/>
              </w:rPr>
            </w:pPr>
          </w:p>
        </w:tc>
        <w:tc>
          <w:tcPr>
            <w:tcW w:w="1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PANHANDLE EASTERN PIPE LINE COMPANY, LP</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20" w:type="dxa"/>
            <w:vAlign w:val="bottom"/>
            <w:gridSpan w:val="9"/>
          </w:tcPr>
          <w:p>
            <w:pPr>
              <w:jc w:val="center"/>
              <w:ind w:right="1050"/>
              <w:spacing w:after="0" w:line="196" w:lineRule="exact"/>
              <w:rPr>
                <w:sz w:val="20"/>
                <w:szCs w:val="20"/>
                <w:color w:val="auto"/>
              </w:rPr>
            </w:pPr>
            <w:r>
              <w:rPr>
                <w:rFonts w:ascii="Times New Roman" w:cs="Times New Roman" w:eastAsia="Times New Roman" w:hAnsi="Times New Roman"/>
                <w:sz w:val="18"/>
                <w:szCs w:val="18"/>
                <w:b w:val="1"/>
                <w:bCs w:val="1"/>
                <w:color w:val="auto"/>
                <w:w w:val="98"/>
              </w:rPr>
              <w:t>CONSOLIDATED STATEMENTS OF PARTNERS’ CAPITAL</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80" w:type="dxa"/>
            <w:vAlign w:val="bottom"/>
            <w:gridSpan w:val="2"/>
            <w:shd w:val="clear" w:color="auto" w:fill="000000"/>
          </w:tcPr>
          <w:p>
            <w:pPr>
              <w:spacing w:after="0" w:line="20" w:lineRule="exact"/>
              <w:rPr>
                <w:sz w:val="1"/>
                <w:szCs w:val="1"/>
                <w:color w:val="auto"/>
              </w:rPr>
            </w:pPr>
          </w:p>
        </w:tc>
        <w:tc>
          <w:tcPr>
            <w:tcW w:w="1640" w:type="dxa"/>
            <w:vAlign w:val="bottom"/>
            <w:gridSpan w:val="2"/>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7920" w:type="dxa"/>
            <w:vAlign w:val="bottom"/>
            <w:gridSpan w:val="11"/>
          </w:tcPr>
          <w:p>
            <w:pPr>
              <w:jc w:val="center"/>
              <w:ind w:left="690"/>
              <w:spacing w:after="0" w:line="196" w:lineRule="exact"/>
              <w:rPr>
                <w:sz w:val="20"/>
                <w:szCs w:val="20"/>
                <w:color w:val="auto"/>
              </w:rPr>
            </w:pPr>
            <w:r>
              <w:rPr>
                <w:rFonts w:ascii="Times New Roman" w:cs="Times New Roman" w:eastAsia="Times New Roman" w:hAnsi="Times New Roman"/>
                <w:sz w:val="18"/>
                <w:szCs w:val="18"/>
                <w:b w:val="1"/>
                <w:bCs w:val="1"/>
                <w:color w:val="auto"/>
                <w:w w:val="99"/>
              </w:rPr>
              <w:t>FOR THE THREE MONTHS ENDED MARCH 31, 2022 AND 2021</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8"/>
        </w:trPr>
        <w:tc>
          <w:tcPr>
            <w:tcW w:w="1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24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rPr>
              <w:t>(Dollars in millions)</w:t>
            </w: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20" w:type="dxa"/>
            <w:vAlign w:val="bottom"/>
            <w:gridSpan w:val="2"/>
          </w:tcPr>
          <w:p>
            <w:pPr>
              <w:jc w:val="center"/>
              <w:ind w:left="1430"/>
              <w:spacing w:after="0"/>
              <w:rPr>
                <w:sz w:val="20"/>
                <w:szCs w:val="20"/>
                <w:color w:val="auto"/>
              </w:rPr>
            </w:pPr>
            <w:r>
              <w:rPr>
                <w:rFonts w:ascii="Times New Roman" w:cs="Times New Roman" w:eastAsia="Times New Roman" w:hAnsi="Times New Roman"/>
                <w:sz w:val="18"/>
                <w:szCs w:val="18"/>
                <w:color w:val="auto"/>
              </w:rPr>
              <w:t>(unaudited)</w:t>
            </w:r>
          </w:p>
        </w:tc>
        <w:tc>
          <w:tcPr>
            <w:tcW w:w="1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59"/>
        </w:trPr>
        <w:tc>
          <w:tcPr>
            <w:tcW w:w="1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color w:val="auto"/>
              </w:rPr>
              <w:t>Accumulated Other</w:t>
            </w: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6"/>
        </w:trPr>
        <w:tc>
          <w:tcPr>
            <w:tcW w:w="12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color w:val="auto"/>
              </w:rPr>
              <w:t>Comprehensive</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43"/>
        </w:trPr>
        <w:tc>
          <w:tcPr>
            <w:tcW w:w="12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Partners’ Capital</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Income</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318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2021</w:t>
            </w:r>
          </w:p>
        </w:tc>
        <w:tc>
          <w:tcPr>
            <w:tcW w:w="2880" w:type="dxa"/>
            <w:vAlign w:val="bottom"/>
            <w:tcBorders>
              <w:top w:val="single" w:sz="8" w:color="CCEEFF"/>
            </w:tcBorders>
            <w:gridSpan w:val="2"/>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w:t>
            </w:r>
          </w:p>
        </w:tc>
      </w:tr>
      <w:tr>
        <w:trPr>
          <w:trHeight w:val="229"/>
        </w:trPr>
        <w:tc>
          <w:tcPr>
            <w:tcW w:w="31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0"/>
        </w:trPr>
        <w:tc>
          <w:tcPr>
            <w:tcW w:w="31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320" w:type="dxa"/>
            <w:vAlign w:val="bottom"/>
            <w:shd w:val="clear" w:color="auto" w:fill="CCEEFF"/>
          </w:tcPr>
          <w:p>
            <w:pPr>
              <w:spacing w:after="0"/>
              <w:rPr>
                <w:sz w:val="19"/>
                <w:szCs w:val="19"/>
                <w:color w:val="auto"/>
              </w:rPr>
            </w:pPr>
          </w:p>
        </w:tc>
        <w:tc>
          <w:tcPr>
            <w:tcW w:w="2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31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8"/>
        </w:trPr>
        <w:tc>
          <w:tcPr>
            <w:tcW w:w="318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March 31, 2022</w:t>
            </w:r>
          </w:p>
        </w:tc>
        <w:tc>
          <w:tcPr>
            <w:tcW w:w="288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gridSpan w:val="4"/>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455"/>
        </w:trPr>
        <w:tc>
          <w:tcPr>
            <w:tcW w:w="1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color w:val="auto"/>
              </w:rPr>
              <w:t>Accumulated Other</w:t>
            </w: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Partners’ Capital</w:t>
            </w:r>
          </w:p>
        </w:tc>
        <w:tc>
          <w:tcPr>
            <w:tcW w:w="80" w:type="dxa"/>
            <w:vAlign w:val="bottom"/>
          </w:tcPr>
          <w:p>
            <w:pPr>
              <w:spacing w:after="0"/>
              <w:rPr>
                <w:sz w:val="20"/>
                <w:szCs w:val="20"/>
                <w:color w:val="auto"/>
              </w:rPr>
            </w:pPr>
          </w:p>
        </w:tc>
        <w:tc>
          <w:tcPr>
            <w:tcW w:w="174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color w:val="auto"/>
              </w:rPr>
              <w:t>Comprehensive Loss</w:t>
            </w:r>
          </w:p>
        </w:tc>
        <w:tc>
          <w:tcPr>
            <w:tcW w:w="38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318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2020</w:t>
            </w:r>
          </w:p>
        </w:tc>
        <w:tc>
          <w:tcPr>
            <w:tcW w:w="2880" w:type="dxa"/>
            <w:vAlign w:val="bottom"/>
            <w:tcBorders>
              <w:top w:val="single" w:sz="8" w:color="CCEEFF"/>
            </w:tcBorders>
            <w:gridSpan w:val="2"/>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w:t>
            </w:r>
          </w:p>
        </w:tc>
      </w:tr>
      <w:tr>
        <w:trPr>
          <w:trHeight w:val="230"/>
        </w:trPr>
        <w:tc>
          <w:tcPr>
            <w:tcW w:w="31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29"/>
        </w:trPr>
        <w:tc>
          <w:tcPr>
            <w:tcW w:w="31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320" w:type="dxa"/>
            <w:vAlign w:val="bottom"/>
            <w:shd w:val="clear" w:color="auto" w:fill="CCEEFF"/>
          </w:tcPr>
          <w:p>
            <w:pPr>
              <w:spacing w:after="0"/>
              <w:rPr>
                <w:sz w:val="19"/>
                <w:szCs w:val="19"/>
                <w:color w:val="auto"/>
              </w:rPr>
            </w:pPr>
          </w:p>
        </w:tc>
        <w:tc>
          <w:tcPr>
            <w:tcW w:w="2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3180" w:type="dxa"/>
            <w:vAlign w:val="bottom"/>
            <w:tcBorders>
              <w:bottom w:val="single" w:sz="8" w:color="CCEEFF"/>
            </w:tcBorders>
            <w:gridSpan w:val="3"/>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CCEEFF"/>
            </w:tcBorders>
          </w:tcPr>
          <w:p>
            <w:pPr>
              <w:spacing w:after="0"/>
              <w:rPr>
                <w:sz w:val="19"/>
                <w:szCs w:val="19"/>
                <w:color w:val="auto"/>
              </w:rPr>
            </w:pPr>
          </w:p>
        </w:tc>
        <w:tc>
          <w:tcPr>
            <w:tcW w:w="25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31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March 31, 2021</w:t>
            </w:r>
          </w:p>
        </w:tc>
        <w:tc>
          <w:tcPr>
            <w:tcW w:w="2880" w:type="dxa"/>
            <w:vAlign w:val="bottom"/>
            <w:tcBorders>
              <w:bottom w:val="single" w:sz="8" w:color="CCEEFF"/>
            </w:tcBorders>
            <w:gridSpan w:val="2"/>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2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1280" w:type="dxa"/>
            <w:vAlign w:val="bottom"/>
            <w:tcBorders>
              <w:top w:val="single" w:sz="8" w:color="0000FF"/>
            </w:tcBorders>
          </w:tcPr>
          <w:p>
            <w:pPr>
              <w:spacing w:after="0"/>
              <w:rPr>
                <w:sz w:val="24"/>
                <w:szCs w:val="24"/>
                <w:color w:val="auto"/>
              </w:rPr>
            </w:pPr>
          </w:p>
        </w:tc>
        <w:tc>
          <w:tcPr>
            <w:tcW w:w="2220" w:type="dxa"/>
            <w:vAlign w:val="bottom"/>
          </w:tcPr>
          <w:p>
            <w:pPr>
              <w:spacing w:after="0"/>
              <w:rPr>
                <w:sz w:val="24"/>
                <w:szCs w:val="24"/>
                <w:color w:val="auto"/>
              </w:rPr>
            </w:pPr>
          </w:p>
        </w:tc>
        <w:tc>
          <w:tcPr>
            <w:tcW w:w="426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PANHANDLE EASTERN PIPE LINE COMPANY, LP</w:t>
            </w: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4240" w:type="dxa"/>
            <w:vAlign w:val="bottom"/>
            <w:tcBorders>
              <w:bottom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CONSOLIDATED STATEMENTS OF CASH FLOWS</w:t>
            </w:r>
          </w:p>
        </w:tc>
        <w:tc>
          <w:tcPr>
            <w:tcW w:w="520" w:type="dxa"/>
            <w:vAlign w:val="bottom"/>
            <w:gridSpan w:val="2"/>
          </w:tcPr>
          <w:p>
            <w:pPr>
              <w:spacing w:after="0"/>
              <w:rPr>
                <w:sz w:val="17"/>
                <w:szCs w:val="17"/>
                <w:color w:val="auto"/>
              </w:rPr>
            </w:pPr>
          </w:p>
        </w:tc>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2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76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color w:val="auto"/>
              </w:rPr>
              <w:t>(Dollars in millions)</w:t>
            </w: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76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color w:val="auto"/>
              </w:rPr>
              <w:t>(unaudited)</w:t>
            </w: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2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50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color w:val="auto"/>
              </w:rPr>
              <w:t>Three Months Ended</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2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550"/>
              <w:spacing w:after="0"/>
              <w:rPr>
                <w:sz w:val="20"/>
                <w:szCs w:val="20"/>
                <w:color w:val="auto"/>
              </w:rPr>
            </w:pPr>
            <w:r>
              <w:rPr>
                <w:rFonts w:ascii="Times New Roman" w:cs="Times New Roman" w:eastAsia="Times New Roman" w:hAnsi="Times New Roman"/>
                <w:sz w:val="18"/>
                <w:szCs w:val="18"/>
                <w:color w:val="auto"/>
              </w:rPr>
              <w:t>March 31,</w:t>
            </w:r>
          </w:p>
        </w:tc>
        <w:tc>
          <w:tcPr>
            <w:tcW w:w="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8260" w:type="dxa"/>
            <w:vAlign w:val="bottom"/>
            <w:gridSpan w:val="5"/>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260" w:type="dxa"/>
            <w:vAlign w:val="bottom"/>
            <w:gridSpan w:val="5"/>
            <w:vMerge w:val="continue"/>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29"/>
        </w:trPr>
        <w:tc>
          <w:tcPr>
            <w:tcW w:w="82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Reconciliation of net income to net cash provided by operating activities:</w:t>
            </w: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9"/>
        </w:trPr>
        <w:tc>
          <w:tcPr>
            <w:tcW w:w="826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Other non-cash</w:t>
            </w: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826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gridSpan w:val="5"/>
          </w:tcPr>
          <w:p>
            <w:pPr>
              <w:ind w:left="520"/>
              <w:spacing w:after="0"/>
              <w:rPr>
                <w:sz w:val="20"/>
                <w:szCs w:val="20"/>
                <w:color w:val="auto"/>
              </w:rPr>
            </w:pPr>
            <w:r>
              <w:rPr>
                <w:rFonts w:ascii="Times New Roman" w:cs="Times New Roman" w:eastAsia="Times New Roman" w:hAnsi="Times New Roman"/>
                <w:sz w:val="18"/>
                <w:szCs w:val="18"/>
                <w:color w:val="auto"/>
              </w:rPr>
              <w:t>Net cash flows provided by operating activities</w:t>
            </w: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09"/>
        </w:trPr>
        <w:tc>
          <w:tcPr>
            <w:tcW w:w="82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8260" w:type="dxa"/>
            <w:vAlign w:val="bottom"/>
            <w:gridSpan w:val="5"/>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Net cash flows used in investing activities</w:t>
            </w:r>
          </w:p>
        </w:tc>
        <w:tc>
          <w:tcPr>
            <w:tcW w:w="10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0"/>
        </w:trPr>
        <w:tc>
          <w:tcPr>
            <w:tcW w:w="82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6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 company note activity</w:t>
            </w:r>
          </w:p>
        </w:tc>
        <w:tc>
          <w:tcPr>
            <w:tcW w:w="10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gridSpan w:val="5"/>
          </w:tcPr>
          <w:p>
            <w:pPr>
              <w:ind w:left="520"/>
              <w:spacing w:after="0"/>
              <w:rPr>
                <w:sz w:val="20"/>
                <w:szCs w:val="20"/>
                <w:color w:val="auto"/>
              </w:rPr>
            </w:pPr>
            <w:r>
              <w:rPr>
                <w:rFonts w:ascii="Times New Roman" w:cs="Times New Roman" w:eastAsia="Times New Roman" w:hAnsi="Times New Roman"/>
                <w:sz w:val="18"/>
                <w:szCs w:val="18"/>
                <w:color w:val="auto"/>
              </w:rPr>
              <w:t>Net cash flows used in financing activities</w:t>
            </w: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23"/>
        </w:trPr>
        <w:tc>
          <w:tcPr>
            <w:tcW w:w="82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00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260" w:type="dxa"/>
            <w:vAlign w:val="bottom"/>
            <w:tcBorders>
              <w:top w:val="single" w:sz="8" w:color="CCEEFF"/>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00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gridSpan w:val="5"/>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2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INFORMATION:</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260" w:type="dxa"/>
            <w:vAlign w:val="bottom"/>
            <w:gridSpan w:val="5"/>
          </w:tcPr>
          <w:p>
            <w:pPr>
              <w:ind w:left="180"/>
              <w:spacing w:after="0" w:line="202" w:lineRule="exact"/>
              <w:rPr>
                <w:sz w:val="20"/>
                <w:szCs w:val="20"/>
                <w:color w:val="auto"/>
              </w:rPr>
            </w:pPr>
            <w:r>
              <w:rPr>
                <w:rFonts w:ascii="Times New Roman" w:cs="Times New Roman" w:eastAsia="Times New Roman" w:hAnsi="Times New Roman"/>
                <w:sz w:val="18"/>
                <w:szCs w:val="18"/>
                <w:color w:val="auto"/>
              </w:rPr>
              <w:t>Non-cash activity - Accrued capital expenditures</w:t>
            </w:r>
          </w:p>
        </w:tc>
        <w:tc>
          <w:tcPr>
            <w:tcW w:w="1000" w:type="dxa"/>
            <w:vAlign w:val="bottom"/>
            <w:tcBorders>
              <w:bottom w:val="single" w:sz="8" w:color="auto"/>
            </w:tcBorders>
          </w:tcPr>
          <w:p>
            <w:pPr>
              <w:jc w:val="right"/>
              <w:ind w:right="790"/>
              <w:spacing w:after="0" w:line="202"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7"/>
                <w:szCs w:val="17"/>
                <w:color w:val="auto"/>
              </w:rPr>
            </w:pPr>
          </w:p>
        </w:tc>
        <w:tc>
          <w:tcPr>
            <w:tcW w:w="960" w:type="dxa"/>
            <w:vAlign w:val="bottom"/>
            <w:tcBorders>
              <w:bottom w:val="single" w:sz="8" w:color="auto"/>
            </w:tcBorders>
          </w:tcPr>
          <w:p>
            <w:pPr>
              <w:jc w:val="right"/>
              <w:ind w:right="750"/>
              <w:spacing w:after="0" w:line="202"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260" w:type="dxa"/>
            <w:vAlign w:val="bottom"/>
            <w:tcBorders>
              <w:bottom w:val="single" w:sz="8" w:color="CCEEFF"/>
            </w:tcBorders>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PANHANDLE EASTERN PIPE LINE COMPANY,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dollar amounts are 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49" w:lineRule="exact"/>
        <w:rPr>
          <w:sz w:val="20"/>
          <w:szCs w:val="20"/>
          <w:color w:val="auto"/>
        </w:rPr>
      </w:pPr>
    </w:p>
    <w:p>
      <w:pPr>
        <w:ind w:left="340" w:right="6740" w:hanging="332"/>
        <w:spacing w:after="0" w:line="440" w:lineRule="auto"/>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ORGANIZATION AND BASIS OF PRESENTATION </w:t>
      </w:r>
      <w:r>
        <w:rPr>
          <w:rFonts w:ascii="Times New Roman" w:cs="Times New Roman" w:eastAsia="Times New Roman" w:hAnsi="Times New Roman"/>
          <w:sz w:val="18"/>
          <w:szCs w:val="18"/>
          <w:b w:val="1"/>
          <w:bCs w:val="1"/>
          <w:color w:val="auto"/>
        </w:rPr>
        <w:t>Organization</w:t>
      </w:r>
    </w:p>
    <w:p>
      <w:pPr>
        <w:spacing w:after="0" w:line="1"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PEPL and its subsidiaries primarily operates interstate pipelines that transport natural gas from the Gulf of Mexico, South Texas and the Panhandle region of Texas and Oklahoma to major United States markets in the Midwest and Great Lakes regions, as well as natural gas storage assets. These operations are subject to the rules and regulations of the FERC. PEPL’s subsidiaries are Trunkline, Sea Robin and Southwest Gas.</w:t>
      </w:r>
    </w:p>
    <w:p>
      <w:pPr>
        <w:spacing w:after="0" w:line="121"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Southern Union Panhandle LLC, an indirect wholly-owned subsidiary of Energy Transfer, owns a 1% general partner interest in PEPL, and Energy Transfer indirectly owns a 99% limited partner interest in PEPL.</w:t>
      </w:r>
    </w:p>
    <w:p>
      <w:pPr>
        <w:spacing w:after="0" w:line="103"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75"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unaudited financial information included in this Form 10-Q has been prepared on the same basis as the audited consolidated financial statements included in the Company’s Annual Report on Form 10-K for the year ended December 31, 2021. In the opinion of the Company’s management, such financial information reflects all adjustments necessary for a fair presentation of the financial position and the results of operations for such interim periods in accordance with GAAP. All intercompany items and transactions have been eliminated in consolidation. Certain information and footnote disclosures normally included in annual consolidated financial statements prepared in accordance with GAAP have been omitted pursuant to the rules and regulations of the SEC.</w:t>
      </w:r>
    </w:p>
    <w:p>
      <w:pPr>
        <w:spacing w:after="0" w:line="1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Estimates</w:t>
      </w:r>
    </w:p>
    <w:p>
      <w:pPr>
        <w:spacing w:after="0" w:line="175"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unaudited consolidated financial statements have been prepared in conformity with GAAP, which includes the use of estimates and assumptions made by management that affect the reported amounts of assets, liabilities, revenues, expenses and disclosure of contingent assets and liabilities that exist at the date of the consolidated financial statements. Although these estimates are based on management’s available knowledge of current and expected future events, actual results could be different from those estimates.</w:t>
      </w:r>
    </w:p>
    <w:p>
      <w:pPr>
        <w:spacing w:after="0" w:line="121"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RELATED PARTY TRANSACTIONS</w:t>
      </w:r>
    </w:p>
    <w:p>
      <w:pPr>
        <w:spacing w:after="0" w:line="17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provides a summary of the related party activity included in our consolidated statements of operations:</w:t>
      </w:r>
    </w:p>
    <w:p>
      <w:pPr>
        <w:spacing w:after="0" w:line="279"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7840" w:type="dxa"/>
            <w:vAlign w:val="bottom"/>
          </w:tcPr>
          <w:p>
            <w:pPr>
              <w:spacing w:after="0"/>
              <w:rPr>
                <w:sz w:val="18"/>
                <w:szCs w:val="18"/>
                <w:color w:val="auto"/>
              </w:rPr>
            </w:pPr>
          </w:p>
        </w:tc>
        <w:tc>
          <w:tcPr>
            <w:tcW w:w="2680" w:type="dxa"/>
            <w:vAlign w:val="bottom"/>
            <w:gridSpan w:val="4"/>
          </w:tcPr>
          <w:p>
            <w:pPr>
              <w:jc w:val="center"/>
              <w:ind w:left="27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380" w:type="dxa"/>
            <w:vAlign w:val="bottom"/>
          </w:tcPr>
          <w:p>
            <w:pPr>
              <w:spacing w:after="0"/>
              <w:rPr>
                <w:sz w:val="18"/>
                <w:szCs w:val="18"/>
                <w:color w:val="auto"/>
              </w:rPr>
            </w:pPr>
          </w:p>
        </w:tc>
      </w:tr>
      <w:tr>
        <w:trPr>
          <w:trHeight w:val="239"/>
        </w:trPr>
        <w:tc>
          <w:tcPr>
            <w:tcW w:w="784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center"/>
              <w:ind w:right="590"/>
              <w:spacing w:after="0"/>
              <w:rPr>
                <w:sz w:val="20"/>
                <w:szCs w:val="20"/>
                <w:color w:val="auto"/>
              </w:rPr>
            </w:pPr>
            <w:r>
              <w:rPr>
                <w:rFonts w:ascii="Times New Roman" w:cs="Times New Roman" w:eastAsia="Times New Roman" w:hAnsi="Times New Roman"/>
                <w:sz w:val="18"/>
                <w:szCs w:val="18"/>
                <w:color w:val="auto"/>
                <w:w w:val="99"/>
              </w:rPr>
              <w:t>March 31,</w:t>
            </w:r>
          </w:p>
        </w:tc>
        <w:tc>
          <w:tcPr>
            <w:tcW w:w="380" w:type="dxa"/>
            <w:vAlign w:val="bottom"/>
            <w:tcBorders>
              <w:bottom w:val="single" w:sz="8" w:color="auto"/>
            </w:tcBorders>
          </w:tcPr>
          <w:p>
            <w:pPr>
              <w:spacing w:after="0"/>
              <w:rPr>
                <w:sz w:val="20"/>
                <w:szCs w:val="20"/>
                <w:color w:val="auto"/>
              </w:rPr>
            </w:pPr>
          </w:p>
        </w:tc>
      </w:tr>
      <w:tr>
        <w:trPr>
          <w:trHeight w:val="227"/>
        </w:trPr>
        <w:tc>
          <w:tcPr>
            <w:tcW w:w="784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2021</w:t>
            </w:r>
          </w:p>
        </w:tc>
        <w:tc>
          <w:tcPr>
            <w:tcW w:w="380" w:type="dxa"/>
            <w:vAlign w:val="bottom"/>
            <w:tcBorders>
              <w:bottom w:val="single" w:sz="8" w:color="auto"/>
            </w:tcBorders>
          </w:tcPr>
          <w:p>
            <w:pPr>
              <w:spacing w:after="0"/>
              <w:rPr>
                <w:sz w:val="19"/>
                <w:szCs w:val="19"/>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and maintenance</w:t>
            </w: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4"/>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 related company</w:t>
            </w:r>
          </w:p>
        </w:tc>
        <w:tc>
          <w:tcPr>
            <w:tcW w:w="10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bl>
    <w:p>
      <w:pPr>
        <w:spacing w:after="0" w:line="152"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As of March 31, 2022 and December 31, 2021, the Company had $127 million and $221 million, respectively, outstanding under a note payable to its parent. The note payable accrues interest monthly with an annual interest rate of 4.90% as of March 31, 2022 and matures on July 31, 2027.</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FAIR VALUE MEASURES</w:t>
      </w:r>
    </w:p>
    <w:p>
      <w:pPr>
        <w:spacing w:after="0" w:line="175" w:lineRule="exact"/>
        <w:rPr>
          <w:rFonts w:ascii="Times New Roman" w:cs="Times New Roman" w:eastAsia="Times New Roman" w:hAnsi="Times New Roman"/>
          <w:sz w:val="18"/>
          <w:szCs w:val="18"/>
          <w:b w:val="1"/>
          <w:bCs w:val="1"/>
          <w:color w:val="auto"/>
        </w:rPr>
      </w:pPr>
    </w:p>
    <w:p>
      <w:pPr>
        <w:jc w:val="both"/>
        <w:ind w:left="34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March 31, 2022 and December 31, 2021, other non-current assets included $37 million and $39 million, respectively, of investments carried at fair value. At March 31, 2022, $24 million in equity securities were valued at Level 1 and $13 million in fixed income securities were valued at Level 2. At December 31, 2021, $26 million in equity securities were valued at Level 1 and $13 million in fixed income securities were valued at Level 2. During the three months ended March 31, 2022 and 2021, the Company recognized $2 million in unrealized losses and $2 million in unrealized gains, respectively, on equity securities. Unrealized gains and losses on equity securities are reflected in other, net in our consolidated statements of operations. The carrying amounts of cash and cash equivalents, accounts receivable and accounts payable approximate fair value. Based on the estimated borrowing rates currently available to the Company and its subsidiaries for loans with similar terms and average maturities, the aggregate fair value of the Company’s consolidated debt obligations (excluding related company balances) was $243 million and $253 million at March 31, 2022 and December 31, 2021, respectively. The fair value of the Company’s consolidated debt obligations is a Level 2 valuation based on the observable inputs used for similar liabilities. The Company did not have any Level 3 instruments measured at fair value at March 31, 2022 or December 31, 2021, and there were no transfers between hierarchy levels during the periods presented.</w:t>
      </w:r>
    </w:p>
    <w:p>
      <w:pPr>
        <w:spacing w:after="0" w:line="133" w:lineRule="exact"/>
        <w:rPr>
          <w:rFonts w:ascii="Times New Roman" w:cs="Times New Roman" w:eastAsia="Times New Roman" w:hAnsi="Times New Roman"/>
          <w:sz w:val="18"/>
          <w:szCs w:val="18"/>
          <w:b w:val="1"/>
          <w:bCs w:val="1"/>
          <w:color w:val="auto"/>
        </w:rPr>
      </w:pPr>
    </w:p>
    <w:p>
      <w:pPr>
        <w:ind w:left="340" w:right="2300" w:hanging="332"/>
        <w:spacing w:after="0" w:line="440" w:lineRule="auto"/>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REGULATORY MATTERS, COMMITMENTS, CONTINGENCIES AND ENVIRONMENTAL LIABILITIES </w:t>
      </w:r>
      <w:r>
        <w:rPr>
          <w:rFonts w:ascii="Times New Roman" w:cs="Times New Roman" w:eastAsia="Times New Roman" w:hAnsi="Times New Roman"/>
          <w:sz w:val="18"/>
          <w:szCs w:val="18"/>
          <w:b w:val="1"/>
          <w:bCs w:val="1"/>
          <w:color w:val="auto"/>
        </w:rPr>
        <w:t>Contingent Residual Support Agreement with ET</w:t>
      </w:r>
    </w:p>
    <w:p>
      <w:pPr>
        <w:spacing w:after="0" w:line="1"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a contingent residual support agreement with Energy Transfer and Citrus ETP Finance LLC, the Company provides contingent, residual support to Citrus ETP Finance LLC (on a non-recourse basis to the Company) with respect to Citrus ETP Finance LLC’s obligations to Energy Transfer to support the payment of certain ET senior notes. As of March 31, 2022, $1 billion in principal amount of such supported Energy Transfer senior notes remains outstanding.</w:t>
      </w:r>
    </w:p>
    <w:p>
      <w:pPr>
        <w:spacing w:after="0" w:line="12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FERC Proceedings</w:t>
      </w:r>
    </w:p>
    <w:p>
      <w:pPr>
        <w:spacing w:after="0" w:line="175"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the Order issued January 16, 2019, the FERC initiated a review of PEPL’s existing rates pursuant to Section 5 of the NGA to determine whether the rates currently charged by PEPL are just and reasonable and set the matter for hearing. On August 30, 2019, PEPL filed a general rate proceeding under Section 4 of the NGA. The NGA Section 5 and Section 4 proceedings were consolidated by order of the Chief Judge on October 1, 2019. A hearing in the combined proceedings commenced on August 25, 2020 and adjourned on September 15, 2020. The initial decision by the administrative law judge was issued on March 26, 2021. On April 26, 2021, PEPL filed its brief on exceptions to the initial decision. On May 17, 2021, PEPL filed its brief opposing exceptions in this proceeding. This matter remains pending before FERC.</w:t>
      </w:r>
    </w:p>
    <w:p>
      <w:pPr>
        <w:spacing w:after="0" w:line="1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Environmental Matters</w:t>
      </w:r>
    </w:p>
    <w:p>
      <w:pPr>
        <w:spacing w:after="0" w:line="175" w:lineRule="exact"/>
        <w:rPr>
          <w:rFonts w:ascii="Times New Roman" w:cs="Times New Roman" w:eastAsia="Times New Roman" w:hAnsi="Times New Roman"/>
          <w:sz w:val="18"/>
          <w:szCs w:val="18"/>
          <w:b w:val="1"/>
          <w:bCs w:val="1"/>
          <w:color w:val="auto"/>
        </w:rPr>
      </w:pPr>
    </w:p>
    <w:p>
      <w:pPr>
        <w:jc w:val="both"/>
        <w:ind w:left="3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operations are subject to federal, state and local laws, rules and regulations regarding water quality, hazardous and solid waste management, air quality control and other environmental matters. These laws, rules and regulations require the Company to conduct its operations in a specified manner and to obtain and comply with a wide variety of environmental regulations, licenses, permits, inspections and other approvals. Failure to comply with environmental laws, rules and regulations may expose the Company to significant fines, penalties and/or interruptions in operations. The Company’s environmental policies and procedures are designed to achieve compliance with such applicable laws and regulations. These evolving laws and regulations and claims for damages to property, employees, other persons and the environment resulting from current or past operations may result in significant expenditures and liabilities in the future. The Company engages in a process of updating and revising its procedures for the ongoing evaluation of its operations to identify potential environmental exposures and enhance compliance with regulatory requirements.</w:t>
      </w:r>
    </w:p>
    <w:p>
      <w:pPr>
        <w:spacing w:after="0" w:line="134" w:lineRule="exact"/>
        <w:rPr>
          <w:rFonts w:ascii="Times New Roman" w:cs="Times New Roman" w:eastAsia="Times New Roman" w:hAnsi="Times New Roman"/>
          <w:sz w:val="18"/>
          <w:szCs w:val="18"/>
          <w:b w:val="1"/>
          <w:bCs w:val="1"/>
          <w:color w:val="auto"/>
        </w:rPr>
      </w:pPr>
    </w:p>
    <w:p>
      <w:pPr>
        <w:jc w:val="both"/>
        <w:ind w:left="3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responsible for environmental remediation at certain sites on its natural gas transmission systems for contamination resulting from the past use of lubricants containing polychlorinated biphenyls (“PCBs”) in compressed air systems; the past use of paints containing PCBs; and the prior use of wastewater collection facilities and other on-site disposal areas. The Company has implemented a program to remediate such contamination. The primary remaining remediation activity on the Company’s systems is associated with past use of paints containing PCBs or PCB impacts to equipment surfaces and to a building at one location. The PCB assessments are ongoing and the related estimated remediation costs are subject to further change. Other remediation typically involves the management of contaminated soils and may involve remediation of groundwater. Activities vary with site conditions and locations, the extent and nature of the contamination, remedial requirements, complexity and sharing of responsibility. The ultimate liability and total costs associated with these sites will depend upon many factors. If remediation activities involve statutory joint and several liability provisions, strict liability, or cost recovery or contribution actions, the Company could potentially be held</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responsible for contamination caused by other parties. In some instances, the Company may share liability associated with contamination with other potentially responsible parties. The Company may also benefit from contractual indemnities that cover some or all of the cleanup costs. These sites are generally managed in the normal course of business or operations.</w:t>
      </w:r>
    </w:p>
    <w:p>
      <w:pPr>
        <w:spacing w:after="0" w:line="122"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Company’s environmental remediation activities are undertaken in cooperation with and under the oversight of appropriate regulatory agencies, enabling the Company under certain circumstances to take advantage of various voluntary cleanup programs in order to perform the remediation in the most effective and efficient manner.</w:t>
      </w:r>
    </w:p>
    <w:p>
      <w:pPr>
        <w:spacing w:after="0" w:line="122"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Company had accrued $1 million in non-current liabilities as of March 31, 2022 and December 31, 2021 to cover environmental remediation actions where management believes a loss is probable and reasonably estimable. The Company is not able to estimate the possible loss or range of loss in excess of amounts accrued. The Company does not have any material environmental remediation matters assessed as reasonably possible.</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Liabilities for Litigation and Other Claims</w:t>
      </w:r>
    </w:p>
    <w:p>
      <w:pPr>
        <w:spacing w:after="0" w:line="175"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The Company records accrued liabilities for litigation and other claim costs when management believes a loss is probable and reasonably estimable. When management believes there is at least a reasonable possibility that a material loss or an additional material loss may have been incurred, the Company discloses (i) an estimate of the possible loss or range of loss in excess of the amount accrued; or (ii) a statement that such an estimate cannot be made. As of March 31, 2022 and December 31, 2021, the Company had accrued liabilities for litigation and other contingencies of $92 million and $73 million, respectively, included in other non-current liabilities on the consolidated balance sheets. The Company does not have any material litigation or other claim contingency matters assessed as probable or reasonably possible that would require disclosure in the financial statements.</w:t>
      </w: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Other Commitments and Contingencies</w:t>
      </w:r>
    </w:p>
    <w:p>
      <w:pPr>
        <w:spacing w:after="0" w:line="175"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Company is subject to the laws and regulations of states and other jurisdictions concerning the identification, reporting and escheatment (the transfer of property to the state) of unclaimed or abandoned funds, and is subject to audit and examination for compliance with these requirements. The Company is currently being examined by a third party auditor on behalf of nine states for compliance with unclaimed property laws.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w:t>
      </w:r>
    </w:p>
    <w:p>
      <w:pPr>
        <w:spacing w:after="0" w:line="3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AND RESULTS OF OPERATIONS</w:t>
      </w:r>
    </w:p>
    <w:p>
      <w:pPr>
        <w:spacing w:after="0" w:line="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(Tabular dollar amounts are in millions)</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Item 2 has been prepared pursuant to the reduced disclosure format permitted by General Instruction H to Form 10-Q. Accordingly, this Item 2 includes only management’s narrative analysis of the results of operations and should be read in conjunction with (i) our historical consolidated financial statements and accompanying notes thereto included elsewhere in this Quarterly Report on Form 10-Q and (ii) our Annual Report on Form 10-K for the year ended December 31, 2021 filed with the SEC on February 18, 2022.</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459"/>
        </w:trPr>
        <w:tc>
          <w:tcPr>
            <w:tcW w:w="8260" w:type="dxa"/>
            <w:vAlign w:val="bottom"/>
          </w:tcPr>
          <w:p>
            <w:pPr>
              <w:spacing w:after="0"/>
              <w:rPr>
                <w:sz w:val="24"/>
                <w:szCs w:val="24"/>
                <w:color w:val="auto"/>
              </w:rPr>
            </w:pPr>
          </w:p>
        </w:tc>
        <w:tc>
          <w:tcPr>
            <w:tcW w:w="254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color w:val="auto"/>
              </w:rPr>
              <w:t>Three Months Ended</w:t>
            </w:r>
          </w:p>
        </w:tc>
        <w:tc>
          <w:tcPr>
            <w:tcW w:w="440" w:type="dxa"/>
            <w:vAlign w:val="bottom"/>
          </w:tcPr>
          <w:p>
            <w:pPr>
              <w:spacing w:after="0"/>
              <w:rPr>
                <w:sz w:val="24"/>
                <w:szCs w:val="24"/>
                <w:color w:val="auto"/>
              </w:rPr>
            </w:pPr>
          </w:p>
        </w:tc>
      </w:tr>
      <w:tr>
        <w:trPr>
          <w:trHeight w:val="239"/>
        </w:trPr>
        <w:tc>
          <w:tcPr>
            <w:tcW w:w="826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590"/>
              <w:spacing w:after="0"/>
              <w:rPr>
                <w:sz w:val="20"/>
                <w:szCs w:val="20"/>
                <w:color w:val="auto"/>
              </w:rPr>
            </w:pPr>
            <w:r>
              <w:rPr>
                <w:rFonts w:ascii="Times New Roman" w:cs="Times New Roman" w:eastAsia="Times New Roman" w:hAnsi="Times New Roman"/>
                <w:sz w:val="18"/>
                <w:szCs w:val="18"/>
                <w:color w:val="auto"/>
              </w:rPr>
              <w:t>March 31,</w:t>
            </w:r>
          </w:p>
        </w:tc>
        <w:tc>
          <w:tcPr>
            <w:tcW w:w="440" w:type="dxa"/>
            <w:vAlign w:val="bottom"/>
            <w:tcBorders>
              <w:bottom w:val="single" w:sz="8" w:color="auto"/>
            </w:tcBorders>
          </w:tcPr>
          <w:p>
            <w:pPr>
              <w:spacing w:after="0"/>
              <w:rPr>
                <w:sz w:val="20"/>
                <w:szCs w:val="20"/>
                <w:color w:val="auto"/>
              </w:rPr>
            </w:pPr>
          </w:p>
        </w:tc>
      </w:tr>
      <w:tr>
        <w:trPr>
          <w:trHeight w:val="227"/>
        </w:trPr>
        <w:tc>
          <w:tcPr>
            <w:tcW w:w="8260" w:type="dxa"/>
            <w:vAlign w:val="bottom"/>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c>
          <w:tcPr>
            <w:tcW w:w="440" w:type="dxa"/>
            <w:vAlign w:val="bottom"/>
            <w:tcBorders>
              <w:bottom w:val="single" w:sz="8" w:color="auto"/>
            </w:tcBorders>
          </w:tcPr>
          <w:p>
            <w:pPr>
              <w:spacing w:after="0"/>
              <w:rPr>
                <w:sz w:val="19"/>
                <w:szCs w:val="19"/>
                <w:color w:val="auto"/>
              </w:rPr>
            </w:pP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Transportation and storage of natural gas</w:t>
            </w:r>
          </w:p>
        </w:tc>
        <w:tc>
          <w:tcPr>
            <w:tcW w:w="10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Operational gas sales</w:t>
            </w:r>
          </w:p>
        </w:tc>
        <w:tc>
          <w:tcPr>
            <w:tcW w:w="100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82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operating revenues</w:t>
            </w: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and maintenance</w:t>
            </w: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3"/>
        </w:trPr>
        <w:tc>
          <w:tcPr>
            <w:tcW w:w="82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3"/>
        </w:trPr>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INCOME</w:t>
            </w: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 — related company</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29"/>
        </w:trPr>
        <w:tc>
          <w:tcPr>
            <w:tcW w:w="82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826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Borders>
              <w:bottom w:val="single" w:sz="8" w:color="auto"/>
            </w:tcBorders>
            <w:shd w:val="clear" w:color="auto" w:fill="CCEEFF"/>
          </w:tcPr>
          <w:p>
            <w:pPr>
              <w:jc w:val="right"/>
              <w:ind w:right="7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7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126</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Natural gas volumes transported (TBtu):</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r>
      <w:tr>
        <w:trPr>
          <w:trHeight w:val="230"/>
        </w:trPr>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PEPL</w:t>
            </w: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30"/>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Trunkline</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34"/>
        </w:trPr>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 Robin</w:t>
            </w:r>
          </w:p>
        </w:tc>
        <w:tc>
          <w:tcPr>
            <w:tcW w:w="10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bl>
    <w:p>
      <w:pPr>
        <w:spacing w:after="0" w:line="21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Transportation and storage of natural gas</w:t>
      </w:r>
      <w:r>
        <w:rPr>
          <w:rFonts w:ascii="Times New Roman" w:cs="Times New Roman" w:eastAsia="Times New Roman" w:hAnsi="Times New Roman"/>
          <w:sz w:val="18"/>
          <w:szCs w:val="18"/>
          <w:color w:val="auto"/>
        </w:rPr>
        <w:t>. Transportation and storage of natural gas decreased for the three months ended March 31, 2022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period in the prior year primarily due to to lower rates for capacity sold.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Operational gas sales</w:t>
      </w:r>
      <w:r>
        <w:rPr>
          <w:rFonts w:ascii="Times New Roman" w:cs="Times New Roman" w:eastAsia="Times New Roman" w:hAnsi="Times New Roman"/>
          <w:sz w:val="18"/>
          <w:szCs w:val="18"/>
          <w:color w:val="auto"/>
        </w:rPr>
        <w:t>. Operational gas sales for the three months ended March 31, 2021 were due to the impact of Winter Storm Uri in February 2021.</w:t>
      </w:r>
    </w:p>
    <w:p>
      <w:pPr>
        <w:spacing w:after="0" w:line="17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Operating and Maintenance. </w:t>
      </w:r>
      <w:r>
        <w:rPr>
          <w:rFonts w:ascii="Times New Roman" w:cs="Times New Roman" w:eastAsia="Times New Roman" w:hAnsi="Times New Roman"/>
          <w:sz w:val="18"/>
          <w:szCs w:val="18"/>
          <w:color w:val="auto"/>
        </w:rPr>
        <w:t>Operating and maintenance expenses increased for the three months ended March 31, 2022 compared to the same period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prior year primarily due to increased employee costs and higher direct costs due to level of activity and price increases.</w:t>
      </w:r>
    </w:p>
    <w:p>
      <w:pPr>
        <w:spacing w:after="0" w:line="10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Interest expense — related company</w:t>
      </w:r>
      <w:r>
        <w:rPr>
          <w:rFonts w:ascii="Times New Roman" w:cs="Times New Roman" w:eastAsia="Times New Roman" w:hAnsi="Times New Roman"/>
          <w:sz w:val="18"/>
          <w:szCs w:val="18"/>
          <w:color w:val="auto"/>
        </w:rPr>
        <w:t>. Interest expense — related company decreased for the three months ended March 31, 2022 compared to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in the prior year primarily due to lower average borrowings outstanding under a note payable due to the Company’s parent.</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Item 3, Quantitative and Qualitative Disclosures About Market Risk, has been omitted from this report pursuant to the reduced disclosure format permitted by General Instruction H to Form 10-Q.</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established disclosure controls and procedures to ensure that information required to be disclosed by us, including our consolidated entities, in the reports that we file or submit under the Exchange Act is recorded, processed, summarized and reported within the time periods specified in the SEC’s rules and forms.</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supervision and with the participation of senior management, including the Co-Chief Executive Officers and the Chief Financial Officer of our General Partner, we evaluated our disclosure controls and procedures, as such term is defined under Rule 13a–15(e) promulgated under the Exchange Act. Based on this evaluation, the Co-Chief Executive Officers and the Chief Financial Officer of our General Partner concluded that our disclosure controls and procedures were effective as of March 31, 2022 to ensure that information required to be disclosed by us in the reports we file or submit under the Exchange Act (1) is recorded, processed, summarized and reported within the time periods specified in the SEC’s rules and forms, and (2) is accumulated and communicated to management, including the Co-Chief Executive Officers and Chief Financial Officer of our General Partner, to allow timely decisions regarding required disclosure.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 13(a)-15(f) or Rule 15d-15(f) of the Exchange Act) during the three months ended March 31, 2022 that have materially affected, or are reasonably likely to materially affect, our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a party to or has property subject to litigation and other proceedings, including matters arising under provisions relating to the protection of the environment, as described in Note 4 in “Part I - Item 1. Financial Statements” in this Quarterly Report on Form 10-Q and in Note 8 in “Part II - Item 8. Financial Statements and Supplementary Data” in the Company’s Form 10-K for the year ended December 31, 2021.</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subject to federal and state requirements for the protection of the environment, including those for the discharge of hazardous materials and remediation of contaminated sites. As a result, the Company is a party to or has property subject to various other lawsuits or proceedings involving environmental protection matters. For information regarding these matters, see Note 4 in “Part I - Item 1. Financial Statements” in this Quarterly Report on Form 10-Q and Note 8 in “Part II - Item 8. Financial Statements and Supplementary Data” in the Company’s Form 10-K for the year ended December 31, 2021.</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risk factors described in “Part I - Item 1A. Risk Factors” in the Company’s Annual Report on Form 10-K for the year ended December 31, 2021 filed with the SEC on February 18, 2022.</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560" w:type="dxa"/>
            <w:vAlign w:val="bottom"/>
            <w:gridSpan w:val="7"/>
          </w:tcPr>
          <w:p>
            <w:pPr>
              <w:ind w:left="1140"/>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0" w:type="dxa"/>
            <w:vAlign w:val="bottom"/>
          </w:tcPr>
          <w:p>
            <w:pPr>
              <w:spacing w:after="0"/>
              <w:rPr>
                <w:sz w:val="1"/>
                <w:szCs w:val="1"/>
                <w:color w:val="auto"/>
              </w:rPr>
            </w:pPr>
          </w:p>
        </w:tc>
      </w:tr>
      <w:tr>
        <w:trPr>
          <w:trHeight w:val="378"/>
        </w:trPr>
        <w:tc>
          <w:tcPr>
            <w:tcW w:w="112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The exhibits listed below are filed or furnished, as indicated, as part of this report:</w:t>
            </w:r>
          </w:p>
        </w:tc>
        <w:tc>
          <w:tcPr>
            <w:tcW w:w="0" w:type="dxa"/>
            <w:vAlign w:val="bottom"/>
          </w:tcPr>
          <w:p>
            <w:pPr>
              <w:spacing w:after="0"/>
              <w:rPr>
                <w:sz w:val="1"/>
                <w:szCs w:val="1"/>
                <w:color w:val="auto"/>
              </w:rPr>
            </w:pPr>
          </w:p>
        </w:tc>
      </w:tr>
      <w:tr>
        <w:trPr>
          <w:trHeight w:val="459"/>
        </w:trPr>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0" w:type="dxa"/>
            <w:vAlign w:val="bottom"/>
          </w:tcPr>
          <w:p>
            <w:pPr>
              <w:spacing w:after="0"/>
              <w:rPr>
                <w:sz w:val="24"/>
                <w:szCs w:val="24"/>
                <w:color w:val="auto"/>
              </w:rPr>
            </w:pPr>
          </w:p>
        </w:tc>
        <w:tc>
          <w:tcPr>
            <w:tcW w:w="962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43"/>
        </w:trPr>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0" w:type="dxa"/>
            <w:vAlign w:val="bottom"/>
          </w:tcPr>
          <w:p>
            <w:pPr>
              <w:spacing w:after="0"/>
              <w:rPr>
                <w:sz w:val="21"/>
                <w:szCs w:val="21"/>
                <w:color w:val="auto"/>
              </w:rPr>
            </w:pPr>
          </w:p>
        </w:tc>
        <w:tc>
          <w:tcPr>
            <w:tcW w:w="9620" w:type="dxa"/>
            <w:vAlign w:val="bottom"/>
            <w:gridSpan w:val="9"/>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152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8"/>
              </w:rPr>
              <w:t>31.1*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620" w:type="dxa"/>
            <w:vAlign w:val="bottom"/>
            <w:tcBorders>
              <w:top w:val="single" w:sz="8" w:color="auto"/>
            </w:tcBorders>
            <w:gridSpan w:val="9"/>
          </w:tcPr>
          <w:p>
            <w:pPr>
              <w:spacing w:after="0" w:line="182" w:lineRule="exact"/>
              <w:rPr>
                <w:sz w:val="20"/>
                <w:szCs w:val="20"/>
                <w:color w:val="auto"/>
              </w:rPr>
            </w:pPr>
            <w:r>
              <w:rPr>
                <w:rFonts w:ascii="Times New Roman" w:cs="Times New Roman" w:eastAsia="Times New Roman" w:hAnsi="Times New Roman"/>
                <w:sz w:val="18"/>
                <w:szCs w:val="18"/>
                <w:color w:val="0000FF"/>
              </w:rPr>
              <w:t>Certification of Co-Chief Executive Officer pursuant to Rule 13a-14(a) or 15d-14(a) of the Securities Exchange Act of 1934</w:t>
            </w:r>
          </w:p>
        </w:tc>
        <w:tc>
          <w:tcPr>
            <w:tcW w:w="0" w:type="dxa"/>
            <w:vAlign w:val="bottom"/>
          </w:tcPr>
          <w:p>
            <w:pPr>
              <w:spacing w:after="0"/>
              <w:rPr>
                <w:sz w:val="1"/>
                <w:szCs w:val="1"/>
                <w:color w:val="auto"/>
              </w:rPr>
            </w:pPr>
          </w:p>
        </w:tc>
      </w:tr>
      <w:tr>
        <w:trPr>
          <w:trHeight w:val="155"/>
        </w:trPr>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40" w:type="dxa"/>
            <w:vAlign w:val="bottom"/>
            <w:tcBorders>
              <w:top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rPr>
              <w:t>pursuant to Section 302 of the Sarbanes-Oxley Act of 2002</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Co-Chief Executive Officer pursuant to Rule 13a-14(a) or 15d-14(a) of the Securities Exchange Act of 1934</w:t>
            </w:r>
          </w:p>
        </w:tc>
        <w:tc>
          <w:tcPr>
            <w:tcW w:w="0" w:type="dxa"/>
            <w:vAlign w:val="bottom"/>
          </w:tcPr>
          <w:p>
            <w:pPr>
              <w:spacing w:after="0"/>
              <w:rPr>
                <w:sz w:val="1"/>
                <w:szCs w:val="1"/>
                <w:color w:val="auto"/>
              </w:rPr>
            </w:pPr>
          </w:p>
        </w:tc>
      </w:tr>
      <w:tr>
        <w:trPr>
          <w:trHeight w:val="156"/>
        </w:trPr>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40" w:type="dxa"/>
            <w:vAlign w:val="bottom"/>
            <w:tcBorders>
              <w:top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rPr>
              <w:t>pursuant to Section 302 of the Sarbanes-Oxley Act of 2002</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 13a-14(a) or 15d-14(a) of the Securities Exchange Act of 1934 pursuant to</w:t>
            </w:r>
          </w:p>
        </w:tc>
        <w:tc>
          <w:tcPr>
            <w:tcW w:w="0" w:type="dxa"/>
            <w:vAlign w:val="bottom"/>
          </w:tcPr>
          <w:p>
            <w:pPr>
              <w:spacing w:after="0"/>
              <w:rPr>
                <w:sz w:val="1"/>
                <w:szCs w:val="1"/>
                <w:color w:val="auto"/>
              </w:rPr>
            </w:pPr>
          </w:p>
        </w:tc>
      </w:tr>
      <w:tr>
        <w:trPr>
          <w:trHeight w:val="156"/>
        </w:trPr>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20" w:type="dxa"/>
            <w:vAlign w:val="bottom"/>
            <w:tcBorders>
              <w:top w:val="single" w:sz="8" w:color="0000FF"/>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99"/>
              </w:rPr>
              <w:t>Section 302 of the Sarbanes-Oxley Act of 2002</w:t>
            </w:r>
          </w:p>
        </w:tc>
        <w:tc>
          <w:tcPr>
            <w:tcW w:w="614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Co-Chief Executive Officer pursuant to 18 U.S.C. Section 1350, as adopted pursuant to Section 906 of the</w:t>
            </w:r>
          </w:p>
        </w:tc>
        <w:tc>
          <w:tcPr>
            <w:tcW w:w="0" w:type="dxa"/>
            <w:vAlign w:val="bottom"/>
          </w:tcPr>
          <w:p>
            <w:pPr>
              <w:spacing w:after="0"/>
              <w:rPr>
                <w:sz w:val="1"/>
                <w:szCs w:val="1"/>
                <w:color w:val="auto"/>
              </w:rPr>
            </w:pPr>
          </w:p>
        </w:tc>
      </w:tr>
      <w:tr>
        <w:trPr>
          <w:trHeight w:val="155"/>
        </w:trPr>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6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752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Co-Chief Executive Officer pursuant to 18 U.S.C. Section 1350, as adopted pursuant to Section 906 of the</w:t>
            </w:r>
          </w:p>
        </w:tc>
        <w:tc>
          <w:tcPr>
            <w:tcW w:w="0" w:type="dxa"/>
            <w:vAlign w:val="bottom"/>
          </w:tcPr>
          <w:p>
            <w:pPr>
              <w:spacing w:after="0"/>
              <w:rPr>
                <w:sz w:val="1"/>
                <w:szCs w:val="1"/>
                <w:color w:val="auto"/>
              </w:rPr>
            </w:pPr>
          </w:p>
        </w:tc>
      </w:tr>
      <w:tr>
        <w:trPr>
          <w:trHeight w:val="155"/>
        </w:trPr>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6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752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 of the Sarbanes-</w:t>
            </w:r>
          </w:p>
        </w:tc>
        <w:tc>
          <w:tcPr>
            <w:tcW w:w="0" w:type="dxa"/>
            <w:vAlign w:val="bottom"/>
          </w:tcPr>
          <w:p>
            <w:pPr>
              <w:spacing w:after="0"/>
              <w:rPr>
                <w:sz w:val="1"/>
                <w:szCs w:val="1"/>
                <w:color w:val="auto"/>
              </w:rPr>
            </w:pPr>
          </w:p>
        </w:tc>
      </w:tr>
      <w:tr>
        <w:trPr>
          <w:trHeight w:val="156"/>
        </w:trPr>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824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Interactive data files pursuant to Rule 405 of Regulation S-T: (i) our Consolidated Balance Sheets; (ii) our Consolidated Statements</w:t>
            </w:r>
          </w:p>
        </w:tc>
        <w:tc>
          <w:tcPr>
            <w:tcW w:w="0" w:type="dxa"/>
            <w:vAlign w:val="bottom"/>
          </w:tcPr>
          <w:p>
            <w:pPr>
              <w:spacing w:after="0"/>
              <w:rPr>
                <w:sz w:val="1"/>
                <w:szCs w:val="1"/>
                <w:color w:val="auto"/>
              </w:rPr>
            </w:pPr>
          </w:p>
        </w:tc>
      </w:tr>
      <w:tr>
        <w:trPr>
          <w:trHeight w:val="180"/>
        </w:trPr>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20" w:type="dxa"/>
            <w:vAlign w:val="bottom"/>
            <w:gridSpan w:val="9"/>
          </w:tcPr>
          <w:p>
            <w:pPr>
              <w:spacing w:after="0" w:line="181" w:lineRule="exact"/>
              <w:rPr>
                <w:sz w:val="20"/>
                <w:szCs w:val="20"/>
                <w:color w:val="auto"/>
              </w:rPr>
            </w:pPr>
            <w:r>
              <w:rPr>
                <w:rFonts w:ascii="Times New Roman" w:cs="Times New Roman" w:eastAsia="Times New Roman" w:hAnsi="Times New Roman"/>
                <w:sz w:val="18"/>
                <w:szCs w:val="18"/>
                <w:color w:val="auto"/>
              </w:rPr>
              <w:t>of Operations and Comprehensive Income; (iii) our Consolidated Statements of Partners’ Capital; (iv) our Consolidated Statements</w:t>
            </w:r>
          </w:p>
        </w:tc>
        <w:tc>
          <w:tcPr>
            <w:tcW w:w="0" w:type="dxa"/>
            <w:vAlign w:val="bottom"/>
          </w:tcPr>
          <w:p>
            <w:pPr>
              <w:spacing w:after="0"/>
              <w:rPr>
                <w:sz w:val="1"/>
                <w:szCs w:val="1"/>
                <w:color w:val="auto"/>
              </w:rPr>
            </w:pPr>
          </w:p>
        </w:tc>
      </w:tr>
      <w:tr>
        <w:trPr>
          <w:trHeight w:val="234"/>
        </w:trPr>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of Cash Flows; and (v) the notes to our Consolidated Financial Statements</w:t>
            </w:r>
          </w:p>
        </w:tc>
        <w:tc>
          <w:tcPr>
            <w:tcW w:w="0" w:type="dxa"/>
            <w:vAlign w:val="bottom"/>
          </w:tcPr>
          <w:p>
            <w:pPr>
              <w:spacing w:after="0"/>
              <w:rPr>
                <w:sz w:val="1"/>
                <w:szCs w:val="1"/>
                <w:color w:val="auto"/>
              </w:rPr>
            </w:pPr>
          </w:p>
        </w:tc>
      </w:tr>
      <w:tr>
        <w:trPr>
          <w:trHeight w:val="265"/>
        </w:trPr>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ind w:left="1640" w:hanging="921"/>
        <w:spacing w:after="0"/>
        <w:tabs>
          <w:tab w:leader="none" w:pos="1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3" w:lineRule="exact"/>
        <w:rPr>
          <w:sz w:val="20"/>
          <w:szCs w:val="20"/>
          <w:color w:val="auto"/>
        </w:rPr>
      </w:pPr>
    </w:p>
    <w:p>
      <w:pPr>
        <w:ind w:left="1640" w:hanging="966"/>
        <w:spacing w:after="0"/>
        <w:tabs>
          <w:tab w:leader="none" w:pos="1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Panhandle Eastern Pipe Line Company, LP has duly caused this report to be signed on its behalf by the undersigned thereunto duly authorized.</w:t>
      </w:r>
    </w:p>
    <w:p>
      <w:pPr>
        <w:spacing w:after="0" w:line="24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u w:val="single" w:color="auto"/>
          <w:color w:val="auto"/>
        </w:rPr>
        <w:t>PANHANDLE EASTERN PIPE LINE COMPANY,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24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2022</w:t>
            </w:r>
          </w:p>
        </w:tc>
        <w:tc>
          <w:tcPr>
            <w:tcW w:w="784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By:  /s/ A. Troy Sturrock</w:t>
            </w:r>
          </w:p>
        </w:tc>
      </w:tr>
      <w:tr>
        <w:trPr>
          <w:trHeight w:val="218"/>
        </w:trPr>
        <w:tc>
          <w:tcPr>
            <w:tcW w:w="3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 Troy Sturrock</w:t>
            </w:r>
          </w:p>
        </w:tc>
      </w:tr>
      <w:tr>
        <w:trPr>
          <w:trHeight w:val="180"/>
        </w:trPr>
        <w:tc>
          <w:tcPr>
            <w:tcW w:w="31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56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Vice President and Controller (duly authorized to sign on behalf of the</w:t>
            </w:r>
          </w:p>
        </w:tc>
      </w:tr>
      <w:tr>
        <w:trPr>
          <w:trHeight w:val="234"/>
        </w:trPr>
        <w:tc>
          <w:tcPr>
            <w:tcW w:w="31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913"/>
        </w:trPr>
        <w:tc>
          <w:tcPr>
            <w:tcW w:w="3120" w:type="dxa"/>
            <w:vAlign w:val="bottom"/>
          </w:tcPr>
          <w:p>
            <w:pPr>
              <w:spacing w:after="0"/>
              <w:rPr>
                <w:sz w:val="24"/>
                <w:szCs w:val="24"/>
                <w:color w:val="auto"/>
              </w:rPr>
            </w:pPr>
          </w:p>
        </w:tc>
        <w:tc>
          <w:tcPr>
            <w:tcW w:w="784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14</w:t>
            </w:r>
          </w:p>
        </w:tc>
      </w:tr>
    </w:tbl>
    <w:p>
      <w:pPr>
        <w:sectPr>
          <w:pgSz w:w="11900" w:h="16838" w:orient="portrait"/>
          <w:cols w:equalWidth="0" w:num="1">
            <w:col w:w="11240"/>
          </w:cols>
          <w:pgMar w:left="320" w:top="121" w:right="33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CO-CHIEF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Marshall S. McCrea, III, certify that:</w:t>
      </w:r>
    </w:p>
    <w:p>
      <w:pPr>
        <w:spacing w:after="0" w:line="171" w:lineRule="exact"/>
        <w:rPr>
          <w:sz w:val="20"/>
          <w:szCs w:val="20"/>
          <w:color w:val="auto"/>
        </w:rPr>
      </w:pPr>
    </w:p>
    <w:p>
      <w:pPr>
        <w:ind w:left="980" w:hanging="648"/>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Panhandle Eastern Pipe Line Company, LP (the “registrant”);</w:t>
      </w:r>
    </w:p>
    <w:p>
      <w:pPr>
        <w:spacing w:after="0" w:line="171"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1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1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620" w:hanging="640"/>
        <w:spacing w:after="0" w:line="282" w:lineRule="auto"/>
        <w:tabs>
          <w:tab w:leader="none" w:pos="161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620" w:hanging="640"/>
        <w:spacing w:after="0" w:line="282" w:lineRule="auto"/>
        <w:tabs>
          <w:tab w:leader="none" w:pos="16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5, 2022</w:t>
      </w:r>
    </w:p>
    <w:p>
      <w:pPr>
        <w:spacing w:after="0" w:line="185"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/s/ Marshall S. McCrea,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1805305</wp:posOffset>
            </wp:positionH>
            <wp:positionV relativeFrom="paragraph">
              <wp:posOffset>17145</wp:posOffset>
            </wp:positionV>
            <wp:extent cx="21513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51380" cy="8890"/>
                    </a:xfrm>
                    <a:prstGeom prst="rect">
                      <a:avLst/>
                    </a:prstGeom>
                    <a:noFill/>
                  </pic:spPr>
                </pic:pic>
              </a:graphicData>
            </a:graphic>
          </wp:anchor>
        </w:drawing>
      </w:r>
    </w:p>
    <w:p>
      <w:pPr>
        <w:spacing w:after="0" w:line="178"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Marshall S. McCrea, III</w:t>
      </w:r>
    </w:p>
    <w:p>
      <w:pPr>
        <w:spacing w:after="0" w:line="63"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Co-Chief Executive Officer</w:t>
      </w:r>
    </w:p>
    <w:p>
      <w:pPr>
        <w:sectPr>
          <w:pgSz w:w="11900" w:h="16838" w:orient="portrait"/>
          <w:cols w:equalWidth="0" w:num="1">
            <w:col w:w="11240"/>
          </w:cols>
          <w:pgMar w:left="320" w:top="981" w:right="33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CO-CHIEF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E. Long, certify that:</w:t>
      </w:r>
    </w:p>
    <w:p>
      <w:pPr>
        <w:spacing w:after="0" w:line="171" w:lineRule="exact"/>
        <w:rPr>
          <w:sz w:val="20"/>
          <w:szCs w:val="20"/>
          <w:color w:val="auto"/>
        </w:rPr>
      </w:pPr>
    </w:p>
    <w:p>
      <w:pPr>
        <w:ind w:left="980" w:hanging="648"/>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Panhandle Eastern Pipe Line Company, LP (the “registrant”);</w:t>
      </w:r>
    </w:p>
    <w:p>
      <w:pPr>
        <w:spacing w:after="0" w:line="171"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1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1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620" w:hanging="640"/>
        <w:spacing w:after="0" w:line="282" w:lineRule="auto"/>
        <w:tabs>
          <w:tab w:leader="none" w:pos="161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620" w:hanging="640"/>
        <w:spacing w:after="0" w:line="282" w:lineRule="auto"/>
        <w:tabs>
          <w:tab w:leader="none" w:pos="16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5, 2022</w:t>
      </w:r>
    </w:p>
    <w:p>
      <w:pPr>
        <w:spacing w:after="0" w:line="185"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/s/ Thomas E.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1805305</wp:posOffset>
            </wp:positionH>
            <wp:positionV relativeFrom="paragraph">
              <wp:posOffset>17145</wp:posOffset>
            </wp:positionV>
            <wp:extent cx="21513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51380" cy="8890"/>
                    </a:xfrm>
                    <a:prstGeom prst="rect">
                      <a:avLst/>
                    </a:prstGeom>
                    <a:noFill/>
                  </pic:spPr>
                </pic:pic>
              </a:graphicData>
            </a:graphic>
          </wp:anchor>
        </w:drawing>
      </w:r>
    </w:p>
    <w:p>
      <w:pPr>
        <w:spacing w:after="0" w:line="178"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Thomas E. Long</w:t>
      </w:r>
    </w:p>
    <w:p>
      <w:pPr>
        <w:spacing w:after="0" w:line="63"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Co-Chief Executive Officer</w:t>
      </w:r>
    </w:p>
    <w:p>
      <w:pPr>
        <w:sectPr>
          <w:pgSz w:w="11900" w:h="16838" w:orient="portrait"/>
          <w:cols w:equalWidth="0" w:num="1">
            <w:col w:w="11240"/>
          </w:cols>
          <w:pgMar w:left="320" w:top="981" w:right="33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Bradford D. Whitehurst, certify that:</w:t>
      </w:r>
    </w:p>
    <w:p>
      <w:pPr>
        <w:spacing w:after="0" w:line="171" w:lineRule="exact"/>
        <w:rPr>
          <w:sz w:val="20"/>
          <w:szCs w:val="20"/>
          <w:color w:val="auto"/>
        </w:rPr>
      </w:pPr>
    </w:p>
    <w:p>
      <w:pPr>
        <w:ind w:left="980" w:hanging="648"/>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Panhandle Eastern Pipe Line Company, LP (the “registrant”);</w:t>
      </w:r>
    </w:p>
    <w:p>
      <w:pPr>
        <w:spacing w:after="0" w:line="171"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1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1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620" w:hanging="640"/>
        <w:spacing w:after="0" w:line="282" w:lineRule="auto"/>
        <w:tabs>
          <w:tab w:leader="none" w:pos="161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620" w:hanging="640"/>
        <w:spacing w:after="0" w:line="282" w:lineRule="auto"/>
        <w:tabs>
          <w:tab w:leader="none" w:pos="16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5, 2022</w:t>
      </w:r>
    </w:p>
    <w:p>
      <w:pPr>
        <w:spacing w:after="0" w:line="185"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/s/ Bradford D. Whitehurst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1805305</wp:posOffset>
            </wp:positionH>
            <wp:positionV relativeFrom="paragraph">
              <wp:posOffset>17145</wp:posOffset>
            </wp:positionV>
            <wp:extent cx="21513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178"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Bradford D. Whitehurst</w:t>
      </w:r>
    </w:p>
    <w:p>
      <w:pPr>
        <w:spacing w:after="0" w:line="63"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981" w:right="33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Panhandle Eastern Pipe Line Company, LP (the “Company”) on Form 10-Q for the quarter ended March 31, 2022, as filed with the Securities and Exchange Commission on the date hereof (the “Report”), I, Marshall S. McCrea, III, Co-Chief Executive Officer, certify, pursuant to 18 U.S.C. Section 1350, as adopted pursuant to Section 906 of the Sarbanes-Oxley Act of 2002, that to the best of my knowledge:</w:t>
      </w:r>
    </w:p>
    <w:p>
      <w:pPr>
        <w:spacing w:after="0" w:line="122" w:lineRule="exact"/>
        <w:rPr>
          <w:sz w:val="20"/>
          <w:szCs w:val="20"/>
          <w:color w:val="auto"/>
        </w:rPr>
      </w:pPr>
    </w:p>
    <w:p>
      <w:pPr>
        <w:ind w:left="640" w:hanging="308"/>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right="140" w:firstLine="332"/>
        <w:spacing w:after="0" w:line="470" w:lineRule="auto"/>
        <w:tabs>
          <w:tab w:leader="none" w:pos="64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May 5, 2022</w:t>
      </w:r>
    </w:p>
    <w:p>
      <w:pPr>
        <w:spacing w:after="0" w:line="121"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/s/ Marshall S. McCrea,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1805305</wp:posOffset>
            </wp:positionH>
            <wp:positionV relativeFrom="paragraph">
              <wp:posOffset>17145</wp:posOffset>
            </wp:positionV>
            <wp:extent cx="21602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43"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Marshall S. McCrea, III</w:t>
      </w:r>
    </w:p>
    <w:p>
      <w:pPr>
        <w:spacing w:after="0" w:line="63"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Co-Chief Executive Officer</w:t>
      </w:r>
    </w:p>
    <w:p>
      <w:pPr>
        <w:spacing w:after="0" w:line="200" w:lineRule="exact"/>
        <w:rPr>
          <w:sz w:val="20"/>
          <w:szCs w:val="20"/>
          <w:color w:val="auto"/>
        </w:rPr>
      </w:pPr>
    </w:p>
    <w:p>
      <w:pPr>
        <w:spacing w:after="0" w:line="30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and will be retained by Panhandle Eastern Pipe Line Company, LP and furnished to the Securities and Exchange Commission upon request.</w:t>
      </w:r>
    </w:p>
    <w:p>
      <w:pPr>
        <w:sectPr>
          <w:pgSz w:w="11900" w:h="16838" w:orient="portrait"/>
          <w:cols w:equalWidth="0" w:num="1">
            <w:col w:w="11240"/>
          </w:cols>
          <w:pgMar w:left="320" w:top="981" w:right="33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Panhandle Eastern Pipe Line Company, LP (the “Company”) on Form 10-Q for the quarter ended March 31, 2022, as filed with the Securities and Exchange Commission on the date hereof (the “Report”), I, Thomas E. Long, Co-Chief Executive Officer, certify, pursuant to 18 U.S.C. Section 1350, as adopted pursuant to Section 906 of the Sarbanes-Oxley Act of 2002, that to the best of my knowledge:</w:t>
      </w:r>
    </w:p>
    <w:p>
      <w:pPr>
        <w:spacing w:after="0" w:line="122" w:lineRule="exact"/>
        <w:rPr>
          <w:sz w:val="20"/>
          <w:szCs w:val="20"/>
          <w:color w:val="auto"/>
        </w:rPr>
      </w:pPr>
    </w:p>
    <w:p>
      <w:pPr>
        <w:ind w:left="640" w:hanging="308"/>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right="140" w:firstLine="332"/>
        <w:spacing w:after="0" w:line="470" w:lineRule="auto"/>
        <w:tabs>
          <w:tab w:leader="none" w:pos="64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May 5, 2022</w:t>
      </w:r>
    </w:p>
    <w:p>
      <w:pPr>
        <w:spacing w:after="0" w:line="121"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/s/ Thomas E.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1805305</wp:posOffset>
            </wp:positionH>
            <wp:positionV relativeFrom="paragraph">
              <wp:posOffset>17145</wp:posOffset>
            </wp:positionV>
            <wp:extent cx="21602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43"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Thomas E. Long</w:t>
      </w:r>
    </w:p>
    <w:p>
      <w:pPr>
        <w:spacing w:after="0" w:line="63"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Co-Chief Executive Officer</w:t>
      </w:r>
    </w:p>
    <w:p>
      <w:pPr>
        <w:spacing w:after="0" w:line="200" w:lineRule="exact"/>
        <w:rPr>
          <w:sz w:val="20"/>
          <w:szCs w:val="20"/>
          <w:color w:val="auto"/>
        </w:rPr>
      </w:pPr>
    </w:p>
    <w:p>
      <w:pPr>
        <w:spacing w:after="0" w:line="30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and will be retained by Panhandle Eastern Pipe Line Company, LP and furnished to the Securities and Exchange Commission upon request.</w:t>
      </w:r>
    </w:p>
    <w:p>
      <w:pPr>
        <w:sectPr>
          <w:pgSz w:w="11900" w:h="16838" w:orient="portrait"/>
          <w:cols w:equalWidth="0" w:num="1">
            <w:col w:w="11240"/>
          </w:cols>
          <w:pgMar w:left="320" w:top="981" w:right="33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b w:val="1"/>
          <w:bCs w:val="1"/>
          <w:color w:val="auto"/>
        </w:rPr>
        <w:t>Exhibit 32.3</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Panhandle Eastern Pipe Line Company, LP (the “Company”) on Form 10-Q for the quarter ended March 31, 2022, as filed with the Securities and Exchange Commission on the date hereof (the “Report”), I, Bradford D. Whitehurst, Chief Financial Officer, certify, pursuant to 18 U.S.C. Section 1350, as adopted pursuant to Section 906 of the Sarbanes-Oxley Act of 2002, that to the best of my knowledge:</w:t>
      </w:r>
    </w:p>
    <w:p>
      <w:pPr>
        <w:spacing w:after="0" w:line="122" w:lineRule="exact"/>
        <w:rPr>
          <w:sz w:val="20"/>
          <w:szCs w:val="20"/>
          <w:color w:val="auto"/>
        </w:rPr>
      </w:pPr>
    </w:p>
    <w:p>
      <w:pPr>
        <w:ind w:left="640" w:hanging="308"/>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right="140" w:firstLine="332"/>
        <w:spacing w:after="0" w:line="470" w:lineRule="auto"/>
        <w:tabs>
          <w:tab w:leader="none" w:pos="64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May 5, 2022</w:t>
      </w:r>
    </w:p>
    <w:p>
      <w:pPr>
        <w:spacing w:after="0" w:line="121"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/s/ Bradford D. Whitehurst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1805305</wp:posOffset>
            </wp:positionH>
            <wp:positionV relativeFrom="paragraph">
              <wp:posOffset>17145</wp:posOffset>
            </wp:positionV>
            <wp:extent cx="21602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43"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Bradford D. Whitehurst</w:t>
      </w:r>
    </w:p>
    <w:p>
      <w:pPr>
        <w:spacing w:after="0" w:line="63"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30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and will be retained by Panhandle Eastern Pipe Line Company, LP and furnished to the Securities and Exchange Commission upon request.</w:t>
      </w:r>
    </w:p>
    <w:sectPr>
      <w:pgSz w:w="11900" w:h="16838" w:orient="portrait"/>
      <w:cols w:equalWidth="0" w:num="1">
        <w:col w:w="11240"/>
      </w:cols>
      <w:pgMar w:left="320" w:top="98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3"/>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decimal"/>
      <w:start w:val="1"/>
    </w:lvl>
    <w:lvl w:ilvl="1">
      <w:lvlJc w:val="left"/>
      <w:lvlText w:val="%2."/>
      <w:numFmt w:val="lowerLetter"/>
      <w:start w:val="1"/>
    </w:lvl>
  </w:abstractNum>
  <w:abstractNum w:abstractNumId="7">
    <w:nsid w:val="4DB127F8"/>
    <w:multiLevelType w:val="hybridMultilevel"/>
    <w:lvl w:ilvl="0">
      <w:lvlJc w:val="left"/>
      <w:lvlText w:val="%1."/>
      <w:numFmt w:val="decimal"/>
      <w:start w:val="1"/>
    </w:lvl>
    <w:lvl w:ilvl="1">
      <w:lvlJc w:val="left"/>
      <w:lvlText w:val="%2."/>
      <w:numFmt w:val="lowerLetter"/>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2022-05-05T10:46:03Z</dcterms:created>
  <dcterms:modified xsi:type="dcterms:W3CDTF">2022-05-05T10:46:03Z</dcterms:modified>
</cp:coreProperties>
</file>