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SemGroup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2381663A105</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1000" w:right="6219" w:hanging="620"/>
        <w:spacing w:after="0" w:line="30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Brookfield Public Securities Group LLC</w:t>
      </w:r>
    </w:p>
    <w:p>
      <w:pPr>
        <w:spacing w:after="0" w:line="362" w:lineRule="exact"/>
        <w:rPr>
          <w:rFonts w:ascii="Arial" w:cs="Arial" w:eastAsia="Arial" w:hAnsi="Arial"/>
          <w:sz w:val="17"/>
          <w:szCs w:val="17"/>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None</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None</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ind w:left="1000" w:right="6619" w:hanging="620"/>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Brookfield Asset Management Inc.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None</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None</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3" w:name="page4"/>
    <w:bookmarkEnd w:id="3"/>
    <w:p>
      <w:pPr>
        <w:ind w:left="1000" w:right="709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Partners Limited</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None</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None</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4" w:name="page5"/>
    <w:bookmarkEnd w:id="4"/>
    <w:tbl>
      <w:tblPr>
        <w:tblLayout w:type="fixed"/>
        <w:tblInd w:w="6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SemGroup Corporation</w:t>
            </w:r>
          </w:p>
        </w:tc>
        <w:tc>
          <w:tcPr>
            <w:tcW w:w="0" w:type="dxa"/>
            <w:vAlign w:val="bottom"/>
          </w:tcPr>
          <w:p>
            <w:pPr>
              <w:spacing w:after="0"/>
              <w:rPr>
                <w:sz w:val="1"/>
                <w:szCs w:val="1"/>
                <w:color w:val="auto"/>
              </w:rPr>
            </w:pPr>
          </w:p>
        </w:tc>
      </w:tr>
      <w:tr>
        <w:trPr>
          <w:trHeight w:val="54"/>
        </w:trPr>
        <w:tc>
          <w:tcPr>
            <w:tcW w:w="1400" w:type="dxa"/>
            <w:vAlign w:val="bottom"/>
            <w:vMerge w:val="restart"/>
          </w:tcPr>
          <w:p>
            <w:pPr>
              <w:spacing w:after="0"/>
              <w:rPr>
                <w:sz w:val="20"/>
                <w:szCs w:val="20"/>
                <w:color w:val="auto"/>
              </w:rPr>
            </w:pPr>
            <w:r>
              <w:rPr>
                <w:rFonts w:ascii="Arial" w:cs="Arial" w:eastAsia="Arial" w:hAnsi="Arial"/>
                <w:sz w:val="18"/>
                <w:szCs w:val="18"/>
                <w:color w:val="auto"/>
              </w:rPr>
              <w:t>Item 1(b)</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00" w:type="dxa"/>
            <w:vAlign w:val="bottom"/>
            <w:vMerge w:val="continue"/>
          </w:tcPr>
          <w:p>
            <w:pPr>
              <w:spacing w:after="0"/>
              <w:rPr>
                <w:sz w:val="21"/>
                <w:szCs w:val="21"/>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6120 South Yale Avenue</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Tulsa, OK 74136-4216</w:t>
            </w:r>
          </w:p>
        </w:tc>
        <w:tc>
          <w:tcPr>
            <w:tcW w:w="0" w:type="dxa"/>
            <w:vAlign w:val="bottom"/>
          </w:tcPr>
          <w:p>
            <w:pPr>
              <w:spacing w:after="0"/>
              <w:rPr>
                <w:sz w:val="1"/>
                <w:szCs w:val="1"/>
                <w:color w:val="auto"/>
              </w:rPr>
            </w:pPr>
          </w:p>
        </w:tc>
      </w:tr>
      <w:tr>
        <w:trPr>
          <w:trHeight w:val="54"/>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400" w:type="dxa"/>
            <w:vAlign w:val="bottom"/>
            <w:vMerge w:val="continue"/>
          </w:tcPr>
          <w:p>
            <w:pPr>
              <w:spacing w:after="0"/>
              <w:rPr>
                <w:sz w:val="24"/>
                <w:szCs w:val="24"/>
                <w:color w:val="auto"/>
              </w:rPr>
            </w:pPr>
          </w:p>
        </w:tc>
        <w:tc>
          <w:tcPr>
            <w:tcW w:w="9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2(a)</w:t>
            </w:r>
          </w:p>
        </w:tc>
        <w:tc>
          <w:tcPr>
            <w:tcW w:w="9960" w:type="dxa"/>
            <w:vAlign w:val="bottom"/>
          </w:tcPr>
          <w:p>
            <w:pPr>
              <w:ind w:left="40"/>
              <w:spacing w:after="0"/>
              <w:rPr>
                <w:sz w:val="20"/>
                <w:szCs w:val="20"/>
                <w:color w:val="auto"/>
              </w:rPr>
            </w:pPr>
            <w:r>
              <w:rPr>
                <w:rFonts w:ascii="Arial" w:cs="Arial" w:eastAsia="Arial" w:hAnsi="Arial"/>
                <w:sz w:val="18"/>
                <w:szCs w:val="18"/>
                <w:color w:val="auto"/>
              </w:rPr>
              <w:t>Name of Persons Filing:</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Brookfield Asset Management Inc. (“BAM”)</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Partners Limited</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Brookfield Public Securities Group LLC (“PSG”)</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(the “Reporting Persons”).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1" w:right="239" w:bottom="100" w:gutter="0" w:footer="0" w:header="0"/>
        </w:sect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2(c)</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2(d)</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2(e)</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*Attached as Exhibit A is a copy of an agreement among the Reporting Persons that this Schedule 13G is being filed on behalf of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6329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Address or Principal Business Office or, if none, Residence: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Brookfield Public Securities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Brookfield Place</w:t>
      </w:r>
    </w:p>
    <w:p>
      <w:pPr>
        <w:spacing w:after="0" w:line="205" w:lineRule="auto"/>
        <w:rPr>
          <w:sz w:val="20"/>
          <w:szCs w:val="20"/>
          <w:color w:val="auto"/>
        </w:rPr>
      </w:pPr>
      <w:r>
        <w:rPr>
          <w:rFonts w:ascii="Arial" w:cs="Arial" w:eastAsia="Arial" w:hAnsi="Arial"/>
          <w:sz w:val="18"/>
          <w:szCs w:val="18"/>
          <w:color w:val="auto"/>
        </w:rPr>
        <w:t>250 Vesey St.,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10281-1023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Partners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181 Bay Street, Suite 330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Canada, M5J 2T3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Brookfield Asset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181 Bay Street, Suite 330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Canada, M5J 2T3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4 of the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2381663A105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720"/>
            <w:col w:w="9920"/>
          </w:cols>
          <w:pgMar w:left="240" w:top="391" w:right="239" w:bottom="100" w:gutter="0" w:footer="0" w:header="0"/>
          <w:type w:val="continuous"/>
        </w:sectPr>
      </w:pPr>
    </w:p>
    <w:p>
      <w:pPr>
        <w:spacing w:after="0" w:line="22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020" w:right="160" w:hanging="1013"/>
        <w:spacing w:after="0" w:line="277" w:lineRule="auto"/>
        <w:tabs>
          <w:tab w:leader="none" w:pos="1507"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240.13d-1(b)(1)(ii)(J);</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color w:val="auto"/>
              </w:rPr>
              <w:t>k.</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auto"/>
              </w:rPr>
              <w:t>o</w:t>
            </w:r>
          </w:p>
        </w:tc>
        <w:tc>
          <w:tcPr>
            <w:tcW w:w="9400" w:type="dxa"/>
            <w:vAlign w:val="bottom"/>
          </w:tcPr>
          <w:p>
            <w:pPr>
              <w:ind w:left="220"/>
              <w:spacing w:after="0"/>
              <w:rPr>
                <w:sz w:val="20"/>
                <w:szCs w:val="20"/>
                <w:color w:val="auto"/>
              </w:rPr>
            </w:pPr>
            <w:r>
              <w:rPr>
                <w:rFonts w:ascii="Arial" w:cs="Arial" w:eastAsia="Arial" w:hAnsi="Arial"/>
                <w:sz w:val="18"/>
                <w:szCs w:val="18"/>
                <w:color w:val="auto"/>
                <w:w w:val="92"/>
              </w:rPr>
              <w:t>Group, in accordance with Rule 240.13d-1(b)(1)(ii)(K). If filing as a non-U.S. institution in accordance with Rule 240.13d-1(b)</w:t>
            </w:r>
          </w:p>
        </w:tc>
        <w:tc>
          <w:tcPr>
            <w:tcW w:w="0" w:type="dxa"/>
            <w:vAlign w:val="bottom"/>
          </w:tcPr>
          <w:p>
            <w:pPr>
              <w:spacing w:after="0"/>
              <w:rPr>
                <w:sz w:val="1"/>
                <w:szCs w:val="1"/>
                <w:color w:val="auto"/>
              </w:rPr>
            </w:pPr>
          </w:p>
        </w:tc>
      </w:tr>
      <w:tr>
        <w:trPr>
          <w:trHeight w:val="122"/>
        </w:trPr>
        <w:tc>
          <w:tcPr>
            <w:tcW w:w="3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9400" w:type="dxa"/>
            <w:vAlign w:val="bottom"/>
            <w:vMerge w:val="restart"/>
          </w:tcPr>
          <w:p>
            <w:pPr>
              <w:ind w:left="220"/>
              <w:spacing w:after="0"/>
              <w:rPr>
                <w:sz w:val="20"/>
                <w:szCs w:val="20"/>
                <w:color w:val="auto"/>
              </w:rPr>
            </w:pPr>
            <w:r>
              <w:rPr>
                <w:rFonts w:ascii="Arial" w:cs="Arial" w:eastAsia="Arial" w:hAnsi="Arial"/>
                <w:sz w:val="18"/>
                <w:szCs w:val="18"/>
                <w:color w:val="auto"/>
              </w:rPr>
              <w:t>(1)(ii)(J), please specify the type of institution:____________________________</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Brookfield Public Securities Group LLC is a registered investment adviser and Brookfield Asset Management Inc. and Partners Limited are parent holding companies or control persons.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1" w:right="239" w:bottom="100" w:gutter="0" w:footer="0" w:header="0"/>
          <w:type w:val="continuous"/>
        </w:sectPr>
      </w:pPr>
    </w:p>
    <w:bookmarkStart w:id="5" w:name="page6"/>
    <w:bookmarkEnd w:id="5"/>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57"/>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600" w:hanging="362"/>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600" w:hanging="357"/>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15"/>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hanging="440"/>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hanging="465"/>
        <w:spacing w:after="0"/>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8400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20" w:right="4780" w:hanging="454"/>
        <w:spacing w:after="0" w:line="412" w:lineRule="auto"/>
        <w:tabs>
          <w:tab w:leader="none" w:pos="2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Brookfield Asset Management Inc. (“BAM”) is the indirect owner of Brookfield Public Securities Group LLC (“PSG”), which is the investment adviser to various funds or accounts that are the record owners of the shares of Common Stock reported herein and, as a result, BAM may be deemed to beneficially own such shares.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Partners Limited is the sole owner of BAM’s Class B Limited Voting Shares and therefore may be deemed to share beneficial ownership of the shares of Common Stock reported herein.</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See exhibit 99.X</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6" w:name="page7"/>
    <w:bookmarkEnd w:id="6"/>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Brookfield Public Securities Group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T. Hourihan</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Brian T. Hourihan</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Compliance Officer and Regulatory Counsel</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Brookfield Asset Management Inc.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Diab</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Jessica Diab</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Senior Associate, Legal and Regulatory</w:t>
            </w: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Partners Limited</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Lawson</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Brian D. Lawson</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9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the signatories of the Statement on Schedule 13G to which this Joint Filing Agreement is attached, hereby agree that such statement is, and any amendments thereto filed by any of us will be, filed on behalf of each of us pursuant to and in accordance with Rule 13d-1(k)(1)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BROOKFIELD PUBLIC SECURITIES GROUP LLC</w:t>
      </w:r>
    </w:p>
    <w:p>
      <w:pPr>
        <w:spacing w:after="0" w:line="229"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tab/>
        <w:t>/s/ Brian T. Hourihan</w:t>
      </w:r>
    </w:p>
    <w:p>
      <w:pPr>
        <w:spacing w:after="0" w:line="23" w:lineRule="exact"/>
        <w:rPr>
          <w:sz w:val="20"/>
          <w:szCs w:val="20"/>
          <w:color w:val="auto"/>
        </w:rPr>
      </w:pPr>
    </w:p>
    <w:tbl>
      <w:tblPr>
        <w:tblLayout w:type="fixed"/>
        <w:tblInd w:w="62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Brian T. Hourihan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Chief Compliance Officer and Regulatory Counsel</w:t>
            </w:r>
          </w:p>
        </w:tc>
      </w:tr>
    </w:tbl>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BROOKFIELD ASSET MANAGEMENT INC.</w:t>
      </w:r>
    </w:p>
    <w:p>
      <w:pPr>
        <w:spacing w:after="0" w:line="229"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tab/>
        <w:t>/s/ Jessica Diab</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Jessica Diab</w:t>
            </w:r>
          </w:p>
        </w:tc>
        <w:tc>
          <w:tcPr>
            <w:tcW w:w="40" w:type="dxa"/>
            <w:vAlign w:val="bottom"/>
          </w:tcPr>
          <w:p>
            <w:pPr>
              <w:spacing w:after="0"/>
              <w:rPr>
                <w:sz w:val="16"/>
                <w:szCs w:val="16"/>
                <w:color w:val="auto"/>
              </w:rPr>
            </w:pPr>
          </w:p>
        </w:tc>
      </w:tr>
      <w:tr>
        <w:trPr>
          <w:trHeight w:val="230"/>
        </w:trPr>
        <w:tc>
          <w:tcPr>
            <w:tcW w:w="62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Senior Associate, Legal and Regulatory</w:t>
            </w:r>
          </w:p>
        </w:tc>
        <w:tc>
          <w:tcPr>
            <w:tcW w:w="40" w:type="dxa"/>
            <w:vAlign w:val="bottom"/>
          </w:tcPr>
          <w:p>
            <w:pPr>
              <w:spacing w:after="0"/>
              <w:rPr>
                <w:sz w:val="20"/>
                <w:szCs w:val="20"/>
                <w:color w:val="auto"/>
              </w:rPr>
            </w:pPr>
          </w:p>
        </w:tc>
      </w:tr>
      <w:tr>
        <w:trPr>
          <w:trHeight w:val="432"/>
        </w:trPr>
        <w:tc>
          <w:tcPr>
            <w:tcW w:w="11420" w:type="dxa"/>
            <w:vAlign w:val="bottom"/>
            <w:gridSpan w:val="3"/>
          </w:tcPr>
          <w:p>
            <w:pPr>
              <w:ind w:left="5820"/>
              <w:spacing w:after="0"/>
              <w:rPr>
                <w:sz w:val="20"/>
                <w:szCs w:val="20"/>
                <w:color w:val="auto"/>
              </w:rPr>
            </w:pPr>
            <w:r>
              <w:rPr>
                <w:rFonts w:ascii="Arial" w:cs="Arial" w:eastAsia="Arial" w:hAnsi="Arial"/>
                <w:sz w:val="18"/>
                <w:szCs w:val="18"/>
                <w:b w:val="1"/>
                <w:bCs w:val="1"/>
                <w:color w:val="auto"/>
              </w:rPr>
              <w:t>PARTNERS LIMITED</w:t>
            </w:r>
          </w:p>
        </w:tc>
        <w:tc>
          <w:tcPr>
            <w:tcW w:w="40" w:type="dxa"/>
            <w:vAlign w:val="bottom"/>
          </w:tcPr>
          <w:p>
            <w:pPr>
              <w:spacing w:after="0"/>
              <w:rPr>
                <w:sz w:val="24"/>
                <w:szCs w:val="24"/>
                <w:color w:val="auto"/>
              </w:rPr>
            </w:pPr>
          </w:p>
        </w:tc>
      </w:tr>
      <w:tr>
        <w:trPr>
          <w:trHeight w:val="432"/>
        </w:trPr>
        <w:tc>
          <w:tcPr>
            <w:tcW w:w="11420" w:type="dxa"/>
            <w:vAlign w:val="bottom"/>
            <w:gridSpan w:val="3"/>
          </w:tcPr>
          <w:p>
            <w:pPr>
              <w:ind w:left="5820"/>
              <w:spacing w:after="0"/>
              <w:rPr>
                <w:sz w:val="20"/>
                <w:szCs w:val="20"/>
                <w:color w:val="auto"/>
              </w:rPr>
            </w:pPr>
            <w:r>
              <w:rPr>
                <w:rFonts w:ascii="Arial" w:cs="Arial" w:eastAsia="Arial" w:hAnsi="Arial"/>
                <w:sz w:val="18"/>
                <w:szCs w:val="18"/>
                <w:color w:val="auto"/>
              </w:rPr>
              <w:t>By:  /s/ Brian D. Lawson</w:t>
            </w:r>
          </w:p>
        </w:tc>
        <w:tc>
          <w:tcPr>
            <w:tcW w:w="40" w:type="dxa"/>
            <w:vAlign w:val="bottom"/>
          </w:tcPr>
          <w:p>
            <w:pPr>
              <w:spacing w:after="0"/>
              <w:rPr>
                <w:sz w:val="24"/>
                <w:szCs w:val="24"/>
                <w:color w:val="auto"/>
              </w:rPr>
            </w:pPr>
          </w:p>
        </w:tc>
      </w:tr>
      <w:tr>
        <w:trPr>
          <w:trHeight w:val="195"/>
        </w:trPr>
        <w:tc>
          <w:tcPr>
            <w:tcW w:w="62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Brian D. Lawson</w:t>
            </w:r>
          </w:p>
        </w:tc>
        <w:tc>
          <w:tcPr>
            <w:tcW w:w="40" w:type="dxa"/>
            <w:vAlign w:val="bottom"/>
          </w:tcPr>
          <w:p>
            <w:pPr>
              <w:spacing w:after="0"/>
              <w:rPr>
                <w:sz w:val="16"/>
                <w:szCs w:val="16"/>
                <w:color w:val="auto"/>
              </w:rPr>
            </w:pPr>
          </w:p>
        </w:tc>
      </w:tr>
      <w:tr>
        <w:trPr>
          <w:trHeight w:val="230"/>
        </w:trPr>
        <w:tc>
          <w:tcPr>
            <w:tcW w:w="62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0"/>
                <w:szCs w:val="20"/>
                <w:color w:val="auto"/>
              </w:rPr>
            </w:pPr>
          </w:p>
        </w:tc>
      </w:tr>
      <w:tr>
        <w:trPr>
          <w:trHeight w:val="348"/>
        </w:trPr>
        <w:tc>
          <w:tcPr>
            <w:tcW w:w="6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 w:name="page9"/>
    <w:bookmarkEnd w:id="8"/>
    <w:p>
      <w:pPr>
        <w:ind w:left="10260"/>
        <w:spacing w:after="0"/>
        <w:rPr>
          <w:sz w:val="20"/>
          <w:szCs w:val="20"/>
          <w:color w:val="auto"/>
        </w:rPr>
      </w:pPr>
      <w:r>
        <w:rPr>
          <w:rFonts w:ascii="Arial" w:cs="Arial" w:eastAsia="Arial" w:hAnsi="Arial"/>
          <w:sz w:val="18"/>
          <w:szCs w:val="18"/>
          <w:b w:val="1"/>
          <w:bCs w:val="1"/>
          <w:color w:val="auto"/>
        </w:rPr>
        <w:t>EXHIBIT 99.X</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Brookfield Public Securities Group LLC, which is a subsidiary of Brookfield Asset Management Inc., is a registered investment adviser under Section 203 of the Investment Advisers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9"/>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2020-02-14T10:32:52Z</dcterms:created>
  <dcterms:modified xsi:type="dcterms:W3CDTF">2020-02-14T10:32:52Z</dcterms:modified>
</cp:coreProperties>
</file>