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5,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333-250128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 NO. 333-250128</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ENERGY TRANSFER OPERATING, L.P.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62"/>
              <w:spacing w:after="0"/>
              <w:rPr>
                <w:sz w:val="20"/>
                <w:szCs w:val="20"/>
                <w:color w:val="auto"/>
              </w:rPr>
            </w:pPr>
            <w:r>
              <w:rPr>
                <w:rFonts w:ascii="Arial" w:cs="Arial" w:eastAsia="Arial" w:hAnsi="Arial"/>
                <w:sz w:val="18"/>
                <w:szCs w:val="18"/>
                <w:b w:val="1"/>
                <w:bCs w:val="1"/>
                <w:color w:val="auto"/>
                <w:w w:val="91"/>
              </w:rPr>
              <w:t>73-1493906</w:t>
            </w:r>
          </w:p>
        </w:tc>
      </w:tr>
      <w:tr>
        <w:trPr>
          <w:trHeight w:val="148"/>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Westchester Drive, Suite 600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75225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 981-0700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Thomas E. Long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Energy Transfer Operating, 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Westchester Drive, Suite 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75225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 981-0700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William N. Finnegan IV</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Kevin M. Richardson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 Main Street, Suite 3700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546-5400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9" w:right="439" w:bottom="0" w:gutter="0" w:footer="0" w:header="0"/>
        </w:sectPr>
      </w:pPr>
    </w:p>
    <w:bookmarkStart w:id="1" w:name="page2"/>
    <w:bookmarkEnd w:id="1"/>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This Post-Effective Amendment relates to Registration Statement No. 333-250128 on Form S-3, filed by Energy Transfer Operating, L.P., a Delaware limited partnership (“</w:t>
      </w:r>
      <w:r>
        <w:rPr>
          <w:rFonts w:ascii="Arial" w:cs="Arial" w:eastAsia="Arial" w:hAnsi="Arial"/>
          <w:sz w:val="18"/>
          <w:szCs w:val="18"/>
          <w:u w:val="single" w:color="auto"/>
          <w:color w:val="auto"/>
        </w:rPr>
        <w:t>ETO</w:t>
      </w:r>
      <w:r>
        <w:rPr>
          <w:rFonts w:ascii="Arial" w:cs="Arial" w:eastAsia="Arial" w:hAnsi="Arial"/>
          <w:sz w:val="18"/>
          <w:szCs w:val="18"/>
          <w:color w:val="auto"/>
        </w:rPr>
        <w:t>”), with the Securities and Exchange Commission on November 16, 2020.</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On April 1, 2021, Energy Transfer LP, a Delaware limited partnership (“</w:t>
      </w:r>
      <w:r>
        <w:rPr>
          <w:rFonts w:ascii="Arial" w:cs="Arial" w:eastAsia="Arial" w:hAnsi="Arial"/>
          <w:sz w:val="18"/>
          <w:szCs w:val="18"/>
          <w:u w:val="single" w:color="auto"/>
          <w:color w:val="auto"/>
        </w:rPr>
        <w:t>ET</w:t>
      </w:r>
      <w:r>
        <w:rPr>
          <w:rFonts w:ascii="Arial" w:cs="Arial" w:eastAsia="Arial" w:hAnsi="Arial"/>
          <w:sz w:val="18"/>
          <w:szCs w:val="18"/>
          <w:color w:val="auto"/>
        </w:rPr>
        <w:t>”), completed an internal reorganization pursuant to the terms of the Agreement and Plan of Merger, dated as of March 5, 2021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among ET, ETO and ETO Merger Sub LLC, a Delaware limited liability company and a direct wholly owned subsidiary of ET (“</w:t>
      </w:r>
      <w:r>
        <w:rPr>
          <w:rFonts w:ascii="Arial" w:cs="Arial" w:eastAsia="Arial" w:hAnsi="Arial"/>
          <w:sz w:val="18"/>
          <w:szCs w:val="18"/>
          <w:u w:val="single" w:color="auto"/>
          <w:color w:val="auto"/>
        </w:rPr>
        <w:t>Merger Sub</w:t>
      </w:r>
      <w:r>
        <w:rPr>
          <w:rFonts w:ascii="Arial" w:cs="Arial" w:eastAsia="Arial" w:hAnsi="Arial"/>
          <w:sz w:val="18"/>
          <w:szCs w:val="18"/>
          <w:color w:val="auto"/>
        </w:rPr>
        <w:t>”). Under the terms of the Merger Agreement, ETO merged with and into Merger Sub, with ETO surviving the Merger as a wholly owned subsidiary of ET.</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connection with the consummation of the Merger, ETO has terminated all offerings of securities pursuant to the Registration Statement. In accordance with the undertakings made by ETO in the Registration Statement to remove from registration, by means of a post-effective amendment, any of the securities that had been registered for issuance that remain unsold at the termination of such offering, ETO hereby removes from registration all of such securities registered but unsold under the Registration Statements.</w:t>
      </w:r>
    </w:p>
    <w:p>
      <w:pPr>
        <w:sectPr>
          <w:pgSz w:w="11900" w:h="16838" w:orient="portrait"/>
          <w:cols w:equalWidth="0" w:num="1">
            <w:col w:w="11000"/>
          </w:cols>
          <w:pgMar w:left="440" w:top="270" w:right="45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this Post-Effective Amendment to the Registration Statement to be signed on its behalf by the undersigned, thereunto duly authorized, in the City of Dallas, State of Texas, on this 5</w:t>
      </w:r>
      <w:r>
        <w:rPr>
          <w:rFonts w:ascii="Arial" w:cs="Arial" w:eastAsia="Arial" w:hAnsi="Arial"/>
          <w:sz w:val="14"/>
          <w:szCs w:val="14"/>
          <w:color w:val="auto"/>
        </w:rPr>
        <w:t>th</w:t>
      </w:r>
      <w:r>
        <w:rPr>
          <w:rFonts w:ascii="Arial" w:cs="Arial" w:eastAsia="Arial" w:hAnsi="Arial"/>
          <w:sz w:val="17"/>
          <w:szCs w:val="17"/>
          <w:color w:val="auto"/>
        </w:rPr>
        <w:t xml:space="preserve"> day of April, 2021.</w:t>
      </w:r>
    </w:p>
    <w:p>
      <w:pPr>
        <w:spacing w:after="0" w:line="18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ENERGY TRANSFER OPERATING,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Energy Transfer Partners GP, L.P.,</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Energy Transfer Partners, L.L.C.,</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Thomas E. Long</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Co-Chief Executive Officer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other person is required to sign this Post-Effective Amendment in reliance upon Rule 478 under the Securities Act of 1933.</w:t>
      </w:r>
    </w:p>
    <w:sectPr>
      <w:pgSz w:w="11900" w:h="16838" w:orient="portrait"/>
      <w:cols w:equalWidth="0" w:num="1">
        <w:col w:w="10800"/>
      </w:cols>
      <w:pgMar w:left="440"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2021-04-05T16:09:44Z</dcterms:created>
  <dcterms:modified xsi:type="dcterms:W3CDTF">2021-04-05T16:09:44Z</dcterms:modified>
</cp:coreProperties>
</file>