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86469ds3dpos.htm"/>
        <w:bookmarkStart w:id="1" w:name="ksd186469ds3dpos"/>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October 6,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333-277605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POST-EFFECTIVE AMENDMENT NO. 2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Texas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30-0108820</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8111 Westchester Drive, Suite 600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TX 75225 </w:t>
      </w:r>
    </w:p>
    <w:p>
      <w:pPr>
        <w:pStyle w:val="TextBody"/>
        <w:bidi w:val="0"/>
        <w:spacing w:before="0" w:after="0"/>
        <w:jc w:val="center"/>
        <w:rPr>
          <w:rFonts w:ascii="Times New Roman" w:hAnsi="Times New Roman"/>
          <w:b/>
          <w:sz w:val="20"/>
        </w:rPr>
      </w:pPr>
      <w:r>
        <w:rPr>
          <w:rFonts w:ascii="Times New Roman" w:hAnsi="Times New Roman"/>
          <w:b/>
          <w:sz w:val="20"/>
        </w:rPr>
        <w:t xml:space="preserve">(214) 981-0700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Thomas E. Long </w:t>
      </w:r>
    </w:p>
    <w:p>
      <w:pPr>
        <w:pStyle w:val="TextBody"/>
        <w:bidi w:val="0"/>
        <w:spacing w:before="0" w:after="0"/>
        <w:jc w:val="center"/>
        <w:rPr>
          <w:rFonts w:ascii="Times New Roman" w:hAnsi="Times New Roman"/>
          <w:b/>
          <w:sz w:val="20"/>
        </w:rPr>
      </w:pPr>
      <w:r>
        <w:rPr>
          <w:rFonts w:ascii="Times New Roman" w:hAnsi="Times New Roman"/>
          <w:b/>
          <w:sz w:val="20"/>
        </w:rPr>
        <w:t xml:space="preserve">Co-Chief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 xml:space="preserve">8111 Westchester Drive, Suite 600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TX 75225 </w:t>
      </w:r>
    </w:p>
    <w:p>
      <w:pPr>
        <w:pStyle w:val="TextBody"/>
        <w:bidi w:val="0"/>
        <w:spacing w:before="0" w:after="0"/>
        <w:jc w:val="center"/>
        <w:rPr>
          <w:rFonts w:ascii="Times New Roman" w:hAnsi="Times New Roman"/>
          <w:b/>
          <w:sz w:val="20"/>
        </w:rPr>
      </w:pPr>
      <w:r>
        <w:rPr>
          <w:rFonts w:ascii="Times New Roman" w:hAnsi="Times New Roman"/>
          <w:b/>
          <w:sz w:val="20"/>
        </w:rPr>
        <w:t xml:space="preserve">(214) 981-0700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James M. Wright</w:t>
            </w:r>
          </w:p>
          <w:p>
            <w:pPr>
              <w:pStyle w:val="TableContents"/>
              <w:bidi w:val="0"/>
              <w:spacing w:before="0" w:after="0"/>
              <w:jc w:val="center"/>
              <w:rPr>
                <w:rFonts w:ascii="Times New Roman" w:hAnsi="Times New Roman"/>
                <w:b/>
                <w:sz w:val="20"/>
              </w:rPr>
            </w:pPr>
            <w:r>
              <w:rPr>
                <w:rFonts w:ascii="Times New Roman" w:hAnsi="Times New Roman"/>
                <w:b/>
                <w:sz w:val="20"/>
              </w:rPr>
              <w:t>Executive Vice President &amp; General Counsel</w:t>
            </w:r>
          </w:p>
          <w:p>
            <w:pPr>
              <w:pStyle w:val="TableContents"/>
              <w:bidi w:val="0"/>
              <w:spacing w:before="0" w:after="0"/>
              <w:jc w:val="center"/>
              <w:rPr>
                <w:rFonts w:ascii="Times New Roman" w:hAnsi="Times New Roman"/>
                <w:b/>
                <w:sz w:val="20"/>
              </w:rPr>
            </w:pPr>
            <w:r>
              <w:rPr>
                <w:rFonts w:ascii="Times New Roman" w:hAnsi="Times New Roman"/>
                <w:b/>
                <w:sz w:val="20"/>
              </w:rPr>
              <w:t>Energy Transfer LP</w:t>
            </w:r>
          </w:p>
          <w:p>
            <w:pPr>
              <w:pStyle w:val="TableContents"/>
              <w:bidi w:val="0"/>
              <w:spacing w:before="0" w:after="0"/>
              <w:jc w:val="center"/>
              <w:rPr>
                <w:rFonts w:ascii="Times New Roman" w:hAnsi="Times New Roman"/>
                <w:b/>
                <w:sz w:val="20"/>
              </w:rPr>
            </w:pPr>
            <w:r>
              <w:rPr>
                <w:rFonts w:ascii="Times New Roman" w:hAnsi="Times New Roman"/>
                <w:b/>
                <w:sz w:val="20"/>
              </w:rPr>
              <w:t>8111 Westchester Drive, Suite 600</w:t>
            </w:r>
          </w:p>
          <w:p>
            <w:pPr>
              <w:pStyle w:val="TableContents"/>
              <w:bidi w:val="0"/>
              <w:spacing w:before="0" w:after="0"/>
              <w:jc w:val="center"/>
              <w:rPr>
                <w:rFonts w:ascii="Times New Roman" w:hAnsi="Times New Roman"/>
                <w:b/>
                <w:sz w:val="20"/>
              </w:rPr>
            </w:pPr>
            <w:r>
              <w:rPr>
                <w:rFonts w:ascii="Times New Roman" w:hAnsi="Times New Roman"/>
                <w:b/>
                <w:sz w:val="20"/>
              </w:rPr>
              <w:t>Dallas, TX 75225</w:t>
            </w:r>
          </w:p>
          <w:p>
            <w:pPr>
              <w:pStyle w:val="TableContents"/>
              <w:bidi w:val="0"/>
              <w:spacing w:before="0" w:after="20"/>
              <w:jc w:val="center"/>
              <w:rPr>
                <w:rFonts w:ascii="Times New Roman" w:hAnsi="Times New Roman"/>
                <w:b/>
                <w:sz w:val="20"/>
              </w:rPr>
            </w:pPr>
            <w:r>
              <w:rPr>
                <w:rFonts w:ascii="Times New Roman" w:hAnsi="Times New Roman"/>
                <w:b/>
                <w:sz w:val="20"/>
              </w:rPr>
              <w:t>(214) 981-0700</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20"/>
              </w:rPr>
            </w:pPr>
            <w:r>
              <w:rPr>
                <w:rFonts w:ascii="Times New Roman" w:hAnsi="Times New Roman"/>
                <w:b/>
                <w:sz w:val="20"/>
              </w:rPr>
              <w:t>Lande A. Spottswood</w:t>
            </w:r>
          </w:p>
          <w:p>
            <w:pPr>
              <w:pStyle w:val="TableContents"/>
              <w:bidi w:val="0"/>
              <w:spacing w:before="0" w:after="0"/>
              <w:jc w:val="center"/>
              <w:rPr>
                <w:rFonts w:ascii="Times New Roman" w:hAnsi="Times New Roman"/>
                <w:b/>
                <w:sz w:val="20"/>
              </w:rPr>
            </w:pPr>
            <w:r>
              <w:rPr>
                <w:rFonts w:ascii="Times New Roman" w:hAnsi="Times New Roman"/>
                <w:b/>
                <w:sz w:val="20"/>
              </w:rPr>
              <w:t>Jackson A. O’Maley</w:t>
            </w:r>
          </w:p>
          <w:p>
            <w:pPr>
              <w:pStyle w:val="TableContents"/>
              <w:bidi w:val="0"/>
              <w:spacing w:before="0" w:after="0"/>
              <w:jc w:val="center"/>
              <w:rPr>
                <w:rFonts w:ascii="Times New Roman" w:hAnsi="Times New Roman"/>
                <w:b/>
                <w:sz w:val="20"/>
              </w:rPr>
            </w:pPr>
            <w:r>
              <w:rPr>
                <w:rFonts w:ascii="Times New Roman" w:hAnsi="Times New Roman"/>
                <w:b/>
                <w:sz w:val="20"/>
              </w:rPr>
              <w:t>Vinson &amp; Elkins L.L.P.</w:t>
            </w:r>
          </w:p>
          <w:p>
            <w:pPr>
              <w:pStyle w:val="TableContents"/>
              <w:bidi w:val="0"/>
              <w:spacing w:before="0" w:after="0"/>
              <w:jc w:val="center"/>
              <w:rPr>
                <w:rFonts w:ascii="Times New Roman" w:hAnsi="Times New Roman"/>
                <w:b/>
                <w:sz w:val="20"/>
              </w:rPr>
            </w:pPr>
            <w:r>
              <w:rPr>
                <w:rFonts w:ascii="Times New Roman" w:hAnsi="Times New Roman"/>
                <w:b/>
                <w:sz w:val="20"/>
              </w:rPr>
              <w:t>845 Texas Ave., Suite 4700</w:t>
            </w:r>
          </w:p>
          <w:p>
            <w:pPr>
              <w:pStyle w:val="TableContents"/>
              <w:bidi w:val="0"/>
              <w:spacing w:before="0" w:after="0"/>
              <w:jc w:val="center"/>
              <w:rPr>
                <w:rFonts w:ascii="Times New Roman" w:hAnsi="Times New Roman"/>
                <w:b/>
                <w:sz w:val="20"/>
              </w:rPr>
            </w:pPr>
            <w:r>
              <w:rPr>
                <w:rFonts w:ascii="Times New Roman" w:hAnsi="Times New Roman"/>
                <w:b/>
                <w:sz w:val="20"/>
              </w:rPr>
              <w:t>Houston, TX 77002</w:t>
            </w:r>
          </w:p>
          <w:p>
            <w:pPr>
              <w:pStyle w:val="TableContents"/>
              <w:bidi w:val="0"/>
              <w:spacing w:before="0" w:after="20"/>
              <w:jc w:val="center"/>
              <w:rPr>
                <w:rFonts w:ascii="Times New Roman" w:hAnsi="Times New Roman"/>
                <w:b/>
                <w:sz w:val="20"/>
              </w:rPr>
            </w:pPr>
            <w:r>
              <w:rPr>
                <w:rFonts w:ascii="Times New Roman" w:hAnsi="Times New Roman"/>
                <w:b/>
                <w:sz w:val="20"/>
              </w:rPr>
              <w:t>(713) 758-2222</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From time to time after the effective date of this registration statement as determined by market conditions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September 10, 2026, Energy Transfer LP (the “Registrant”) announced the transfer of the listing of its common units from the New York Stock Exchange to the Texas Stock Exchange (the “TXSE”). The common units began trading on the TXSE on October 5, 2026. </w:t>
      </w:r>
    </w:p>
    <w:p>
      <w:pPr>
        <w:pStyle w:val="TextBody"/>
        <w:bidi w:val="0"/>
        <w:spacing w:before="240" w:after="0"/>
        <w:jc w:val="left"/>
        <w:rPr>
          <w:rFonts w:ascii="Times New Roman" w:hAnsi="Times New Roman"/>
          <w:sz w:val="20"/>
        </w:rPr>
      </w:pPr>
      <w:r>
        <w:rPr>
          <w:rFonts w:ascii="Times New Roman" w:hAnsi="Times New Roman"/>
          <w:sz w:val="20"/>
        </w:rPr>
        <w:t xml:space="preserve">On the date hereof the Registrant is filing this Post-Effective Amendment No. 2 to the Registration Statement on Form S-3, File No. 333-277605 (the “Registration Statement”), to reflect the change in the Registrant’s listing market and to make other changes as necessary to keep the Registration Statement from being misleading in any material respect. The Registration Statement was originally filed by the Registrant with the Securities and Exchange Commission (the “SEC”) on March 1, 2024, as amended by Post-Effective Amendment No. 1, previously filed by the Registrant with the SEC on July 17,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764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6191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240" w:after="0"/>
        <w:jc w:val="center"/>
        <w:rPr>
          <w:rFonts w:ascii="Times New Roman" w:hAnsi="Times New Roman"/>
          <w:b/>
          <w:sz w:val="28"/>
        </w:rPr>
      </w:pPr>
      <w:r>
        <w:rPr>
          <w:rFonts w:ascii="Times New Roman" w:hAnsi="Times New Roman"/>
          <w:b/>
          <w:sz w:val="28"/>
        </w:rPr>
        <w:t xml:space="preserve">Distribution Reinvestment Plan </w:t>
      </w:r>
    </w:p>
    <w:p>
      <w:pPr>
        <w:pStyle w:val="TextBody"/>
        <w:bidi w:val="0"/>
        <w:spacing w:before="240" w:after="0"/>
        <w:jc w:val="center"/>
        <w:rPr>
          <w:rFonts w:ascii="Times New Roman" w:hAnsi="Times New Roman"/>
          <w:b/>
          <w:sz w:val="28"/>
        </w:rPr>
      </w:pPr>
      <w:r>
        <w:rPr>
          <w:rFonts w:ascii="Times New Roman" w:hAnsi="Times New Roman"/>
          <w:b/>
          <w:sz w:val="28"/>
        </w:rPr>
        <w:t xml:space="preserve">40,000,000 Common 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With this prospectus, we are offering participation in our Distribution Reinvestment Plan (the “Plan”) to owners of our common units. We have appointed Equiniti Trust Company, LLC (“Equiniti”) as the administrator of the Plan. The Plan provides a simple and convenient means of investing in our common units. </w:t>
      </w:r>
    </w:p>
    <w:p>
      <w:pPr>
        <w:pStyle w:val="TextBody"/>
        <w:bidi w:val="0"/>
        <w:spacing w:before="240" w:after="0"/>
        <w:jc w:val="left"/>
        <w:rPr>
          <w:rFonts w:ascii="Times New Roman" w:hAnsi="Times New Roman"/>
          <w:sz w:val="20"/>
        </w:rPr>
      </w:pPr>
      <w:r>
        <w:rPr>
          <w:rFonts w:ascii="Times New Roman" w:hAnsi="Times New Roman"/>
          <w:sz w:val="20"/>
        </w:rPr>
        <w:t xml:space="preserve">Plan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participate in the Plan if you currently are a unitholder of record of our common units or if you own our common units through your broker (by having your broker participate on your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purchase additional common units by reinvesting all or a portion of the cash distributions paid on your common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purchase our common units at a discount ranging from 0% to 5% (currently set at 0.0%) without paying any service fees, brokerage trading fees or other charges. (Note: If you participate in the Plan through your broker, you should consult with your broker; your broker may charge you a service fee.)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participation in the Plan is voluntary, and you may terminate your account at any time.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carefully this prospectus before deciding to participate in the Plan. You should read the documents we have referred you to in the “Where You Can Find More Information” section of this prospectus for information on us and for our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Our common units are listed on the Texas Stock Exchange (the “TXSE”) under the ticker symbol “ET.”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units involves risks. Limited partnerships are inherently different from corporations. You should carefully consider the risk factors described under “</w:t>
      </w:r>
      <w:hyperlink w:anchor="tx186469_3">
        <w:r>
          <w:rPr>
            <w:rStyle w:val="InternetLink"/>
            <w:rFonts w:ascii="Times New Roman" w:hAnsi="Times New Roman"/>
            <w:b/>
            <w:sz w:val="24"/>
          </w:rPr>
          <w:t>Risk Factors</w:t>
        </w:r>
      </w:hyperlink>
      <w:r>
        <w:rPr>
          <w:rFonts w:ascii="Times New Roman" w:hAnsi="Times New Roman"/>
          <w:b/>
          <w:sz w:val="24"/>
        </w:rPr>
        <w:t xml:space="preserve">” beginning on page 4 of this prospectus before enrolling in the Plan.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October 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0"/>
        <w:gridCol w:w="266"/>
        <w:gridCol w:w="96"/>
        <w:gridCol w:w="420"/>
        <w:gridCol w:w="63"/>
      </w:tblGrid>
      <w:tr>
        <w:trPr/>
        <w:tc>
          <w:tcPr>
            <w:tcW w:w="93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1">
              <w:r>
                <w:rPr>
                  <w:rStyle w:val="InternetLink"/>
                  <w:rFonts w:ascii="Times New Roman" w:hAnsi="Times New Roman"/>
                  <w:sz w:val="20"/>
                </w:rPr>
                <w:t>Energy Transfer LP</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2">
              <w:r>
                <w:rPr>
                  <w:rStyle w:val="InternetLink"/>
                  <w:rFonts w:ascii="Times New Roman" w:hAnsi="Times New Roman"/>
                  <w:sz w:val="20"/>
                </w:rPr>
                <w:t>Cautionary Statement Concerning Forward-Looking Statements</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3">
              <w:r>
                <w:rPr>
                  <w:rStyle w:val="InternetLink"/>
                  <w:rFonts w:ascii="Times New Roman" w:hAnsi="Times New Roman"/>
                  <w:sz w:val="20"/>
                </w:rPr>
                <w:t>Risk Factors</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4">
              <w:r>
                <w:rPr>
                  <w:rStyle w:val="InternetLink"/>
                  <w:rFonts w:ascii="Times New Roman" w:hAnsi="Times New Roman"/>
                  <w:sz w:val="20"/>
                </w:rPr>
                <w:t>The Plan</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5">
              <w:r>
                <w:rPr>
                  <w:rStyle w:val="InternetLink"/>
                  <w:rFonts w:ascii="Times New Roman" w:hAnsi="Times New Roman"/>
                  <w:sz w:val="20"/>
                </w:rPr>
                <w:t>Commonly Asked Questions</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6">
              <w:r>
                <w:rPr>
                  <w:rStyle w:val="InternetLink"/>
                  <w:rFonts w:ascii="Times New Roman" w:hAnsi="Times New Roman"/>
                  <w:sz w:val="20"/>
                </w:rPr>
                <w:t>Use of Proceeds</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7">
              <w:r>
                <w:rPr>
                  <w:rStyle w:val="InternetLink"/>
                  <w:rFonts w:ascii="Times New Roman" w:hAnsi="Times New Roman"/>
                  <w:sz w:val="20"/>
                </w:rPr>
                <w:t>Description of Common Units</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8">
              <w:r>
                <w:rPr>
                  <w:rStyle w:val="InternetLink"/>
                  <w:rFonts w:ascii="Times New Roman" w:hAnsi="Times New Roman"/>
                  <w:sz w:val="20"/>
                </w:rPr>
                <w:t>Cash Distribution Policy</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9">
              <w:r>
                <w:rPr>
                  <w:rStyle w:val="InternetLink"/>
                  <w:rFonts w:ascii="Times New Roman" w:hAnsi="Times New Roman"/>
                  <w:sz w:val="20"/>
                </w:rPr>
                <w:t>Material U.S. Federal Income Tax Consequences</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10">
              <w:r>
                <w:rPr>
                  <w:rStyle w:val="InternetLink"/>
                  <w:rFonts w:ascii="Times New Roman" w:hAnsi="Times New Roman"/>
                  <w:sz w:val="20"/>
                </w:rPr>
                <w:t>Plan of Distribution</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11">
              <w:r>
                <w:rPr>
                  <w:rStyle w:val="InternetLink"/>
                  <w:rFonts w:ascii="Times New Roman" w:hAnsi="Times New Roman"/>
                  <w:sz w:val="20"/>
                </w:rPr>
                <w:t>Legal Matters</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12">
              <w:r>
                <w:rPr>
                  <w:rStyle w:val="InternetLink"/>
                  <w:rFonts w:ascii="Times New Roman" w:hAnsi="Times New Roman"/>
                  <w:sz w:val="20"/>
                </w:rPr>
                <w:t>Experts</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9360" w:type="dxa"/>
            <w:tcBorders/>
            <w:vAlign w:val="bottom"/>
          </w:tcPr>
          <w:p>
            <w:pPr>
              <w:pStyle w:val="TableContents"/>
              <w:bidi w:val="0"/>
              <w:spacing w:before="0" w:after="0"/>
              <w:jc w:val="left"/>
              <w:rPr/>
            </w:pPr>
            <w:hyperlink w:anchor="tx186469_13">
              <w:r>
                <w:rPr>
                  <w:rStyle w:val="InternetLink"/>
                  <w:rFonts w:ascii="Times New Roman" w:hAnsi="Times New Roman"/>
                  <w:sz w:val="20"/>
                </w:rPr>
                <w:t>Where You Can Find More Information</w:t>
              </w:r>
            </w:hyperlink>
          </w:p>
        </w:tc>
        <w:tc>
          <w:tcPr>
            <w:tcW w:w="2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86469_1"/>
      <w:bookmarkEnd w:id="3"/>
      <w:r>
        <w:rPr>
          <w:rFonts w:ascii="Times New Roman" w:hAnsi="Times New Roman"/>
          <w:b/>
          <w:sz w:val="20"/>
        </w:rPr>
        <w:t xml:space="preserve">ENERGY TRANSFER LP </w:t>
      </w:r>
    </w:p>
    <w:p>
      <w:pPr>
        <w:pStyle w:val="TextBody"/>
        <w:bidi w:val="0"/>
        <w:spacing w:before="240" w:after="0"/>
        <w:jc w:val="left"/>
        <w:rPr>
          <w:rFonts w:ascii="Times New Roman" w:hAnsi="Times New Roman"/>
          <w:sz w:val="20"/>
        </w:rPr>
      </w:pPr>
      <w:r>
        <w:rPr>
          <w:rFonts w:ascii="Times New Roman" w:hAnsi="Times New Roman"/>
          <w:sz w:val="20"/>
        </w:rPr>
        <w:t xml:space="preserve">Energy Transfer LP is a Texas limited partnership with common units publicly traded on the TXSE under the ticker symbol “ET.”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references to “we,” “us,” “our,” the “Partnership” and “Energy Transfer” mean Energy Transfer LP and its consolidated subsidiaries, which include SunocoCorp LLC (“SunocoCorp”), Sunoco LP (“Sunoco”) and USA Compression Partners, LP (“USAC”). </w:t>
      </w:r>
    </w:p>
    <w:p>
      <w:pPr>
        <w:pStyle w:val="TextBody"/>
        <w:bidi w:val="0"/>
        <w:spacing w:before="240" w:after="0"/>
        <w:jc w:val="left"/>
        <w:rPr>
          <w:rFonts w:ascii="Times New Roman" w:hAnsi="Times New Roman"/>
          <w:sz w:val="20"/>
        </w:rPr>
      </w:pPr>
      <w:r>
        <w:rPr>
          <w:rFonts w:ascii="Times New Roman" w:hAnsi="Times New Roman"/>
          <w:sz w:val="20"/>
        </w:rPr>
        <w:t xml:space="preserve">The primary activities in which we are engaged, which are located in the United States,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gas operations,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gas midstream and intrastate transportation and storage;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interstate natural gas transportation and storage;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crude oil, natural gas liquids (“NGL”) and refined products transportation, terminalling services and acquisition and marketing activities, as well as NGL storage and fractionation services and LNG regasification.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own investments in other businesses, including Sunoco and USAC, both of which are master limited partnerships, and SunocoCorp, a publicly traded limited liability company. </w:t>
      </w:r>
    </w:p>
    <w:p>
      <w:pPr>
        <w:pStyle w:val="TextBody"/>
        <w:bidi w:val="0"/>
        <w:spacing w:before="240" w:after="0"/>
        <w:jc w:val="left"/>
        <w:rPr>
          <w:rFonts w:ascii="Times New Roman" w:hAnsi="Times New Roman"/>
          <w:sz w:val="20"/>
        </w:rPr>
      </w:pPr>
      <w:r>
        <w:rPr>
          <w:rFonts w:ascii="Times New Roman" w:hAnsi="Times New Roman"/>
          <w:sz w:val="20"/>
        </w:rPr>
        <w:t xml:space="preserve">Energy Transfer derives cash flows from distributions related to its investment in its subsidiaries, including Sunoco and USAC. The amount of cash that our subsidiaries distribute to us is based on earnings from their respective business activities and the amount of available cash. Energy Transfer’s primary cash requirements are for distributions to its partners, capital expenditures, general and administrative expenses and debt service requirements. Energy Transfer distributes its available cash remaining after satisfaction of the aforementioned cash requirements to its unitholders on a quarterly basis. </w:t>
      </w:r>
    </w:p>
    <w:p>
      <w:pPr>
        <w:pStyle w:val="TextBody"/>
        <w:bidi w:val="0"/>
        <w:spacing w:before="240" w:after="0"/>
        <w:jc w:val="left"/>
        <w:rPr>
          <w:rFonts w:ascii="Times New Roman" w:hAnsi="Times New Roman"/>
          <w:sz w:val="20"/>
        </w:rPr>
      </w:pPr>
      <w:r>
        <w:rPr>
          <w:rFonts w:ascii="Times New Roman" w:hAnsi="Times New Roman"/>
          <w:sz w:val="20"/>
        </w:rPr>
        <w:t xml:space="preserve">We expect our subsidiaries to utilize their resources, along with cash from their operations, to fund their announced growth capital expenditures and working capital needs; however, Energy Transfer may issue debt or equity securities from time to time as we deem prudent to provide liquidity for new capital projects of our subsidiaries or for other partnership purposes. </w:t>
      </w:r>
    </w:p>
    <w:p>
      <w:pPr>
        <w:pStyle w:val="TextBody"/>
        <w:bidi w:val="0"/>
        <w:spacing w:before="240" w:after="0"/>
        <w:jc w:val="left"/>
        <w:rPr>
          <w:rFonts w:ascii="Times New Roman" w:hAnsi="Times New Roman"/>
          <w:sz w:val="20"/>
        </w:rPr>
      </w:pPr>
      <w:r>
        <w:rPr>
          <w:rFonts w:ascii="Times New Roman" w:hAnsi="Times New Roman"/>
          <w:sz w:val="20"/>
        </w:rPr>
        <w:t xml:space="preserve">We are a limited partnership formed under the laws of the State of Texas. Our principal executive offices are located at 8111 Westchester Drive, Suite 600, Dallas, Texas 75225, and our telephone number at that location is (214) 981-0700. We maintain a website at </w:t>
      </w:r>
      <w:r>
        <w:rPr>
          <w:rFonts w:ascii="Times New Roman" w:hAnsi="Times New Roman"/>
          <w:i/>
          <w:sz w:val="20"/>
        </w:rPr>
        <w:t>http://www.energytransfer.com</w:t>
      </w:r>
      <w:r>
        <w:rPr>
          <w:rFonts w:ascii="Times New Roman" w:hAnsi="Times New Roman"/>
          <w:sz w:val="20"/>
        </w:rPr>
        <w:t xml:space="preserve"> that provides information about our business and operations. Information contained on this website, however, is not incorporated or otherwise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86469_2"/>
      <w:bookmarkEnd w:id="4"/>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Statements using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subsidiaries to make cash distributions to us, which is dependent on their results of operations, cash flows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actual amount of cash distributions by our subsidiaries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volumes transported on our subsidiaries’ pipelines and gathering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throughput in our subsidiaries’ processing and treating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fees our subsidiaries charge and the margins they realize for their gathering, treating, processing, storage and transportation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and market demand for, and the relationship between,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prices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impacts of world health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cyber and malware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of natural gas and NGLs compared to the price of alternative and competing fuels;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level of petroleum product demand and the availability and price of NGL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domestic oil, natural gas and NGL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imported oil,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foreign oil and gas producing 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political and economic stability of petroleum producing 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weather conditions on demand for oil,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local, intrastate and interstate transportation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ability to find and contract for new sources of natural gas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marketing of competitive fuels;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energy conservation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efficiencies and technological trends;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 taxation and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and the application of, regulation of tariff rates and operational requirements related to our subsidiaries’ interstate and intrastate pipelines;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hazards or operating risks incidental to the gathering, treating, processing and transporting of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other midstream companies and interstate pipeline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natural gas producers or the providers of fractionation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reductions in the capacity or allocations of third-party pipelines that connect with our subsidiaries’ pipelines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risk-management policies and procedures and the ability of our subsidiaries’ liquids marketing counterparties to satisfy their financial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nonpayment or nonperformance by our subsidiaries’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development of new infrastructure projects or other growth projects, including failure to make sufficient progress to justify continued development, delays in obtaining customers, increased costs of financing and raw materials and regulatory, environmental, political and legal uncertainties that may affect the timing and cost of these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construction of new pipelines, treating and processing facilities or other facilities, or additions to our subsidiaries’ existing pipelines and their facilities, including difficulties in obtaining permits and rights-of-way or other regulatory approvals and the performance by third-party 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and cost of capital and our subsidiaries’ ability to access certain capital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deterioration of the credit and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assets and operations of entities in which our subsidiaries own noncontrolling interests, including risks related to management actions at such entities that our subsidiaries may not be able to control or exert influence;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successfully identify and consummate strategic acquisitions at purchase prices that are accretive to our financial results and to successfully integrate acquired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and regulations to which we are subject, including tax, environmental, transportation and employment regulations or new interpretations by regulatory agencies concerning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effects of legal and administrative proceedings;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a potential failure to successfully combine our business with those of companies we have acquired or may acquire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put undue reliance on any forward-looking statements. When considering forward-looking statements, please review the risks described under “Part I - Item 1A. Risk Factors” of our Annual Report on Form 10-K for the year ended December 31, 2025 filed with the SEC on February 19, 2026, in “Part II - Item 1A. Risk Factors” of our Quarterly Report on Form 10-Q for the quarter ended March 31, 2026 filed with the SEC on May 7, 2026, and in Exhibit 99.1 to the Current Report on Form 8-K filed with the SEC on July 6, 2026. Any forward-looking statement made by us in this prospectus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86469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Limited partner interests are inherently different from the capital stock of a corporation, although many of the business risks to which we are subject are similar to those that would be faced by a corporation engaged in a similar business. An investment in our common units involves risks. You should consider carefully the following risk factors relating to the Plan, together with all of the other information included in, or incorporated by reference into, this prospectus before deciding to participate in the Plan. The risks relating to the Plan are not the only risks associated with an investment in our common units. For key current risks inherent in our business that may have a material impact on our results of operations and financial condition, risks inherent in an investment in us related to our common units as a result of our partnership structure, and tax risks to common unitholders, please read “Risk Factors” in our Annual Report on Form 10-K for the year ended December 31, 2025, in “Part II—Item 1A. Risk Factors” of our Quarterly Report on Form 10-Q for the quarter ended March 31, 2026 filed with the SEC on May 7, 2026, and in Exhibit 99.1 to the Current Report on Form 8-K filed with the SEC on July 6, 2026, and our future annual, quarterly and current reports, which are generally incorporated by reference into this prospectus, as such information may be amended or supplemented by any future filings with the Securities and Exchange Commission (the “SEC”).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contains or incorporates by reference forward-looking statements that involve risks and uncertainties. Please read “Cautionary Statement Concerning Forward-Looking Statements.” Our actual results could differ materially from those anticipated in the forward-looking statements as a result of certain factors, including risks described in the above documents and in this prospectus. If the events or possibilities described in any of these risks occur, our business, financial condition, results of operations, cash flows or prospects could be adversely affected. In that case, our ability to make distributions to our unitholders may be reduced, the trading price of our common units could decline, and you could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Plan </w:t>
      </w:r>
    </w:p>
    <w:p>
      <w:pPr>
        <w:pStyle w:val="TextBody"/>
        <w:bidi w:val="0"/>
        <w:spacing w:before="120" w:after="0"/>
        <w:jc w:val="left"/>
        <w:rPr>
          <w:rFonts w:ascii="Times New Roman" w:hAnsi="Times New Roman"/>
          <w:sz w:val="20"/>
        </w:rPr>
      </w:pPr>
      <w:r>
        <w:rPr>
          <w:rFonts w:ascii="Times New Roman" w:hAnsi="Times New Roman"/>
          <w:sz w:val="20"/>
        </w:rPr>
        <w:t xml:space="preserve">You will not know the price of the common units you are purchasing under the Plan at the time you authorize the investment or elect to have your distributions reinvested. The price of our common units may fluctuate between the time you decide to purchase common units under the Plan and the time of actual purchase. As a result, you may purchase common units at a price higher than the price you anticipated. </w:t>
      </w:r>
    </w:p>
    <w:p>
      <w:pPr>
        <w:pStyle w:val="TextBody"/>
        <w:bidi w:val="0"/>
        <w:spacing w:before="240" w:after="0"/>
        <w:jc w:val="left"/>
        <w:rPr>
          <w:rFonts w:ascii="Times New Roman" w:hAnsi="Times New Roman"/>
          <w:sz w:val="20"/>
        </w:rPr>
      </w:pPr>
      <w:r>
        <w:rPr>
          <w:rFonts w:ascii="Times New Roman" w:hAnsi="Times New Roman"/>
          <w:sz w:val="20"/>
        </w:rPr>
        <w:t xml:space="preserve">If you instruct the administrator to sell common units under the Plan, you will not be able to direct the time or price at which your common units are sold. The price of our common units may decline between the time you decide to sell common units and the time of actual sale. </w:t>
      </w:r>
    </w:p>
    <w:p>
      <w:pPr>
        <w:pStyle w:val="TextBody"/>
        <w:bidi w:val="0"/>
        <w:spacing w:before="240" w:after="0"/>
        <w:jc w:val="left"/>
        <w:rPr>
          <w:rFonts w:ascii="Times New Roman" w:hAnsi="Times New Roman"/>
          <w:sz w:val="20"/>
        </w:rPr>
      </w:pPr>
      <w:r>
        <w:rPr>
          <w:rFonts w:ascii="Times New Roman" w:hAnsi="Times New Roman"/>
          <w:sz w:val="20"/>
        </w:rPr>
        <w:t xml:space="preserve">If you decide to withdraw from the Plan and you request a certificate for common units credited to you under the Plan from the administrator, the market price of our common units may decline between the time you decide to withdraw and the time you receive the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86469_4"/>
      <w:bookmarkEnd w:id="6"/>
      <w:r>
        <w:rPr>
          <w:rFonts w:ascii="Times New Roman" w:hAnsi="Times New Roman"/>
          <w:b/>
          <w:sz w:val="20"/>
        </w:rPr>
        <w:t xml:space="preserve">THE PLAN </w:t>
      </w:r>
    </w:p>
    <w:p>
      <w:pPr>
        <w:pStyle w:val="TextBody"/>
        <w:bidi w:val="0"/>
        <w:spacing w:before="240" w:after="0"/>
        <w:jc w:val="left"/>
        <w:rPr>
          <w:rFonts w:ascii="Times New Roman" w:hAnsi="Times New Roman"/>
          <w:b/>
          <w:sz w:val="20"/>
        </w:rPr>
      </w:pPr>
      <w:r>
        <w:rPr>
          <w:rFonts w:ascii="Times New Roman" w:hAnsi="Times New Roman"/>
          <w:b/>
          <w:sz w:val="20"/>
        </w:rPr>
        <w:t xml:space="preserve">Plan Overview </w:t>
      </w:r>
    </w:p>
    <w:p>
      <w:pPr>
        <w:pStyle w:val="TextBody"/>
        <w:bidi w:val="0"/>
        <w:spacing w:before="120" w:after="0"/>
        <w:jc w:val="left"/>
        <w:rPr>
          <w:rFonts w:ascii="Times New Roman" w:hAnsi="Times New Roman"/>
          <w:sz w:val="20"/>
        </w:rPr>
      </w:pPr>
      <w:r>
        <w:rPr>
          <w:rFonts w:ascii="Times New Roman" w:hAnsi="Times New Roman"/>
          <w:sz w:val="20"/>
        </w:rPr>
        <w:t xml:space="preserve">The Plan offers a simple, convenient and no-cost way for owners of our common units to invest all or a portion of their cash distributions in our common units. The Plan is designed for long-term investors who wish to invest and build their common unit ownership over time. Unlike an individual brokerage account, the timing of purchases is subject to the provisions of the Plan. The principal terms and conditions of the Plan are summarized in this prospectus under “Commonly Asked Questions” below. </w:t>
      </w:r>
    </w:p>
    <w:p>
      <w:pPr>
        <w:pStyle w:val="TextBody"/>
        <w:bidi w:val="0"/>
        <w:spacing w:before="240" w:after="0"/>
        <w:jc w:val="left"/>
        <w:rPr>
          <w:rFonts w:ascii="Times New Roman" w:hAnsi="Times New Roman"/>
          <w:sz w:val="20"/>
        </w:rPr>
      </w:pPr>
      <w:r>
        <w:rPr>
          <w:rFonts w:ascii="Times New Roman" w:hAnsi="Times New Roman"/>
          <w:sz w:val="20"/>
        </w:rPr>
        <w:t xml:space="preserve">We have appointed Equiniti Trust Company, LLC, or the “Administrator,” to administer the Plan, and certain administrative support will be provided to the Administrator by its designated affiliates. Together, the Administrator and its affiliates will purchase and hold common units for Plan participants, keep records, send statements and perform other duties required by the Plan. </w:t>
      </w:r>
    </w:p>
    <w:p>
      <w:pPr>
        <w:pStyle w:val="TextBody"/>
        <w:bidi w:val="0"/>
        <w:spacing w:before="240" w:after="0"/>
        <w:jc w:val="left"/>
        <w:rPr>
          <w:rFonts w:ascii="Times New Roman" w:hAnsi="Times New Roman"/>
          <w:sz w:val="20"/>
        </w:rPr>
      </w:pPr>
      <w:r>
        <w:rPr>
          <w:rFonts w:ascii="Times New Roman" w:hAnsi="Times New Roman"/>
          <w:sz w:val="20"/>
        </w:rPr>
        <w:t xml:space="preserve">Only registered holders of our common units can participate directly in the Plan. If you are a beneficial owner of common units in a brokerage account and wish to reinvest your distributions, you can make arrangements with your broker or nominee to participate in the Plan on your behalf, or you can request that your common units become registered in your name. </w:t>
      </w:r>
    </w:p>
    <w:p>
      <w:pPr>
        <w:pStyle w:val="TextBody"/>
        <w:bidi w:val="0"/>
        <w:spacing w:before="240" w:after="0"/>
        <w:jc w:val="left"/>
        <w:rPr>
          <w:rFonts w:ascii="Times New Roman" w:hAnsi="Times New Roman"/>
          <w:sz w:val="20"/>
        </w:rPr>
      </w:pPr>
      <w:r>
        <w:rPr>
          <w:rFonts w:ascii="Times New Roman" w:hAnsi="Times New Roman"/>
          <w:sz w:val="20"/>
        </w:rPr>
        <w:t xml:space="preserve">Please read this entire prospectus for a more detailed description of the Plan. If you are a registered holder of our common units and would like to participate in the Plan, you can enroll online by following the enrollment procedures specified on the Administrator’s website at https://equiniti.com/us/ast-access/individuals/ or by completing and signing an authorization form and returning it to the Administrator. Authorization forms may be obtained at any time by written request, by contacting the Administrator at the address and telephone number provided in Question 6, or via the Internet at the Administrator’s website at https://equiniti.com/us/ast-access/individuals/.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86469_5"/>
      <w:bookmarkEnd w:id="7"/>
      <w:r>
        <w:rPr>
          <w:rFonts w:ascii="Times New Roman" w:hAnsi="Times New Roman"/>
          <w:b/>
          <w:sz w:val="20"/>
        </w:rPr>
        <w:t xml:space="preserve">COMMONLY ASKED QUESTIONS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references in this section to “we,” “our” or “us” are references to Energy Transfer LP and include our operating subsidiaries; and references in this section to “you” and “your” are references to Plan participants and prospective Plan participants.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1. How can I participate in the Plan? </w:t>
      </w:r>
    </w:p>
    <w:p>
      <w:pPr>
        <w:pStyle w:val="TextBody"/>
        <w:bidi w:val="0"/>
        <w:spacing w:before="120" w:after="0"/>
        <w:jc w:val="left"/>
        <w:rPr>
          <w:rFonts w:ascii="Times New Roman" w:hAnsi="Times New Roman"/>
          <w:sz w:val="20"/>
        </w:rPr>
      </w:pPr>
      <w:r>
        <w:rPr>
          <w:rFonts w:ascii="Times New Roman" w:hAnsi="Times New Roman"/>
          <w:sz w:val="20"/>
        </w:rPr>
        <w:t xml:space="preserve">If you are a current holder of record, or registered holder, of our common units, you may participate directly in the Plan. If you own common units that are registered in someone else’s name (for example, a bank, broker or trustee), the Plan allows you to participate through such person, should they elect to participate, without having to withdraw your common units from such bank, broker or trustee. If your broker or bank elects not to participate in the Plan on your behalf, you can participate by withdrawing your common units from such bank or broker and registering your common units in your name. </w:t>
      </w:r>
    </w:p>
    <w:p>
      <w:pPr>
        <w:pStyle w:val="TextBody"/>
        <w:bidi w:val="0"/>
        <w:spacing w:before="360" w:after="0"/>
        <w:jc w:val="left"/>
        <w:rPr>
          <w:rFonts w:ascii="Times New Roman" w:hAnsi="Times New Roman"/>
          <w:b/>
          <w:i/>
          <w:sz w:val="20"/>
        </w:rPr>
      </w:pPr>
      <w:r>
        <w:rPr>
          <w:rFonts w:ascii="Times New Roman" w:hAnsi="Times New Roman"/>
          <w:b/>
          <w:i/>
          <w:sz w:val="20"/>
        </w:rPr>
        <w:t xml:space="preserve">2. How do I get started?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holder of our common units, once you have read this prospectus, you can get started by enrolling in the Plan online by following the enrollment procedures specified on the Administrator’s website at https://equiniti.com/us/ast-access/individuals/ or by completing and signing an authorization form (see Question 6) and returning it to the Administrator. Your participation will begin promptly after your authorization is received. Once you have enrolled, your participation continues automatically, as long as you wish. If you own common units that are registered in someone else’s name (for example a bank, broker or trustee), then you should contact such person to arrange for them to participate in the Plan on your behalf. </w:t>
      </w:r>
    </w:p>
    <w:p>
      <w:pPr>
        <w:pStyle w:val="TextBody"/>
        <w:bidi w:val="0"/>
        <w:spacing w:before="360" w:after="0"/>
        <w:jc w:val="left"/>
        <w:rPr>
          <w:rFonts w:ascii="Times New Roman" w:hAnsi="Times New Roman"/>
          <w:b/>
          <w:i/>
          <w:sz w:val="20"/>
        </w:rPr>
      </w:pPr>
      <w:r>
        <w:rPr>
          <w:rFonts w:ascii="Times New Roman" w:hAnsi="Times New Roman"/>
          <w:b/>
          <w:i/>
          <w:sz w:val="20"/>
        </w:rPr>
        <w:t xml:space="preserve">3. How are distributions reinvested? </w:t>
      </w:r>
    </w:p>
    <w:p>
      <w:pPr>
        <w:pStyle w:val="TextBody"/>
        <w:bidi w:val="0"/>
        <w:spacing w:before="120" w:after="0"/>
        <w:jc w:val="left"/>
        <w:rPr>
          <w:rFonts w:ascii="Times New Roman" w:hAnsi="Times New Roman"/>
          <w:sz w:val="20"/>
        </w:rPr>
      </w:pPr>
      <w:r>
        <w:rPr>
          <w:rFonts w:ascii="Times New Roman" w:hAnsi="Times New Roman"/>
          <w:sz w:val="20"/>
        </w:rPr>
        <w:t xml:space="preserve">By enrolling in the Plan, you direct the Administrator to apply distributions to the purchase of additional common units in accordance with the terms and conditions of the Plan. You may elect to reinvest all or a portion of your distributions in additional common units. The Administrator will invest distributions in whole and fractional common units on the quarterly distribution payment date (the investment date). No interest will be paid on funds held by the Administrator pending investment. </w:t>
      </w:r>
    </w:p>
    <w:p>
      <w:pPr>
        <w:pStyle w:val="TextBody"/>
        <w:bidi w:val="0"/>
        <w:spacing w:before="240" w:after="0"/>
        <w:jc w:val="left"/>
        <w:rPr>
          <w:rFonts w:ascii="Times New Roman" w:hAnsi="Times New Roman"/>
          <w:sz w:val="20"/>
        </w:rPr>
      </w:pPr>
      <w:r>
        <w:rPr>
          <w:rFonts w:ascii="Times New Roman" w:hAnsi="Times New Roman"/>
          <w:sz w:val="20"/>
        </w:rPr>
        <w:t xml:space="preserve">If the Administrator receives your authorization form on or before the record date for the payment of the next distribution, the amount of the distribution that you elect to be reinvested will be invested in additional common units for your Plan account. If the authorization form is received in the period after any distribution record date, that distribution will be paid by check or automatic deposit to a bank account that you designate and your initial distribution reinvestment will commence with the following distribution. </w:t>
      </w:r>
    </w:p>
    <w:p>
      <w:pPr>
        <w:pStyle w:val="TextBody"/>
        <w:bidi w:val="0"/>
        <w:spacing w:before="240" w:after="0"/>
        <w:jc w:val="left"/>
        <w:rPr>
          <w:rFonts w:ascii="Times New Roman" w:hAnsi="Times New Roman"/>
          <w:sz w:val="20"/>
        </w:rPr>
      </w:pPr>
      <w:r>
        <w:rPr>
          <w:rFonts w:ascii="Times New Roman" w:hAnsi="Times New Roman"/>
          <w:sz w:val="20"/>
        </w:rPr>
        <w:t xml:space="preserve">You may change your distribution reinvestment election at any time online via https://equiniti.com/us/ast-access/individuals/, by telephone or by notifying the Administrator in writing. To be effective with respect to a particular distribution, any such change must be received by the Administrator at least three days before the record date for that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4. When are distributions reinvested? </w:t>
      </w:r>
    </w:p>
    <w:p>
      <w:pPr>
        <w:pStyle w:val="TextBody"/>
        <w:bidi w:val="0"/>
        <w:spacing w:before="120" w:after="0"/>
        <w:jc w:val="left"/>
        <w:rPr>
          <w:rFonts w:ascii="Times New Roman" w:hAnsi="Times New Roman"/>
          <w:sz w:val="20"/>
        </w:rPr>
      </w:pPr>
      <w:r>
        <w:rPr>
          <w:rFonts w:ascii="Times New Roman" w:hAnsi="Times New Roman"/>
          <w:sz w:val="20"/>
        </w:rPr>
        <w:t xml:space="preserve">The investment date will be the distribution payment date for each quarter (generally, on or around the 20th calendar day of February, May, August and November). The record date for eligibility to receive distributions generally will be approximately one week before the date upon which distributions are paid. In the unlikely event that, due to unusual market conditions, the Administrator is unable to invest the funds within 30 days of the distribution payment date, the Administrator will return the funds to you by check or by automatic deposit to a bank account that you designate. No interest will be paid on funds held by the Administrator pending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5. What is the source and price of common units purchased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We have the sole discretion to determine whether common units purchased under the Plan will come from our authorized but unissued common units or from common units purchased on the open market by the Administrator. We currently intend to use our authorized but unissued common units for all common units to be purchased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price for authorized but unissued common units purchased with reinvested distributions will be the volume-weighted average price of our common units based on all trades in the Consolidated Tape System as displayed on Bloomberg page “ET US Equity VWAP” (or its equivalent successor if such page or setting is not available) for the five trading day period immediately preceding the investment date, less a discount ranging from 0% to 5%. The discount is initially set at 0.0%; therefore, the initial purchase price for authorized but unissued common units purchased with reinvested distributions will be 100% of such volume-weighted average price. (Note: If you participate in the Plan through your broker, you should consult with your broker to determine if your broker will charge you a service fee.)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for common units purchased with reinvested distributions on the open market will be the weighted average price of all common units purchased for the Plan for the respective investment date, less a discount ranging from 0% to 5%. (Note: If you participate in the Plan through your broker, you should consult with your broker to determine if your broker will charge you a service fee.)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notice to you of any changes in the discount rate at least 30 days prior to the following record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6. Who is the Administrator of the Plan? </w:t>
      </w:r>
    </w:p>
    <w:p>
      <w:pPr>
        <w:pStyle w:val="TextBody"/>
        <w:bidi w:val="0"/>
        <w:spacing w:before="120" w:after="0"/>
        <w:jc w:val="left"/>
        <w:rPr>
          <w:rFonts w:ascii="Times New Roman" w:hAnsi="Times New Roman"/>
          <w:sz w:val="20"/>
        </w:rPr>
      </w:pPr>
      <w:r>
        <w:rPr>
          <w:rFonts w:ascii="Times New Roman" w:hAnsi="Times New Roman"/>
          <w:sz w:val="20"/>
        </w:rPr>
        <w:t xml:space="preserve">Equiniti Trust Company, LLC (“Equiniti”) is the Administrator of the Plan. Certain administrative support will be provided to the Administrator by its designated affiliates. </w:t>
      </w:r>
    </w:p>
    <w:p>
      <w:pPr>
        <w:pStyle w:val="TextBody"/>
        <w:bidi w:val="0"/>
        <w:spacing w:before="240" w:after="0"/>
        <w:jc w:val="left"/>
        <w:rPr>
          <w:rFonts w:ascii="Times New Roman" w:hAnsi="Times New Roman"/>
          <w:sz w:val="20"/>
        </w:rPr>
      </w:pPr>
      <w:r>
        <w:rPr>
          <w:rFonts w:ascii="Times New Roman" w:hAnsi="Times New Roman"/>
          <w:sz w:val="20"/>
        </w:rPr>
        <w:t xml:space="preserve">For transaction requests, please write to the Administrator at the following address: Equiniti Trust Company, LLC, P.O. Box 10027, Newark, NJ 07101. For all other correspondence regarding the Plan, please write to the Administrator at the following address: Equiniti Trust Company, LLC, P.O. Box 10027, Newark, NJ 07101. In addition, you may call the Administrator at (888) 257-7340 or contact the Administrator via the Internet at https://equiniti.com/us/ast-access/individuals/. </w:t>
      </w:r>
    </w:p>
    <w:p>
      <w:pPr>
        <w:pStyle w:val="TextBody"/>
        <w:bidi w:val="0"/>
        <w:spacing w:before="240" w:after="0"/>
        <w:jc w:val="left"/>
        <w:rPr>
          <w:rFonts w:ascii="Times New Roman" w:hAnsi="Times New Roman"/>
          <w:sz w:val="20"/>
        </w:rPr>
      </w:pPr>
      <w:r>
        <w:rPr>
          <w:rFonts w:ascii="Times New Roman" w:hAnsi="Times New Roman"/>
          <w:sz w:val="20"/>
        </w:rPr>
        <w:t xml:space="preserve">Please include a reference to Energy Transfer LP and the Plan in all correspondence.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7. What is the cost of participating in the Plan? </w:t>
      </w:r>
    </w:p>
    <w:p>
      <w:pPr>
        <w:pStyle w:val="TextBody"/>
        <w:bidi w:val="0"/>
        <w:spacing w:before="120" w:after="0"/>
        <w:jc w:val="left"/>
        <w:rPr>
          <w:rFonts w:ascii="Times New Roman" w:hAnsi="Times New Roman"/>
          <w:sz w:val="20"/>
        </w:rPr>
      </w:pPr>
      <w:r>
        <w:rPr>
          <w:rFonts w:ascii="Times New Roman" w:hAnsi="Times New Roman"/>
          <w:sz w:val="20"/>
        </w:rPr>
        <w:t xml:space="preserve">There is no fee for reinvesting distributions through the Plan. You may be responsible for certain charges if you withdraw from the Plan. Additionally, if you are a beneficial owner of our common units and are participating in the Plan through your broker, you should consult with your broker; you may be charged a fee by your broker for participating in the Plan on your behalf. </w:t>
      </w:r>
    </w:p>
    <w:p>
      <w:pPr>
        <w:pStyle w:val="TextBody"/>
        <w:bidi w:val="0"/>
        <w:spacing w:before="360" w:after="0"/>
        <w:jc w:val="left"/>
        <w:rPr>
          <w:rFonts w:ascii="Times New Roman" w:hAnsi="Times New Roman"/>
          <w:b/>
          <w:i/>
          <w:sz w:val="20"/>
        </w:rPr>
      </w:pPr>
      <w:r>
        <w:rPr>
          <w:rFonts w:ascii="Times New Roman" w:hAnsi="Times New Roman"/>
          <w:b/>
          <w:i/>
          <w:sz w:val="20"/>
        </w:rPr>
        <w:t xml:space="preserve">8. How many common units will be purchased for my account?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holder of our common units and are directly participating in the Plan, the number of common units, including fractional common units, purchased under the Plan will depend on the amount of your cash distribution you elect to reinvest and the price of the common units determined as provided above. Common units purchased under the Plan, including fractional common units, will be credited to your account. Both whole and fractional common units will be purchased. Fractional common units will be computed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and are participating in the Plan through your broker, you should contact your broker for the details of how the number of common units you purchase will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40,000,000 of our common units registered for sale under the Plan. We cannot assure you there will be enough common units to meet the requirements under the Plan. If we do not have a sufficient number of authorized but unissued common units to meet the Plan requirements during any quarter, and if the Administrator is unable to purchase a sufficient number of common units in the open market, any reinvested distributions received by the Administrator but not invested in our common units under the Plan will be returned to participants without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9. What are the U.S. federal income tax consequences of purchasing common units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For U.S. federal income tax purposes, you will be treated as if you first received the full cash distribution on your common units that participate in the Plan and then purchased additional common units with the portion of such cash distributions that is subject to the Plan. As a result, your adjusted basis for tax purposes in your common units will be reduced by the full amount of the deemed cash distribution and then increased by the amount of the distributions reinvested in additional common units pursuant to the Plan. Purchasing common units pursuant to the Plan will not affect the tax obligations associated with the common units you currently own or your allocable share of our net income allocable to such common units. However, participation in the Plan will reduce the amount of cash distributions available to you to satisfy any tax obligations associated with owning such common units. Please read “Material U.S. Federal Income Tax Consequences” for information relevant to holders of common units generally.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10. How can I withdraw from the Plan?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holder of our common units, you may discontinue the reinvestment of your distributions at any time by providing notice to the Administrator. In addition, you may change your distribution election online under the Administrator’s account management service, as described above. To be effective for a particular distribution payment, the Administrator must receive notice at least three days prior to the record date for that distribution for that distribution to be paid out in cash. In addition, you may request that all or part of your common units be sold. When your common units are sold through the Administrator, you will receive the proceeds less a service fee of $17.00 and any brokerage trading fees, currently $0.15 per unit.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our common units and you are participating in the Plan through your broker, you should direct your broker to discontinue participation in the Plan on your behalf. </w:t>
      </w:r>
    </w:p>
    <w:p>
      <w:pPr>
        <w:pStyle w:val="TextBody"/>
        <w:bidi w:val="0"/>
        <w:spacing w:before="240" w:after="0"/>
        <w:jc w:val="left"/>
        <w:rPr>
          <w:rFonts w:ascii="Times New Roman" w:hAnsi="Times New Roman"/>
          <w:sz w:val="20"/>
        </w:rPr>
      </w:pPr>
      <w:r>
        <w:rPr>
          <w:rFonts w:ascii="Times New Roman" w:hAnsi="Times New Roman"/>
          <w:sz w:val="20"/>
        </w:rPr>
        <w:t xml:space="preserve">If you dispose of all the common units registered in your name, but do not give notice of withdrawal to the Administrator, the Administrator will continue to reinvest the cash distributions on any common units held in your account under the Plan until the Administrator is notified otherwise. </w:t>
      </w:r>
    </w:p>
    <w:p>
      <w:pPr>
        <w:pStyle w:val="TextBody"/>
        <w:bidi w:val="0"/>
        <w:spacing w:before="240" w:after="0"/>
        <w:jc w:val="left"/>
        <w:rPr>
          <w:rFonts w:ascii="Times New Roman" w:hAnsi="Times New Roman"/>
          <w:sz w:val="20"/>
        </w:rPr>
      </w:pPr>
      <w:r>
        <w:rPr>
          <w:rFonts w:ascii="Times New Roman" w:hAnsi="Times New Roman"/>
          <w:sz w:val="20"/>
        </w:rPr>
        <w:t xml:space="preserve">Generally, an owner of common units may again become a participant in the Plan. However, we reserve the right to reject the enrollment of a previous participant in the Plan on grounds of excessive joining and termination. This reservation is intended to minimize administrative expense and to encourage use of the Plan as a long-term investment service.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11. How will my common units be held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holder of our common units and you are directly participating in the Plan, the common units that you acquire under the Plan will be maintained in your Plan account in non-certificated form for safekeeping. Safekeeping protects your common units against physical loss, theft or accidental destruction and also provides a convenient way for you to keep track of your common units. Only common units held in safekeeping may be sold through the Plan. </w:t>
      </w:r>
    </w:p>
    <w:p>
      <w:pPr>
        <w:pStyle w:val="TextBody"/>
        <w:bidi w:val="0"/>
        <w:spacing w:before="240" w:after="0"/>
        <w:jc w:val="left"/>
        <w:rPr>
          <w:rFonts w:ascii="Times New Roman" w:hAnsi="Times New Roman"/>
          <w:sz w:val="20"/>
        </w:rPr>
      </w:pPr>
      <w:r>
        <w:rPr>
          <w:rFonts w:ascii="Times New Roman" w:hAnsi="Times New Roman"/>
          <w:sz w:val="20"/>
        </w:rPr>
        <w:t xml:space="preserve">If you own common units in certificated form, you may deposit your certificates for those common units that you own and that are registered in your name for safekeeping under the Plan with the Administrator, for a one-time fee of $7.50. This fee will be waived by the plan administrator if you are selling your certificated common units at the same time you are committing common units with the Administrator for safekeeping. The Administrator will credit the common units represented by the certificates to your account in “book-entry” form and will combine the common units with any whole and fractional units then held in your plan account. In addition to protecting against the loss, theft or destruction of your certificates, this service is convenient if and when you sell common units through the Plan. Because you bear the risk of loss in sending certificates to the Administrator, you should send certificates by registered mail, return receipt requested, and properly insured to the address specified in Question 6 above. </w:t>
      </w:r>
    </w:p>
    <w:p>
      <w:pPr>
        <w:pStyle w:val="TextBody"/>
        <w:bidi w:val="0"/>
        <w:spacing w:before="240" w:after="0"/>
        <w:jc w:val="left"/>
        <w:rPr>
          <w:rFonts w:ascii="Times New Roman" w:hAnsi="Times New Roman"/>
          <w:sz w:val="20"/>
        </w:rPr>
      </w:pPr>
      <w:r>
        <w:rPr>
          <w:rFonts w:ascii="Times New Roman" w:hAnsi="Times New Roman"/>
          <w:sz w:val="20"/>
        </w:rPr>
        <w:t xml:space="preserve">No certificates will be issued to you for common units in the Plan unless you submit a written request to the Administrator or until your participation in the Plan is terminated. At any time, you may request the Administrator to send a certificate for some or all of the common units credited to your account. This request should be mailed to the Administrator at the address set forth in the answer to Question 6 or made via </w:t>
      </w:r>
      <w:r>
        <w:rPr>
          <w:rFonts w:ascii="Times New Roman" w:hAnsi="Times New Roman"/>
          <w:i/>
          <w:sz w:val="20"/>
        </w:rPr>
        <w:t>www.equiniti.com</w:t>
      </w:r>
      <w:r>
        <w:rPr>
          <w:rFonts w:ascii="Times New Roman" w:hAnsi="Times New Roman"/>
          <w:sz w:val="20"/>
        </w:rPr>
        <w:t xml:space="preserve">. There is no fee for this service. Any remaining whole common units and any fraction of a common unit will remain credited to your plan account. Certificates for fractional common units will not be issued under any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are a beneficial owner of our common units and you are participating in the Plan through your broker, the common units that are purchased on your behalf under the Plan will be maintained in your account with your broker. </w:t>
      </w:r>
    </w:p>
    <w:p>
      <w:pPr>
        <w:pStyle w:val="TextBody"/>
        <w:bidi w:val="0"/>
        <w:spacing w:before="360" w:after="0"/>
        <w:jc w:val="left"/>
        <w:rPr>
          <w:rFonts w:ascii="Times New Roman" w:hAnsi="Times New Roman"/>
          <w:b/>
          <w:i/>
          <w:sz w:val="20"/>
        </w:rPr>
      </w:pPr>
      <w:r>
        <w:rPr>
          <w:rFonts w:ascii="Times New Roman" w:hAnsi="Times New Roman"/>
          <w:b/>
          <w:i/>
          <w:sz w:val="20"/>
        </w:rPr>
        <w:t xml:space="preserve">12. How do I sell common units held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holder of our common units and you are directly participating in the Plan, you can sell your Plan common units at any time by contacting the Administrator. Your sale request will be processed, and your common units will, subject to market conditions and other factors, generally be sold within 24 hours of receipt and processing of your request. Please note that the Administrator cannot and does not guarantee the actual sale date or price, nor can it stop or cancel any outstanding sale or issuance requests. All requests are final. The Administrator will mail a check to you (less applicable sales fees) on the applicable settlement date. Please allow an additional five to seven business days from the settlement date to receive your check. </w:t>
      </w:r>
    </w:p>
    <w:p>
      <w:pPr>
        <w:pStyle w:val="TextBody"/>
        <w:bidi w:val="0"/>
        <w:spacing w:before="240" w:after="0"/>
        <w:jc w:val="left"/>
        <w:rPr>
          <w:rFonts w:ascii="Times New Roman" w:hAnsi="Times New Roman"/>
          <w:sz w:val="20"/>
        </w:rPr>
      </w:pPr>
      <w:r>
        <w:rPr>
          <w:rFonts w:ascii="Times New Roman" w:hAnsi="Times New Roman"/>
          <w:sz w:val="20"/>
        </w:rPr>
        <w:t xml:space="preserve">Alternatively, you may choose to withdraw your common units from your Plan account and sell them through a broker of your choice, in which case you would have to request that the Administrator electronically transfer your common units to the broker through the Direct Registration System. Or, you may request a certificate for your common units from the Administrator for delivery to your broker prior to such sale.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our common units and you are participating in the Plan through your broker, you should contact your broker to sell your common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13. How will I keep track of my investments?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holder of our common units and you are directly participating in the Plan, the Administrator will send you a transaction notice confirming the details of each transaction that you make and a quarterly statement of your account.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our common units and you are participating in the Plan through your broker, the details of the reinvestment transactions will be maintained by your broker. You should contact your broker to determine how this information will be provided to you. </w:t>
      </w:r>
    </w:p>
    <w:p>
      <w:pPr>
        <w:pStyle w:val="TextBody"/>
        <w:bidi w:val="0"/>
        <w:spacing w:before="360" w:after="0"/>
        <w:jc w:val="left"/>
        <w:rPr>
          <w:rFonts w:ascii="Times New Roman" w:hAnsi="Times New Roman"/>
          <w:b/>
          <w:i/>
          <w:sz w:val="20"/>
        </w:rPr>
      </w:pPr>
      <w:r>
        <w:rPr>
          <w:rFonts w:ascii="Times New Roman" w:hAnsi="Times New Roman"/>
          <w:b/>
          <w:i/>
          <w:sz w:val="20"/>
        </w:rPr>
        <w:t xml:space="preserve">14. Can the Plan be suspended, modified or terminated? </w:t>
      </w:r>
    </w:p>
    <w:p>
      <w:pPr>
        <w:pStyle w:val="TextBody"/>
        <w:bidi w:val="0"/>
        <w:spacing w:before="120" w:after="0"/>
        <w:jc w:val="left"/>
        <w:rPr>
          <w:rFonts w:ascii="Times New Roman" w:hAnsi="Times New Roman"/>
          <w:sz w:val="20"/>
        </w:rPr>
      </w:pPr>
      <w:r>
        <w:rPr>
          <w:rFonts w:ascii="Times New Roman" w:hAnsi="Times New Roman"/>
          <w:sz w:val="20"/>
        </w:rPr>
        <w:t xml:space="preserve">We reserve the right to suspend, modify or terminate the Plan at any time. Participants will be notified of any suspension, modification or termination of the Plan. If you are a registered holder of our common units and you are directly participating in the Plan, upon our termination of the Plan, a certificate will be issued to you for the number of whole common units in your account. Any fractional common unit in your Plan account will be converted to cash and remitted to you by check. </w:t>
      </w:r>
    </w:p>
    <w:p>
      <w:pPr>
        <w:pStyle w:val="TextBody"/>
        <w:bidi w:val="0"/>
        <w:spacing w:before="360" w:after="0"/>
        <w:jc w:val="left"/>
        <w:rPr>
          <w:rFonts w:ascii="Times New Roman" w:hAnsi="Times New Roman"/>
          <w:b/>
          <w:i/>
          <w:sz w:val="20"/>
        </w:rPr>
      </w:pPr>
      <w:r>
        <w:rPr>
          <w:rFonts w:ascii="Times New Roman" w:hAnsi="Times New Roman"/>
          <w:b/>
          <w:i/>
          <w:sz w:val="20"/>
        </w:rPr>
        <w:t xml:space="preserve">15. What would be the effect of any unit splits, unit distributions or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Any common units we distribute as a distribution on common units (including fractional common units) that are credited to your account under the Plan, or upon any split of such common units, will be fully credited to your account including common units held by you. In the event of a rights offering, your entitlement will be based upon your total holdings, including those credited to your account under the Plan. Rights applicable to common units credited to your account under the Plan will be sold by the Administrator and the proceeds will be credited to your account under the Plan and applied to the purchase of common units on the next investment date.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exercise, transfer or sell any portion of the rights applicable to the common units credited to your account under the Plan, you must request, at least three days prior to the record date for the issuance of any such rights, that a portion of the common units credited to your account be transferred from your account and registered in your name. Transaction processing may either be curtailed or suspended until the completion of any unit distribution, unit split or other corporate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Responsibilities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We, the Administrator and any agent will not be liable in administering the Plan for any act done in good faith, or for any omission to act in good faith with regards to purchasing and/or selling common units for participants and, including, without limitation, any claim of liability arising out of failure to terminate a participant’s account upon that participant’s death prior to the receipt of notice in writing of such death. Since we have delegated all responsibility for administering the Plan to the Administrator, we specifically disclaim any responsibility for any of its actions or inactions in connection with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You should recognize that neither we, the Administrator, nor any agent can assure you of a profit or protect you against an economic loss on common units purchased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8646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either the number of common units that will be purchased under the Plan or the prices at which common units will be sold to participants. The net proceeds we realize from sales of our common units pursuant to the Plan will be used for general partnership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86469_7"/>
      <w:bookmarkEnd w:id="9"/>
      <w:r>
        <w:rPr>
          <w:rFonts w:ascii="Times New Roman" w:hAnsi="Times New Roman"/>
          <w:b/>
          <w:sz w:val="20"/>
        </w:rPr>
        <w:t xml:space="preserve">DESCRIPTION OF COMMON UNITS </w:t>
      </w:r>
    </w:p>
    <w:p>
      <w:pPr>
        <w:pStyle w:val="TextBody"/>
        <w:bidi w:val="0"/>
        <w:spacing w:before="240" w:after="0"/>
        <w:jc w:val="left"/>
        <w:rPr>
          <w:rFonts w:ascii="Times New Roman" w:hAnsi="Times New Roman"/>
          <w:sz w:val="20"/>
        </w:rPr>
      </w:pPr>
      <w:r>
        <w:rPr>
          <w:rFonts w:ascii="Times New Roman" w:hAnsi="Times New Roman"/>
          <w:sz w:val="20"/>
        </w:rPr>
        <w:t xml:space="preserve">Our common units represent limited partner interests in Energy Transfer LP (the “Partnership”). Our common units entitle the holders to participate in our cash distributions and to exercise the rights and privileges available to our limited partners under our Agreement of Limited Partnership, as amended to date (our “partnership agreement”). For a description of the rights of holders of our common units to cash distributions, see the section below entitled “Cash Distribution Policy.” For a description of the rights and privileges of limited partners under our partnership agreement, including voting rights, see the section below entitled “Our Partnership Agreement.” We urge you to read our partnership agreement, as our partnership agreement, and not this description, governs the rights of holders of our common units. </w:t>
      </w:r>
    </w:p>
    <w:p>
      <w:pPr>
        <w:pStyle w:val="TextBody"/>
        <w:bidi w:val="0"/>
        <w:spacing w:before="360" w:after="0"/>
        <w:jc w:val="left"/>
        <w:rPr>
          <w:rFonts w:ascii="Times New Roman" w:hAnsi="Times New Roman"/>
          <w:b/>
          <w:sz w:val="20"/>
        </w:rPr>
      </w:pPr>
      <w:r>
        <w:rPr>
          <w:rFonts w:ascii="Times New Roman" w:hAnsi="Times New Roman"/>
          <w:b/>
          <w:sz w:val="20"/>
        </w:rPr>
        <w:t xml:space="preserve">Number of Common Units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our common units are held by the public and the remaining are held by our affiliates. In accordance with Texas law and the provisions of our partnership agreement, we may issue additional common units without the approval of the then-existing holders of common units, and such additional issuance may dilute the then-existing common unitholders’ percentage interests in our net assets and the voting rights of the common unitholders under our partnership agreement. As of July 31, 2026, we had 3,443,299,601 common units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Unlike the holders of common stock in a corporation, the holders of our common units have only limited voting rights on matters affecting our business. The holders of our common units have no right to elect the general partner or the directors of the general partner on an annual or otherwise continuing basis. Our general partner may not be removed except by the vote of the holders of at least 66 2/3% of the outstanding units, including units owned by the general partner and its affiliates. Each holder of common units is entitled to one vote for each common unit on all matters submitted to a vote of the unitholders. Common unitholders do not have preemptive rights to acquire additional common units or other partnership securities. </w:t>
      </w:r>
    </w:p>
    <w:p>
      <w:pPr>
        <w:pStyle w:val="TextBody"/>
        <w:bidi w:val="0"/>
        <w:spacing w:before="240" w:after="0"/>
        <w:jc w:val="left"/>
        <w:rPr>
          <w:rFonts w:ascii="Times New Roman" w:hAnsi="Times New Roman"/>
          <w:sz w:val="20"/>
        </w:rPr>
      </w:pPr>
      <w:r>
        <w:rPr>
          <w:rFonts w:ascii="Times New Roman" w:hAnsi="Times New Roman"/>
          <w:sz w:val="20"/>
        </w:rPr>
        <w:t xml:space="preserve">Holders of Energy Transfer common units may vote 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 or exchange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a successor general partner in connection with the withdrawal or removal of our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dissolution or reconstitution of the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merger of the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limited partner interests in some circumstances;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amendments to our partnership agreement, including any amendment that would cause Energy Transfer to be treated as an association taxable as a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Removal of the general partner requires: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66 2/3% vote of all outstanding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a successor general partner by the holders of a majority of our outstanding common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of Energy Transfer Common Units </w:t>
      </w:r>
    </w:p>
    <w:p>
      <w:pPr>
        <w:pStyle w:val="TextBody"/>
        <w:bidi w:val="0"/>
        <w:spacing w:before="120" w:after="0"/>
        <w:jc w:val="left"/>
        <w:rPr>
          <w:rFonts w:ascii="Times New Roman" w:hAnsi="Times New Roman"/>
          <w:sz w:val="20"/>
        </w:rPr>
      </w:pPr>
      <w:r>
        <w:rPr>
          <w:rFonts w:ascii="Times New Roman" w:hAnsi="Times New Roman"/>
          <w:sz w:val="20"/>
        </w:rPr>
        <w:t xml:space="preserve">Any transfers of common units will not be recorded by the transfer agent or recognized by us unless the transferee executes and delivers a transfer application. By executing and delivering a transfer application, the transferee of common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becomes the record holder of the common units and is an assignee until admitted as a substituted limited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requests admission as a substituted limited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and warrants that such transferee has the right, power and authority and, if an individual, the capacity to enter into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grants the powers of attorney set forth in our partnership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gives the consents and approvals and makes the waivers contained in our partnership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assignee will become a substituted limited partner for the transferred common units upon the consent of our general partner and the recording of the name of the assignee on our books and records. Our general partner may withhold its consent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A transferee’s broker, agent or nominee may complete, execute and deliver a transfer application. We are entitled to treat the nominee holder of common units as the absolute owner. In that case, the beneficial holder’s rights are limited solely to those that it has against the nominee holder as a result of any agreement between the beneficial owner and the nominee holder. </w:t>
      </w:r>
    </w:p>
    <w:p>
      <w:pPr>
        <w:pStyle w:val="TextBody"/>
        <w:bidi w:val="0"/>
        <w:spacing w:before="240" w:after="0"/>
        <w:jc w:val="left"/>
        <w:rPr>
          <w:rFonts w:ascii="Times New Roman" w:hAnsi="Times New Roman"/>
          <w:sz w:val="20"/>
        </w:rPr>
      </w:pPr>
      <w:r>
        <w:rPr>
          <w:rFonts w:ascii="Times New Roman" w:hAnsi="Times New Roman"/>
          <w:sz w:val="20"/>
        </w:rPr>
        <w:t xml:space="preserve">Our common units are securities and are transferable according to the laws governing transfer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other rights acquired upon admission as a substituted limited partner for the transferred common units, a purchaser or transferee of our common units who does not execute and deliver a transfer application obtains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assign the common units to a purchaser or other transferee;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transfer the right to seek admission as a substituted limited partner for the transferred common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Thus, a purchaser or transferee of our common units who does not execute and deliver a transfer application: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cash distributions or federal income tax allocations, unless the common units are held in a nominee or “street name” account and the nominee or broker has executed and delivered a transfer application;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not receive some federal income tax information or reports furnished to record holders of common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transferor of common units has a duty to provide the transferee with all information that may be necessary to transfer the common units. The transferor does not have a duty to ensure the execution of the transfer application by the transferee and has no liability or responsibility if the transferee neglects or chooses not to execute and forward the transfer application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Until a common unit has been transferred on our books, we and the transfer agent may treat the record holder of the common unit as the absolute owner for all purposes, except as otherwise required by law or stock exchange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outstanding common units are listed on the TXSE under the symbol “ET.” Any additional common units we issue also will be listed on the TXSE.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Our transfer agent and registrar for the common units is Equiniti.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Partnership Agreement </w:t>
      </w:r>
    </w:p>
    <w:p>
      <w:pPr>
        <w:pStyle w:val="TextBody"/>
        <w:bidi w:val="0"/>
        <w:spacing w:before="120" w:after="0"/>
        <w:jc w:val="left"/>
        <w:rPr>
          <w:rFonts w:ascii="Times New Roman" w:hAnsi="Times New Roman"/>
          <w:sz w:val="20"/>
        </w:rPr>
      </w:pPr>
      <w:r>
        <w:rPr>
          <w:rFonts w:ascii="Times New Roman" w:hAnsi="Times New Roman"/>
          <w:sz w:val="20"/>
        </w:rPr>
        <w:t xml:space="preserve">This description is a summary of the material provisions of our partnership agreement. The provisions of our partnership agreement relating to distributions of our available cash are described under “Cash Distribution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our partnership agreement contained herein does not purport to be complete and is qualified in its entirety by reference to the complete text of our Agreement of Limited Partnership of Energy Transfer LP, dated July 6, 2026. A copy of our partnership agreement is filed as Exhibit 3.2 to our Current Report on Form 8-K filed with the SEC on July 6, 2026.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read our partnership agreement, as our partnership agreement, and not this description, governs our partnership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Under our partnership agreement, we are permitted to engage, directly or indirectly, in any business activity that is approved by our general partner and that lawfully may be conducted by a limited partnership organized under Texas law, provided that our general partner may not cause us to engage, directly or indirectly, in any business activity that our general partner determines would cause us to be treated as an association taxable as a corporation or otherwise taxable as an entity for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Power of Attorney </w:t>
      </w:r>
    </w:p>
    <w:p>
      <w:pPr>
        <w:pStyle w:val="TextBody"/>
        <w:bidi w:val="0"/>
        <w:spacing w:before="120" w:after="0"/>
        <w:jc w:val="left"/>
        <w:rPr>
          <w:rFonts w:ascii="Times New Roman" w:hAnsi="Times New Roman"/>
          <w:sz w:val="20"/>
        </w:rPr>
      </w:pPr>
      <w:r>
        <w:rPr>
          <w:rFonts w:ascii="Times New Roman" w:hAnsi="Times New Roman"/>
          <w:sz w:val="20"/>
        </w:rPr>
        <w:t xml:space="preserve">Each unitholder, and each person who acquires a unit from a unitholder, by accepting the unit, automatically grants to our general partner and, if appointed, a liquidator, a power of attorney to, among other things, execute and file documents required for our qualification, continuance or dissolution. The power of attorney also grants the authority to amend, and to make consents and waivers under, our partnership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partnership agreement, we make quarterly distributions of available cash to all unitholders and our general partner. Please see “Cash Distribution Policy.” </w:t>
      </w:r>
    </w:p>
    <w:p>
      <w:pPr>
        <w:pStyle w:val="TextBody"/>
        <w:bidi w:val="0"/>
        <w:spacing w:before="360" w:after="0"/>
        <w:jc w:val="left"/>
        <w:rPr>
          <w:rFonts w:ascii="Times New Roman" w:hAnsi="Times New Roman"/>
          <w:b/>
          <w:sz w:val="20"/>
        </w:rPr>
      </w:pPr>
      <w:r>
        <w:rPr>
          <w:rFonts w:ascii="Times New Roman" w:hAnsi="Times New Roman"/>
          <w:b/>
          <w:sz w:val="20"/>
        </w:rPr>
        <w:t xml:space="preserve">Reimbursement of Expenses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Our general partner is entitled to determine in good faith the expenses that are allocable to us.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Additional Partnership Securities; 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authorizes us to issue an unlimited number of additional partnership securities and options, rights, warrants and appreciation rights relating to the partnership securities for any partnership purpose at any time and from time to time to such persons, for such consideration and on such terms and conditions as our general partner determines, all without the approval of any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we will fund acquisitions through the issuance of additional common units or other equity securities. Holders of any additional common units we issue will be entitled to share equally with the then- existing holders of common units in our distributions of available cash. In addition, the issuance of additional partnership interests may dilute (i) the percentage interests of the then-existing holders of common units in our net assets and (ii) the voting rights of the then-existing holders of common units under our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Texas law and the provisions of our partnership agreement, we may also issue additional partnership securities that have special voting rights to which the common units are not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issuance of additional partnership securities, our general partner will have the right to make additional capital contributions to the extent necessary to maintain its then-current general partner interest in us; provided, however, that the capital contributions of our general partner will be offset to the extent contributions received by us in exchange for the issuance of additional partnership securities are used by us concurrently with such contributions to redeem or repurchase from any person outstanding partnership securities of the same class as the partnership securities that were issued. Moreover, our general partner will have the right, which it may from time to time assign in whole or in part to any of its affiliates, to purchase common units or other partnership securities whenever, and on the same terms that, we issue those securities to persons other than our general partner and its affiliates, to the extent necessary to maintain its percentage interest, including its interest represented by common units, that existed immediately prior to each issuance.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our common units do not have preemptive rights to acquire additional common units or other partnership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also have Class A units representing limited partner interests (the “Class A units”) outstanding. The Class A units vote together with our common units, as a single class, on any matter for which the holders of common units are entitled to vote, except as required by law. Additionally, for so long as Kelcy Warren is an officer or a director of our general partner, upon the issuance by us of additional common units or any securities that have voting rights that are </w:t>
      </w:r>
      <w:r>
        <w:rPr>
          <w:rFonts w:ascii="Times New Roman" w:hAnsi="Times New Roman"/>
          <w:i/>
          <w:sz w:val="20"/>
        </w:rPr>
        <w:t>pari passu</w:t>
      </w:r>
      <w:r>
        <w:rPr>
          <w:rFonts w:ascii="Times New Roman" w:hAnsi="Times New Roman"/>
          <w:sz w:val="20"/>
        </w:rPr>
        <w:t xml:space="preserve"> with our common units, we will issue to the holder of Class A units a number of additional Class A units such that the holder maintains a voting interest in us that is identical to its voting interest in us prior to such issuance. The Class A units are not entitled to distributions and otherwise have no economic attributes, except that the Class A units in the aggregate will be entitled to an aggregate $100 distribution prior and in preference to any distribution of assets to the holders of any other classes or series of our securities upon our liquidation, dissolution or winding up. The Class A units are not convertible into, or exchangeable for, common units. In addition to the other voting rights of the Class A units, without the approval of 66 2/3% of the Class A units, we may not take any action that disproportionately or materially adversely affects the rights, preferences or privileges of the Class A units or amend the terms of the Class A units. Without the prior approval of a conflicts committee of the board of directors of our general partner, the Class A units may not be transferred to any person or entity, other than to Kelcy Warren, Ray Davis or to any trust, family partnership or family limited liability company the sole beneficiaries, partners or members of which are Kelcy Warren, Ray Davis or their respective relatives.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Our Partnership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Amendments to our partnership agreement may be proposed only by our general partner. Our general partner has no duty or obligation to propose any amendment to our partnership agreement and may decline to do so free of any fiduciary duty or obligation whatsoever to us, any limited partner or assignee and, in declining to propose an amendment, is not required to act in good faith or pursuant to any other standard imposed by our partnership agreement, any other agreement contemplated under our partnership agreement or under the Texas Business Organizations Code (“TBOC”) or any other law, rule or regulation. A proposed amendment will be effective upon its approval by the holders of a majority of the outstanding common units (a “unit majority”), unless a greater or different percentage is required under our partnership agreement or by Texas law. Each proposed amendment that requires the approval of the holders of a specified percentage of outstanding units will be set forth in a writing that contains the text of the proposed amendment. If such an amendment is proposed, our general partner will seek the written approval of the requisite percentage of outstanding units or call a meeting of the unitholders to consider and vote on such proposed amendment. Our general partner will notify all record holders upon final adoption of any such proposed amendments. </w:t>
      </w:r>
    </w:p>
    <w:p>
      <w:pPr>
        <w:pStyle w:val="TextBody"/>
        <w:bidi w:val="0"/>
        <w:spacing w:before="360" w:after="0"/>
        <w:jc w:val="left"/>
        <w:rPr>
          <w:rFonts w:ascii="Times New Roman" w:hAnsi="Times New Roman"/>
          <w:i/>
          <w:sz w:val="20"/>
        </w:rPr>
      </w:pPr>
      <w:r>
        <w:rPr>
          <w:rFonts w:ascii="Times New Roman" w:hAnsi="Times New Roman"/>
          <w:i/>
          <w:sz w:val="20"/>
        </w:rPr>
        <w:t xml:space="preserve">Restrictions on Certain Amendments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provides that: </w:t>
      </w:r>
    </w:p>
    <w:p>
      <w:pPr>
        <w:pStyle w:val="TextBody"/>
        <w:bidi w:val="0"/>
        <w:spacing w:before="120" w:after="0"/>
        <w:jc w:val="left"/>
        <w:rPr>
          <w:rFonts w:ascii="Times New Roman" w:hAnsi="Times New Roman"/>
          <w:sz w:val="20"/>
        </w:rPr>
      </w:pPr>
      <w:r>
        <w:rPr>
          <w:rFonts w:ascii="Times New Roman" w:hAnsi="Times New Roman"/>
          <w:sz w:val="20"/>
        </w:rPr>
        <w:t xml:space="preserve">1. no provision of our partnership agreement that establishes a percentage of outstanding units (including units deemed owned by our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no amendment to our partnership agreement may (a) enlarge the obligations of any limited partner without its consent, unless such shall be deemed to have occurred as a result of an amendment approved pursuant to clause (3) below, (b) enlarge the obligations of, restrict in any way any action by or rights of, or reduce in any way the amounts distributable, reimbursable or otherwise payable to, our general partner or any of its affiliates without its consent, which consent may be given or withheld at its option, (c) change the provision of our partnership agreement providing for our dissolution upon an election to dissolve our partnership by our general partner that is approved by a unit majority (the “election to dissolve provision”), or (d) change the term of our partnership or, except as set forth in the election to dissolve provision, give any person the right to dissolve our partnership; </w:t>
      </w:r>
    </w:p>
    <w:p>
      <w:pPr>
        <w:pStyle w:val="TextBody"/>
        <w:bidi w:val="0"/>
        <w:spacing w:before="120" w:after="0"/>
        <w:jc w:val="left"/>
        <w:rPr>
          <w:rFonts w:ascii="Times New Roman" w:hAnsi="Times New Roman"/>
          <w:sz w:val="20"/>
        </w:rPr>
      </w:pPr>
      <w:r>
        <w:rPr>
          <w:rFonts w:ascii="Times New Roman" w:hAnsi="Times New Roman"/>
          <w:sz w:val="20"/>
        </w:rPr>
        <w:t xml:space="preserve">3. except for mergers or consolidations approved pursuant to the partnership agreement, and without limitation of our general partner’s authority to adopt amendments to our partnership agreement described below under “—No Unitholder Approval,”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 </w:t>
      </w:r>
    </w:p>
    <w:p>
      <w:pPr>
        <w:pStyle w:val="TextBody"/>
        <w:bidi w:val="0"/>
        <w:spacing w:before="120" w:after="0"/>
        <w:jc w:val="left"/>
        <w:rPr>
          <w:rFonts w:ascii="Times New Roman" w:hAnsi="Times New Roman"/>
          <w:sz w:val="20"/>
        </w:rPr>
      </w:pPr>
      <w:r>
        <w:rPr>
          <w:rFonts w:ascii="Times New Roman" w:hAnsi="Times New Roman"/>
          <w:sz w:val="20"/>
        </w:rPr>
        <w:t xml:space="preserve">4. except for amendments described below under “—No Unitholder Approval” and except in connection with unitholder approval of a merger or consolidation, no amendments shall become effective without the approval of the holders of at least 90% of the outstanding units voting as a single class unless we obtain an opinion of counsel to the effect that such amendment will not affect the limited liability of any limited partner under applicable law; and </w:t>
      </w:r>
    </w:p>
    <w:p>
      <w:pPr>
        <w:pStyle w:val="TextBody"/>
        <w:bidi w:val="0"/>
        <w:spacing w:before="120" w:after="0"/>
        <w:jc w:val="left"/>
        <w:rPr>
          <w:rFonts w:ascii="Times New Roman" w:hAnsi="Times New Roman"/>
          <w:sz w:val="20"/>
        </w:rPr>
      </w:pPr>
      <w:r>
        <w:rPr>
          <w:rFonts w:ascii="Times New Roman" w:hAnsi="Times New Roman"/>
          <w:sz w:val="20"/>
        </w:rPr>
        <w:t xml:space="preserve">5. except for amendments described below under “—No Unitholder Approval,” the provisions set forth in clauses (1) through (4) above may only be amended with the approval of the holders of at least 90% of the outstanding units. </w:t>
      </w:r>
    </w:p>
    <w:p>
      <w:pPr>
        <w:pStyle w:val="TextBody"/>
        <w:bidi w:val="0"/>
        <w:spacing w:before="360" w:after="0"/>
        <w:jc w:val="left"/>
        <w:rPr>
          <w:rFonts w:ascii="Times New Roman" w:hAnsi="Times New Roman"/>
          <w:i/>
          <w:sz w:val="20"/>
        </w:rPr>
      </w:pPr>
      <w:r>
        <w:rPr>
          <w:rFonts w:ascii="Times New Roman" w:hAnsi="Times New Roman"/>
          <w:i/>
          <w:sz w:val="20"/>
        </w:rPr>
        <w:t xml:space="preserve">No Unitholder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Our general partner, without the approval of any limited partner, may amend any provision of our partnership agreement to reflect: </w:t>
      </w:r>
    </w:p>
    <w:p>
      <w:pPr>
        <w:pStyle w:val="TextBody"/>
        <w:bidi w:val="0"/>
        <w:spacing w:before="120" w:after="0"/>
        <w:jc w:val="left"/>
        <w:rPr>
          <w:rFonts w:ascii="Times New Roman" w:hAnsi="Times New Roman"/>
          <w:sz w:val="20"/>
        </w:rPr>
      </w:pPr>
      <w:r>
        <w:rPr>
          <w:rFonts w:ascii="Times New Roman" w:hAnsi="Times New Roman"/>
          <w:sz w:val="20"/>
        </w:rPr>
        <w:t xml:space="preserve">1. a change in our name, the location of our principal place of business, our registered agent or our registered office; </w:t>
      </w:r>
    </w:p>
    <w:p>
      <w:pPr>
        <w:pStyle w:val="TextBody"/>
        <w:bidi w:val="0"/>
        <w:spacing w:before="120" w:after="0"/>
        <w:jc w:val="left"/>
        <w:rPr>
          <w:rFonts w:ascii="Times New Roman" w:hAnsi="Times New Roman"/>
          <w:sz w:val="20"/>
        </w:rPr>
      </w:pPr>
      <w:r>
        <w:rPr>
          <w:rFonts w:ascii="Times New Roman" w:hAnsi="Times New Roman"/>
          <w:sz w:val="20"/>
        </w:rPr>
        <w:t xml:space="preserve">2. admission, substitution, withdrawal or removal of partners in accordance with our partnership agreement; </w:t>
      </w:r>
    </w:p>
    <w:p>
      <w:pPr>
        <w:pStyle w:val="TextBody"/>
        <w:bidi w:val="0"/>
        <w:spacing w:before="120" w:after="0"/>
        <w:jc w:val="left"/>
        <w:rPr>
          <w:rFonts w:ascii="Times New Roman" w:hAnsi="Times New Roman"/>
          <w:sz w:val="20"/>
        </w:rPr>
      </w:pPr>
      <w:r>
        <w:rPr>
          <w:rFonts w:ascii="Times New Roman" w:hAnsi="Times New Roman"/>
          <w:sz w:val="20"/>
        </w:rPr>
        <w:t xml:space="preserve">3. a change that our general partner determines to be necessary or appropriate to qualify or continue the qualification of our partnership as a limited partnership or a partnership in which the limited partners have limited liability under the laws of any state or to ensure that the members of the partnership group will not be treated as associations taxable as corporations or otherwise taxed as entities for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4. a change that our general partner determines (a) does not adversely affect the limited partners (including any particular class of partnership interests as compared to other classes of partnership interests) in any material respect, (b) to be necessary or appropriate to (i) satisfy any requirements, conditions or guidelines contained in any opinion, directive, order, ruling or regulation of any federal or state agency or judicial authority or contained in any federal or state statute (including the TBOC) or (ii) facilitate the trading of our units (including the division of any class or classes of outstanding units into different classes to facilitate uniformity of tax consequences within such classes of units) or comply with any rule, regulation, guideline or requirement of any national securities exchange on which the units are or will be listed for trading, (c) to be necessary or appropriate in connection with action taken by our general partner pursuant to the provisions of our partnership agreement governing distributions, subdivisions and combinations of partnership securities or (d) is required to effect the intent of the provisions of our partnership agreement or is otherwise contemplated by our partnership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 a change in our fiscal year or taxable year and any other changes that our general partner determines to be necessary or appropriate as a result of a change in our fiscal year or taxable year, including, if our general partner shall so determine, a change in the definition of “Quarter” under our partnership agreement and the dates on which distributions are to be made by us; </w:t>
      </w:r>
    </w:p>
    <w:p>
      <w:pPr>
        <w:pStyle w:val="TextBody"/>
        <w:bidi w:val="0"/>
        <w:spacing w:before="120" w:after="0"/>
        <w:jc w:val="left"/>
        <w:rPr>
          <w:rFonts w:ascii="Times New Roman" w:hAnsi="Times New Roman"/>
          <w:sz w:val="20"/>
        </w:rPr>
      </w:pPr>
      <w:r>
        <w:rPr>
          <w:rFonts w:ascii="Times New Roman" w:hAnsi="Times New Roman"/>
          <w:sz w:val="20"/>
        </w:rPr>
        <w:t xml:space="preserve">6. an amendment that is necessary, in the opinion of counsel, to prevent us, or our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 </w:t>
      </w:r>
    </w:p>
    <w:p>
      <w:pPr>
        <w:pStyle w:val="TextBody"/>
        <w:bidi w:val="0"/>
        <w:spacing w:before="120" w:after="0"/>
        <w:jc w:val="left"/>
        <w:rPr>
          <w:rFonts w:ascii="Times New Roman" w:hAnsi="Times New Roman"/>
          <w:sz w:val="20"/>
        </w:rPr>
      </w:pPr>
      <w:r>
        <w:rPr>
          <w:rFonts w:ascii="Times New Roman" w:hAnsi="Times New Roman"/>
          <w:sz w:val="20"/>
        </w:rPr>
        <w:t xml:space="preserve">7. subject to certain limitations, an amendment that our general partner determines to be necessary or appropriate in connection with the authorization of issuance of any class or series of partnership securities pursuant to our partnership agreement; </w:t>
      </w:r>
    </w:p>
    <w:p>
      <w:pPr>
        <w:pStyle w:val="TextBody"/>
        <w:bidi w:val="0"/>
        <w:spacing w:before="120" w:after="0"/>
        <w:jc w:val="left"/>
        <w:rPr>
          <w:rFonts w:ascii="Times New Roman" w:hAnsi="Times New Roman"/>
          <w:sz w:val="20"/>
        </w:rPr>
      </w:pPr>
      <w:r>
        <w:rPr>
          <w:rFonts w:ascii="Times New Roman" w:hAnsi="Times New Roman"/>
          <w:sz w:val="20"/>
        </w:rPr>
        <w:t xml:space="preserve">8. any amendment expressly permitted in our partnership agreement to be made by our general partner acting alone; </w:t>
      </w:r>
    </w:p>
    <w:p>
      <w:pPr>
        <w:pStyle w:val="TextBody"/>
        <w:bidi w:val="0"/>
        <w:spacing w:before="120" w:after="0"/>
        <w:jc w:val="left"/>
        <w:rPr>
          <w:rFonts w:ascii="Times New Roman" w:hAnsi="Times New Roman"/>
          <w:sz w:val="20"/>
        </w:rPr>
      </w:pPr>
      <w:r>
        <w:rPr>
          <w:rFonts w:ascii="Times New Roman" w:hAnsi="Times New Roman"/>
          <w:sz w:val="20"/>
        </w:rPr>
        <w:t xml:space="preserve">9. an amendment effected, necessitated or contemplated by a merger agreement approved in accordance with the provisions of our partnership agreement; </w:t>
      </w:r>
    </w:p>
    <w:p>
      <w:pPr>
        <w:pStyle w:val="TextBody"/>
        <w:bidi w:val="0"/>
        <w:spacing w:before="120" w:after="0"/>
        <w:jc w:val="left"/>
        <w:rPr>
          <w:rFonts w:ascii="Times New Roman" w:hAnsi="Times New Roman"/>
          <w:sz w:val="20"/>
        </w:rPr>
      </w:pPr>
      <w:r>
        <w:rPr>
          <w:rFonts w:ascii="Times New Roman" w:hAnsi="Times New Roman"/>
          <w:sz w:val="20"/>
        </w:rPr>
        <w:t xml:space="preserve">10. an amendment that our general partner determines to be necessary or appropriate to reflect and account for the formation by us of, or investment by us in, any corporation, partnership, joint venture, limited liability company or other entity, in connection with the conduct by us of activities permitted by the terms of our partnership agreement; </w:t>
      </w:r>
    </w:p>
    <w:p>
      <w:pPr>
        <w:pStyle w:val="TextBody"/>
        <w:bidi w:val="0"/>
        <w:spacing w:before="120" w:after="0"/>
        <w:jc w:val="left"/>
        <w:rPr>
          <w:rFonts w:ascii="Times New Roman" w:hAnsi="Times New Roman"/>
          <w:sz w:val="20"/>
        </w:rPr>
      </w:pPr>
      <w:r>
        <w:rPr>
          <w:rFonts w:ascii="Times New Roman" w:hAnsi="Times New Roman"/>
          <w:sz w:val="20"/>
        </w:rPr>
        <w:t xml:space="preserve">11. a merger or conveyance pursuant to which (a) our general partner has received an opinion of counsel that the conversion, merger or conveyance, as the case may be, would not result in the loss of the limited liability of any limited partner or any member of the partnership group or cause us or any member of the partnership group to be treated as an association taxable as a corporation or otherwise to be taxed as an entity for federal income tax purposes (to the extent not previously treated as such), (b) the sole purpose of such conversion, merger or conveyance is to effect a mere change in the legal form of us into another limited liability entity and (c) the governing instruments of the new entity provide the limited partners and our general partner with the same rights and obligations as are contained in our partnership agreement; or </w:t>
      </w:r>
    </w:p>
    <w:p>
      <w:pPr>
        <w:pStyle w:val="TextBody"/>
        <w:bidi w:val="0"/>
        <w:spacing w:before="120" w:after="0"/>
        <w:jc w:val="left"/>
        <w:rPr>
          <w:rFonts w:ascii="Times New Roman" w:hAnsi="Times New Roman"/>
          <w:sz w:val="20"/>
        </w:rPr>
      </w:pPr>
      <w:r>
        <w:rPr>
          <w:rFonts w:ascii="Times New Roman" w:hAnsi="Times New Roman"/>
          <w:sz w:val="20"/>
        </w:rPr>
        <w:t xml:space="preserve">12. any other amendments substantially similar to the foregoing.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or Removal of Our General Partner </w:t>
      </w:r>
    </w:p>
    <w:p>
      <w:pPr>
        <w:pStyle w:val="TextBody"/>
        <w:bidi w:val="0"/>
        <w:spacing w:before="120" w:after="0"/>
        <w:jc w:val="left"/>
        <w:rPr>
          <w:rFonts w:ascii="Times New Roman" w:hAnsi="Times New Roman"/>
          <w:sz w:val="20"/>
        </w:rPr>
      </w:pPr>
      <w:r>
        <w:rPr>
          <w:rFonts w:ascii="Times New Roman" w:hAnsi="Times New Roman"/>
          <w:sz w:val="20"/>
        </w:rPr>
        <w:t xml:space="preserve">Our general partner may withdraw as general partner without first obtaining approval of any unitholder by giving 90 days’ notice to our unitholders, and that withdrawal will not constitute a breach of our partnership agreement. In addition, our partnership agreement permits our general partner in some instances to sell or otherwise transfer all of its general partner interest in us without the approval of the unitholders. </w:t>
      </w:r>
    </w:p>
    <w:p>
      <w:pPr>
        <w:pStyle w:val="TextBody"/>
        <w:bidi w:val="0"/>
        <w:spacing w:before="240" w:after="0"/>
        <w:jc w:val="left"/>
        <w:rPr>
          <w:rFonts w:ascii="Times New Roman" w:hAnsi="Times New Roman"/>
          <w:sz w:val="20"/>
        </w:rPr>
      </w:pPr>
      <w:r>
        <w:rPr>
          <w:rFonts w:ascii="Times New Roman" w:hAnsi="Times New Roman"/>
          <w:sz w:val="20"/>
        </w:rPr>
        <w:t xml:space="preserve">If our general partner gives a notice of withdrawal, the holders of a unit majority, may, prior to the effective date of such withdrawal, elect a successor general partner. The person so elected as successor general partner will automatically become the successor general partner or managing member, to the extent applicable, of the other members of the partnership group of which our general partner is a general partner or a managing member. If, prior to the effective date of our general partner’s withdrawal, a successor is not selected by our unitholders or we do not receive a withdrawal opinion of counsel regarding limited liability and tax matters, our partnership will be dissolved in accordance with our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Our general partner may be removed if such removal is approved by our unitholders holding at least 66 2/3% of the outstanding units (including units held by our general partner and its affiliates). The right of the holders of outstanding units to remove our general partner may not be exercised unless we have received a withdrawal opinion of counsel regarding limited liability and tax matters. The ownership of more than 33 1/3% of our outstanding units by our general partner and its affiliates would give it the practical ability to prevent its removal.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be required to reimburse the departing general partner for all amounts due the departing general partner, including, without limitation, all employee-related liabilities, including severance liabilities, incurred in connection with the termination of any employees employed by the departing general partner or its affiliates for the benefit of us or the other members of the partnership group.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of General Partner Interest </w:t>
      </w:r>
    </w:p>
    <w:p>
      <w:pPr>
        <w:pStyle w:val="TextBody"/>
        <w:bidi w:val="0"/>
        <w:spacing w:before="120" w:after="0"/>
        <w:jc w:val="left"/>
        <w:rPr>
          <w:rFonts w:ascii="Times New Roman" w:hAnsi="Times New Roman"/>
          <w:sz w:val="20"/>
        </w:rPr>
      </w:pPr>
      <w:r>
        <w:rPr>
          <w:rFonts w:ascii="Times New Roman" w:hAnsi="Times New Roman"/>
          <w:sz w:val="20"/>
        </w:rPr>
        <w:t xml:space="preserve">Our general partner may transfer all or any of its general partner interest without unitholder approval. At any time, the members of our general partner may sell or transfer all or part of their membership interests in our general partner to an affiliate or a third party without the approval of our unitholders.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and Distribution of Proceeds </w:t>
      </w:r>
    </w:p>
    <w:p>
      <w:pPr>
        <w:pStyle w:val="TextBody"/>
        <w:bidi w:val="0"/>
        <w:spacing w:before="120" w:after="0"/>
        <w:jc w:val="left"/>
        <w:rPr>
          <w:rFonts w:ascii="Times New Roman" w:hAnsi="Times New Roman"/>
          <w:sz w:val="20"/>
        </w:rPr>
      </w:pPr>
      <w:r>
        <w:rPr>
          <w:rFonts w:ascii="Times New Roman" w:hAnsi="Times New Roman"/>
          <w:sz w:val="20"/>
        </w:rPr>
        <w:t xml:space="preserve">We will continue as a limited partnership until dissolved under our partnership agreement. We will dissolve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withdrawal, removal, bankruptcy or dissolution of our general partner, unless a successor general partner is elected prior to or on the effective date of such withdrawal, removal, bankruptcy or dissolution and a withdrawal opinion of counsel is received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election to dissolve us by our general partner that is approved by the holders of a unit majority;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of a decree of judicial dissolution of us pursuant to the provisions of the TBOC;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exchange or other disposition of all or substantially all of the assets and properties of the partnership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 our dissolution following the withdrawal or removal of our general partner and the failure of the partners to select a successor general partner, then within 90 days thereafter, or (b) our dissolution upon the bankruptcy or dissolution of our general partner, then, to the maximum extent permitted by law, within 180 days thereafter, the holders of a unit majority may elect to reconstitute us and continue our business on the same terms and conditions set forth in our partnership agreement by forming a new limited partnership on terms identical to those set forth in our partnership agreement and having as the successor general partner a person approved by the holders of a unit majority. Unless such an election is made within the applicable time period as set forth above, we shall conduct only activities necessary to wind up our affairs. </w:t>
      </w:r>
    </w:p>
    <w:p>
      <w:pPr>
        <w:pStyle w:val="TextBody"/>
        <w:bidi w:val="0"/>
        <w:spacing w:before="360" w:after="0"/>
        <w:jc w:val="left"/>
        <w:rPr>
          <w:rFonts w:ascii="Times New Roman" w:hAnsi="Times New Roman"/>
          <w:b/>
          <w:sz w:val="20"/>
        </w:rPr>
      </w:pPr>
      <w:r>
        <w:rPr>
          <w:rFonts w:ascii="Times New Roman" w:hAnsi="Times New Roman"/>
          <w:b/>
          <w:sz w:val="20"/>
        </w:rPr>
        <w:t xml:space="preserve">Limited Call Right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our general partner and its affiliates hold more than 90% of the total limited partner interests of any class then outstanding, our general partner will then have the right, which right it may assign and transfer in whole or in part to us or any affiliate of our general partner, exercisable at its option, to purchase all, but not less than all, of such limited partner interests of such class then outstanding held by persons other than our general partner and its affiliates. As a consequence, a unitholder may be required to sell his common units at an undesirable time or price.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allows us to indemnify and hold harmless any partner or other person from and against all claims and demands whatsoever. Under our partnership agreement, in most circumstances, we will indemnify the following persons (each an “indemnitee”) to the fullest extent permitted by law,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general partner;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departing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or was an affiliate of our general partner or any departing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or was a member, partner, officer, director, fiduciary or trustee of any member of the partnership group, our general partner or any departing partner or any affiliate of any member of the partnership group, our general partner or any departing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or was serving at the request of our general partner or any departing partner or any affiliate of our general partner or any departing partner as an officer, director, member, partner, fiduciary or trustee of another person (provided, that a person will not be an indemnitee by reason of providing, on a fee-for-services basis, trustee, fiduciary or custodial services);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that our general partner designates as an “indemnitee” for purposes of our partnership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indemnification under these provisions will only be out of our assets. Unless it otherwise agrees in its sole discretion, our general partner will not be personally liable for, or have any obligation to contribute or loan funds or assets to us to enable us to effectuate, such indemnification. We may purchase insurance against liabilities asserted against and expenses incurred by persons for our activities, regardless of whether we would have the power to indemnify the person against liabilities under the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our partnership agreement, an indemnitee will not be indemnified and held harmless if there has been a final and non-appealable judgment entered by a court of competent jurisdiction determining that, in respect of the matter for which the indemnitee is seeking indemnification pursuant to our partnership agreement, the indemnitee acted in bad faith or engaged in fraud, willful misconduct or gross negligence or, in the case of a criminal matter, acted with knowledge that the indemnitee’s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the SEC, indemnification provisions that purport to include indemnification for liabilities arising under the Securities Act are contrary to public policy and are,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86469_8"/>
      <w:bookmarkEnd w:id="10"/>
      <w:r>
        <w:rPr>
          <w:rFonts w:ascii="Times New Roman" w:hAnsi="Times New Roman"/>
          <w:b/>
          <w:sz w:val="20"/>
        </w:rPr>
        <w:t xml:space="preserve">CASH DISTRIBUTION POLICY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Energy Transfer will distribute all of its “Available Cash” to its Unitholders and its General Partner within 50 days following the end of each fiscal quarter.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Available Cash </w:t>
      </w:r>
    </w:p>
    <w:p>
      <w:pPr>
        <w:pStyle w:val="TextBody"/>
        <w:bidi w:val="0"/>
        <w:spacing w:before="120" w:after="0"/>
        <w:jc w:val="left"/>
        <w:rPr>
          <w:rFonts w:ascii="Times New Roman" w:hAnsi="Times New Roman"/>
          <w:sz w:val="20"/>
        </w:rPr>
      </w:pPr>
      <w:r>
        <w:rPr>
          <w:rFonts w:ascii="Times New Roman" w:hAnsi="Times New Roman"/>
          <w:sz w:val="20"/>
        </w:rPr>
        <w:t xml:space="preserve">Available Cash is defined in the Partnership Agreement and generally means, with respect to any calendar quarter, all cash on hand at the end of such quarter less the amount of cash reserves that are necessary or appropriate in the reasonable discretion of the General Partner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proper conduct of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applicable law and/or debt instrument or other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funds for distributions to Unitholders and its General Partner in respect of any one or more of the next four quarters.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of Cash Upon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If we dissolve in accordance with our partnership agreement, we will sell or otherwise dispose of our assets in a process called a liquidation. We will first apply the proceeds of liquidation to the payment of our creditors in the order of priority provided in our partnership agreement and by law, and, thereafter, we will distribute $100 to the holders of our Class A Units in the aggregate and any remaining proceeds to our other unitholders, including the holders of our common units and our general partner, in accordance with their respective positive capital account balances, as adjusted to reflect any gain or loss upon the sale or other disposition of our assets in liquidation. </w:t>
      </w:r>
    </w:p>
    <w:p>
      <w:pPr>
        <w:pStyle w:val="TextBody"/>
        <w:bidi w:val="0"/>
        <w:spacing w:before="240" w:after="0"/>
        <w:jc w:val="left"/>
        <w:rPr>
          <w:rFonts w:ascii="Times New Roman" w:hAnsi="Times New Roman"/>
          <w:sz w:val="20"/>
        </w:rPr>
      </w:pPr>
      <w:r>
        <w:rPr>
          <w:rFonts w:ascii="Times New Roman" w:hAnsi="Times New Roman"/>
          <w:sz w:val="20"/>
        </w:rPr>
        <w:t xml:space="preserve">No unitholder will have any obligation to restore any negative balance in its capital account upon liquidation of us.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to Preferred Unitholders </w:t>
      </w:r>
    </w:p>
    <w:p>
      <w:pPr>
        <w:pStyle w:val="TextBody"/>
        <w:bidi w:val="0"/>
        <w:spacing w:before="120" w:after="0"/>
        <w:jc w:val="left"/>
        <w:rPr>
          <w:rFonts w:ascii="Times New Roman" w:hAnsi="Times New Roman"/>
          <w:sz w:val="20"/>
        </w:rPr>
      </w:pPr>
      <w:r>
        <w:rPr>
          <w:rFonts w:ascii="Times New Roman" w:hAnsi="Times New Roman"/>
          <w:sz w:val="20"/>
        </w:rPr>
        <w:t xml:space="preserve">Prior to making any distributions to the unitholders as described above, the holders of our preferred units are entitled to receive, when, as, and if declared by our general partner out of legally available funds for such purpose, cumulative quarterly cash distributions. Unless otherwise determined by our general partner, distributions on our preferred units are deemed to have been paid out of available cash with respect to the quarter ended immediately preceding the quarter in which the distribution is made.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each class of our preferred units are subject to an initial fixed distribution rate for a specified term, followed by a floating or reset distribution rate, as applicable, to extend thereafter until all of our outstanding preferred units of that class are redeemed. </w:t>
      </w:r>
    </w:p>
    <w:p>
      <w:pPr>
        <w:pStyle w:val="TextBody"/>
        <w:bidi w:val="0"/>
        <w:spacing w:before="240" w:after="0"/>
        <w:jc w:val="left"/>
        <w:rPr>
          <w:rFonts w:ascii="Times New Roman" w:hAnsi="Times New Roman"/>
          <w:sz w:val="20"/>
        </w:rPr>
      </w:pPr>
      <w:r>
        <w:rPr>
          <w:rFonts w:ascii="Times New Roman" w:hAnsi="Times New Roman"/>
          <w:sz w:val="20"/>
        </w:rPr>
        <w:t xml:space="preserve">The 6.625% Series B Fixed-to-Floating Rate Cumulative Redeemable Perpetual Preferred Units have an initial distribution rate of 6.625% of the Series B liquidation preference of $1,000 per Series B preferred unit (the “Series B Liquidation Preference”) until February 14, 2028 and, thereafter, distributions will accumulate for each distribution period at a percentage of the Series B Liquidation Preference equal to an annual floating rate of the three-month SOFR plus a 0.26161% tenor spread adjustment, plus a spread of 4.155% per annum. </w:t>
      </w:r>
    </w:p>
    <w:p>
      <w:pPr>
        <w:pStyle w:val="TextBody"/>
        <w:bidi w:val="0"/>
        <w:spacing w:before="240" w:after="0"/>
        <w:jc w:val="left"/>
        <w:rPr>
          <w:rFonts w:ascii="Times New Roman" w:hAnsi="Times New Roman"/>
          <w:sz w:val="20"/>
        </w:rPr>
      </w:pPr>
      <w:r>
        <w:rPr>
          <w:rFonts w:ascii="Times New Roman" w:hAnsi="Times New Roman"/>
          <w:sz w:val="20"/>
        </w:rPr>
        <w:t xml:space="preserve">The 7.125% Series G Fixed-Rate Reset Cumulative Redeemable Perpetual Preferred Units have an initial distribution rate of 7.125% of the Series G liquidation preference of $1,000 per Series G preferred unit (the “Series G Liquidation Preference”) until May 15, 2030 and, thereafter, distributions will accumulate for each distribution period at a percentage of the Series G Liquidation Preference equal to the Five-year U.S. Treasury Rate as of the most recent Series G Reset Distribution Determination Date plus a spread of 5.306% per annum.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9.250% Series I Fixed Rate Perpetual Preferred Units have a cumulative distribution rate of $0.2111 per Series I preferred unit per fiscal quarter. Each Series I preferred unit is entitled to a liquidation preference of the sum of $9.1273 plus all accrued and unpaid distributions until an event giving rise to the dissolution of the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to Other Units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provides that each Class B unit is entitled to a quarterly cash distribution in an amount equal to $0.35325 per Class B unit. If we are unable to pay the Class B unit quarterly distribution with respect to any quarter, (i) the amount of such accrued and unpaid distributions will accumulate until paid in full in cash and (ii) the balance of such accrued and unpaid distributions shall increase at a rate of 1.5% per annum, compounded quarterly, from the date such distribution was due until the date it is paid. </w:t>
      </w:r>
    </w:p>
    <w:p>
      <w:pPr>
        <w:pStyle w:val="TextBody"/>
        <w:bidi w:val="0"/>
        <w:spacing w:before="360" w:after="0"/>
        <w:jc w:val="left"/>
        <w:rPr>
          <w:rFonts w:ascii="Times New Roman" w:hAnsi="Times New Roman"/>
          <w:b/>
          <w:sz w:val="20"/>
        </w:rPr>
      </w:pPr>
      <w:r>
        <w:rPr>
          <w:rFonts w:ascii="Times New Roman" w:hAnsi="Times New Roman"/>
          <w:b/>
          <w:sz w:val="20"/>
        </w:rPr>
        <w:t xml:space="preserve">SunocoCorp’s Cash Distribution Policy </w:t>
      </w:r>
    </w:p>
    <w:p>
      <w:pPr>
        <w:pStyle w:val="TextBody"/>
        <w:bidi w:val="0"/>
        <w:spacing w:before="120" w:after="0"/>
        <w:jc w:val="left"/>
        <w:rPr>
          <w:rFonts w:ascii="Times New Roman" w:hAnsi="Times New Roman"/>
          <w:sz w:val="20"/>
        </w:rPr>
      </w:pPr>
      <w:r>
        <w:rPr>
          <w:rFonts w:ascii="Times New Roman" w:hAnsi="Times New Roman"/>
          <w:sz w:val="20"/>
        </w:rPr>
        <w:t xml:space="preserve">SunocoCorp’s policy is to pay regular quarterly cash distributions of substantially all of its cash available for distribution. Each quarter, SunocoCorp Management LLC (the “Manager”) will make a determination of the amount of cash available for distribution to the SunocoCorp members, based upon cash on hand at the end of the quarter, after establishing reserves for the prudent conduct of SunocoCorp’s business or for distributions to the SunocoCorp members in respect of future quarters as the Manager may determine to be appropriate. This policy is subject to change by the Manager at any time, without amendment to the SunocoCorp Limited Liability Company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Sunoco’s Cash Distribution Policy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Sunoco’s partnership agreement requires that, within 60 days after the end of each quarter, Sunoco will distribute all of its available cash to Sunoco common unitholders of record on the applicable record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Definition of Available Cash </w:t>
      </w:r>
    </w:p>
    <w:p>
      <w:pPr>
        <w:pStyle w:val="TextBody"/>
        <w:bidi w:val="0"/>
        <w:spacing w:before="120" w:after="0"/>
        <w:jc w:val="left"/>
        <w:rPr>
          <w:rFonts w:ascii="Times New Roman" w:hAnsi="Times New Roman"/>
          <w:sz w:val="20"/>
        </w:rPr>
      </w:pPr>
      <w:r>
        <w:rPr>
          <w:rFonts w:ascii="Times New Roman" w:hAnsi="Times New Roman"/>
          <w:sz w:val="20"/>
        </w:rPr>
        <w:t xml:space="preserve">Available cash, for any quarter, generally consists of all cash and cash equivalents on hand at the end of that quarter: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the amount of cash reserves that Sunoco GP LLC, the general partner of Sunoco (“Sunoco GP”), establishes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proper conduct of Sunoco’s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applicable law, any of Sunoco’s debt instruments or other agreements or any other obligation;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funds for distributions to Sunoco’s unitholders for any one or more of the next four quarters (provided that Sunoco GP may not establish cash reserves for the payment of distributions unless it determines that the establishment of such reserves will not prevent Sunoco from distributing the Sunoco minimum quarterly distribution on all common units for the current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all cash on hand on the date of determination of available cash for the quarter resulting from working capital borrowings made after the end of the quarter.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Working capital borrowings are generally borrowings that are made under Sunoco’s revolving credit facility and in all cases are used solely for working capital purposes or to pay distributions to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Intent to Distribute the Minimum Quarterly Distribution </w:t>
      </w:r>
    </w:p>
    <w:p>
      <w:pPr>
        <w:pStyle w:val="TextBody"/>
        <w:bidi w:val="0"/>
        <w:spacing w:before="120" w:after="0"/>
        <w:jc w:val="left"/>
        <w:rPr>
          <w:rFonts w:ascii="Times New Roman" w:hAnsi="Times New Roman"/>
          <w:sz w:val="20"/>
        </w:rPr>
      </w:pPr>
      <w:r>
        <w:rPr>
          <w:rFonts w:ascii="Times New Roman" w:hAnsi="Times New Roman"/>
          <w:sz w:val="20"/>
        </w:rPr>
        <w:t xml:space="preserve">Sunoco intends to distribute to the holders of common units at least the minimum quarterly distribution of $0.4375 per unit, or $1.75 on an annualized basis (the “Sunoco minimum quarterly distribution”), to the extent it has sufficient cash from its operations after establishment of cash reserves and payment of fees and expenses, including payments to Sunoco GP and its affiliates. However, there is no guarantee that Sunoco will pay the minimum quarterly distribution on the common units in any quarter. Even if Sunoco’s cash distribution policy is not modified or revoked, the amount of distributions paid under Sunoco’s policy and the decision to make any distribution is determined by Sunoco GP, taking into consideration the terms of Sunoco’s partnership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Class C Units </w:t>
      </w:r>
    </w:p>
    <w:p>
      <w:pPr>
        <w:pStyle w:val="TextBody"/>
        <w:bidi w:val="0"/>
        <w:spacing w:before="120" w:after="0"/>
        <w:jc w:val="left"/>
        <w:rPr>
          <w:rFonts w:ascii="Times New Roman" w:hAnsi="Times New Roman"/>
          <w:sz w:val="20"/>
        </w:rPr>
      </w:pPr>
      <w:r>
        <w:rPr>
          <w:rFonts w:ascii="Times New Roman" w:hAnsi="Times New Roman"/>
          <w:sz w:val="20"/>
        </w:rPr>
        <w:t xml:space="preserve">Sunoco’s partnership agreement provides that the Sunoco Class C units are entitled to receive quarterly distributions at a rate of $0.868176 per Sunoco Class C unit. The distributions on the Sunoco Class C units will be paid out of Sunoco’s available cash, except that the Class C units will not share in distributions of cash to the extent such cash is derived from or attributable to any distribution received by Sunoco from Sunoco Retail LLC, the proceeds of any sale of the membership interests in Sunoco Retail LLC, or any interest or principal payments received by Sunoco with respect to indebtedness of Sunoco Retail LLC or its subsidiaries (the “Sunoco Retail LLC available cash”). The Class C units are entitled to receive distributions of Sunoco’s available cash (other than Sunoco Retail LLC available cash) prior to distributions of such cash being made on the Sunoco common units. Any unpaid distributions on the Sunoco Class C units will accrue interest at a rate of 1.5% per annum until paid in full in cash. The Class C units are perpetual and do not have any rights of redemption or conversion.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D Units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Sunoco had outstanding an aggregate of 51,517,198 Class D Units, which were issued in connection with Sunoco’s acquisition of Parkland Corporation in October 2025 (the “Parkland Acquisition”) and are held by SunocoCorp. </w:t>
      </w:r>
    </w:p>
    <w:p>
      <w:pPr>
        <w:pStyle w:val="TextBody"/>
        <w:bidi w:val="0"/>
        <w:spacing w:before="240" w:after="0"/>
        <w:jc w:val="left"/>
        <w:rPr>
          <w:rFonts w:ascii="Times New Roman" w:hAnsi="Times New Roman"/>
          <w:sz w:val="20"/>
        </w:rPr>
      </w:pPr>
      <w:r>
        <w:rPr>
          <w:rFonts w:ascii="Times New Roman" w:hAnsi="Times New Roman"/>
          <w:sz w:val="20"/>
        </w:rPr>
        <w:t xml:space="preserve">Sunoco’s Class D Units are economically equivalent to other Sunoco common units and no distribution may be made in respect of Sunoco’s common units unless an equal distribution is simultaneously made on the Class D Units. The Class D Units also provide dividend equalization rights for the period beginning on October 31, 2025 and ending December 31, 2027 (the “Equalization Period”). Sunoco shall ensure that SunocoCorp shall have cash necessary and sufficient to pay distributions on each SunocoCorp common unit for each quarter during the Equalization Period in an amount equal to 100% of the distributions paid by Sunoco on each Sunoco common unit during such quarter.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Sunoco closed a private offering of 1.5 million of its 7.875% Series A Fixed-Rate Reset Cumulative Redeemable Perpetual Preferred Units (the “Sunoco Series A Preferred Units”) at an offering price of $1,000 per unit. Sunoco used the net proceeds of approximately $1.47 billion from the sale of the Sunoco Series A Preferred Units to fund a portion of the cash consideration for the Parkland Acquisition, and to temporarily reduce the borrowings outstanding under Sunoco’s credit facility and to pay interest and fees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The annual distribution rate on each Sunoco Series A Preferred Unit is 7.875% per annum of the $1,000 liquidation preference per Series A Preferred Unit (equal to $78.75 per Series A Preferred Unit per annum) from September 18, 2025 to, but excluding, September 18, 2030 (the “First Reset Date”). On and after the First Reset Date, the distribution rate on each Sunoco Series A Preferred Unit shall equal the five-year U.S. Treasury rate as of the most recent reset distribution determination date, plus a spread of 4.230% per annum; provided that the five-year U.S. Treasury rate for each reset period will not be lower than 1.00%. The Sunoco Series A Preferred Units have a liquidation preference of $1,000 per Sunoco Series A Preferred Unit, plus accumulated but unpaid distributions. Cumulative cash distributions on the Sunoco Series A Preferred Units are payable semi-annually, in arrears, on each March 18 and September 18, commencing on March 18, 2026, when, as and if declared by the board of directors of Sunoco GP.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Partner Interest and Incentive Distribution Rights </w:t>
      </w:r>
    </w:p>
    <w:p>
      <w:pPr>
        <w:pStyle w:val="TextBody"/>
        <w:bidi w:val="0"/>
        <w:spacing w:before="120" w:after="0"/>
        <w:jc w:val="left"/>
        <w:rPr>
          <w:rFonts w:ascii="Times New Roman" w:hAnsi="Times New Roman"/>
          <w:sz w:val="20"/>
        </w:rPr>
      </w:pPr>
      <w:r>
        <w:rPr>
          <w:rFonts w:ascii="Times New Roman" w:hAnsi="Times New Roman"/>
          <w:sz w:val="20"/>
        </w:rPr>
        <w:t xml:space="preserve">Sunoco GP owns a non-economic general partner interest in Sunoco. We hold all of Sunoco’s IDRs, which entitles us to receive increasing percentages, up to a maximum of 50.0%, of the cash Sunoco distributes from operating surplus (as defined below) in excess of $0.503125 per common unit per quarter. The maximum distribution of 50.0% does not include any distributions that we may receive on any limited partner units that we own. Please read “—Incentive Distribution Rights” below for a more detailed description of Sunoco’s IDRs.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Operating Surplus and Capital Surplus </w:t>
      </w:r>
    </w:p>
    <w:p>
      <w:pPr>
        <w:pStyle w:val="TextBody"/>
        <w:bidi w:val="0"/>
        <w:spacing w:before="120" w:after="0"/>
        <w:jc w:val="left"/>
        <w:rPr>
          <w:rFonts w:ascii="Times New Roman" w:hAnsi="Times New Roman"/>
          <w:sz w:val="20"/>
        </w:rPr>
      </w:pPr>
      <w:r>
        <w:rPr>
          <w:rFonts w:ascii="Times New Roman" w:hAnsi="Times New Roman"/>
          <w:sz w:val="20"/>
        </w:rPr>
        <w:t xml:space="preserve">All cash distributed to Sunoco’s unitholders is characterized as being paid from either “operating surplus” or “capital surplus.” Sunoco distributes available cash from operating surplus differently than available cash from capital surplus. Operating surplus distributions will be made to Sunoco’s unitholders and, if Sunoco makes quarterly distributions above the first target distribution level described below, to the holder of Sunoco’s IDRs. Sunoco does not anticipate that it will make any distributions from capital surplus. In such an event, however, any capital surplus distribution would generally be made first to the holders of Class C units, pro rata, the amount of accrued and unpaid distributions, and then pro rata to all unitholders.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Definition of Operating Surplus </w:t>
      </w:r>
    </w:p>
    <w:p>
      <w:pPr>
        <w:pStyle w:val="TextBody"/>
        <w:bidi w:val="0"/>
        <w:spacing w:before="120" w:after="0"/>
        <w:jc w:val="left"/>
        <w:rPr>
          <w:rFonts w:ascii="Times New Roman" w:hAnsi="Times New Roman"/>
          <w:sz w:val="20"/>
        </w:rPr>
      </w:pPr>
      <w:r>
        <w:rPr>
          <w:rFonts w:ascii="Times New Roman" w:hAnsi="Times New Roman"/>
          <w:sz w:val="20"/>
        </w:rPr>
        <w:t xml:space="preserve">Operating surplus for any period generally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$25.0 million (as described below);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Sunoco’s cash receipts, excluding cash from interim capital transactions (as defined below), provided that cash receipts from the termination of any hedge contract prior to its stipulated settlement or termination date will be included in equal quarterly installments over the remaining scheduled life of such hedge contract had it not been terminated;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borrowings made after the end of a period but on or before the date of distribution of operating surplus for that period;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distributions paid on equity issued (including incremental distributions on IDRs), to finance all or a portion of expansion capital expenditures in respect of the period from the date that Sunoco enters into a binding obligation to commence the construction, acquisition or improvement of a capital asset until the earlier to occur of the date the capital asset commences commercial service and the date that it is abandoned or disposed of;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distributions paid on equity issued (including incremental distributions on IDRs), to pay the construction period interest on debt incurred, or to pay construction period distributions on equity issued, to finance the expansion capital expenditures referred to above, in each case, in respect of the period from the date that Sunoco enters into a binding obligation to commence the construction, acquisition or improvement of a capital asset until the earlier to occur of the date the capital asset is placed in service and the date that it is abandoned or disposed of;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Sunoco’s operating expenditures (as defined below);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reserves established by Sunoco GP to provide funds for future operating expenditures;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working capital borrowings not repaid within twelve months after having been incurred, or repaid within such twelve-month period with the proceeds of additional working capital borrowings;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cash loss realized on the disposition of an investment capital expenditure.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above, operating surplus does not reflect actual cash on hand that is available for distribution to Sunoco’s unitholders and is not limited to cash generated by Sunoco’s operations. For example, it includes a basket of $25.0 million that enables Sunoco, if it chooses, to distribute as operating surplus up to that amount of cash Sunoco receives from non-operating sources such as asset sales, issuances of securities and long-term borrowings that would otherwise be distributed as capital surplus. In addition, the effect of including certain cash distributions on equity interests in operating surplus, as described above, will be to increase operating surplus by the amount of any such cash distributions. As a result, Sunoco may also distribute as operating surplus up to that amount of cash that it receives from non-operating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proceeds of working capital borrowings increase operating surplus and repayments of working capital borrowings are generally operating expenditures, as described below, and thus reduce operating surplus when made. However, if a working capital borrowing is not repaid during the twelve-month period following the borrowing, it will be deemed repaid at the end of such period, thus decreasing operating surplus at such time. When such working capital borrowing is in fact repaid, it will be excluded from operating expenditures because operating surplus will have been previously reduced by the deemed repayment. </w:t>
      </w:r>
    </w:p>
    <w:p>
      <w:pPr>
        <w:pStyle w:val="TextBody"/>
        <w:bidi w:val="0"/>
        <w:spacing w:before="240" w:after="0"/>
        <w:jc w:val="left"/>
        <w:rPr>
          <w:rFonts w:ascii="Times New Roman" w:hAnsi="Times New Roman"/>
          <w:sz w:val="20"/>
        </w:rPr>
      </w:pPr>
      <w:r>
        <w:rPr>
          <w:rFonts w:ascii="Times New Roman" w:hAnsi="Times New Roman"/>
          <w:sz w:val="20"/>
        </w:rPr>
        <w:t xml:space="preserve">Sunoco defines operating expenditures as all of its cash expenditures, including, but not limited to, taxes, reimbursement of expenses to Sunoco GP or its affiliates, payments made in the ordinary course of business under interest rate hedge agreements or commodity hedge agreements (provided that (1) payments made in connection with the initial purchase of an interest rate hedge contract or a commodity hedge contract will be amortized over the life of the applicable interest rate hedge contract or commodity hedge contract and (2) payments made in connection with the termination of any interest rate hedge contract or commodity hedge contract prior to its stipulated settlement or termination date will be included in operating expenditures in equal quarterly installments over the remaining scheduled life of such contract), compensation of officers, directors and employees of Sunoco GP, repayment of working capital borrowings, debt service payments and maintenance capital expenditures (as discussed in further detail below), provided that operating expenditures do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working capital borrowings deducted from operating surplus pursuant to the penultimate bullet point of the definition of operating surplus above when such repayment actually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(including prepayments and prepayment penalties) of principal of and premium on indebtedness other than working capital borrowings;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transaction expenses relating to interim capital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Sunoco’s partners (including distributions in respect of Sunoco’s IDRs);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repurchases of equity interests (other than repurchases to satisfy obligations under employee benefit plans) or reimbursements of Sunoco GP for such purchases.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Interim Capital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Sunoco defines cash from interim capital transactions to include proceeds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equity and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or other dispositions of assets, other than inventory, accounts receivable and other assets sold in the ordinary course of business or assets sold or disposed of as part of normal retirement or replacement of assets.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Capital Surplus </w:t>
      </w:r>
    </w:p>
    <w:p>
      <w:pPr>
        <w:pStyle w:val="TextBody"/>
        <w:bidi w:val="0"/>
        <w:spacing w:before="120" w:after="0"/>
        <w:jc w:val="left"/>
        <w:rPr>
          <w:rFonts w:ascii="Times New Roman" w:hAnsi="Times New Roman"/>
          <w:sz w:val="20"/>
        </w:rPr>
      </w:pPr>
      <w:r>
        <w:rPr>
          <w:rFonts w:ascii="Times New Roman" w:hAnsi="Times New Roman"/>
          <w:sz w:val="20"/>
        </w:rPr>
        <w:t xml:space="preserve">Capital surplus is defined as any distribution of available cash in excess of operating surplus. Although the cash proceeds from interim capital transactions do not increase operating surplus, all distributions of available cash from whatever source are deemed to be from operating surplus until cumulative distributions of available cash exceed cumulative operating surplus. Thereafter, all distributions of available cash are deemed to be from capital surplus to the extent they continue to exceed cumulative operating surplus.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Characterization of Cash Distributions </w:t>
      </w:r>
    </w:p>
    <w:p>
      <w:pPr>
        <w:pStyle w:val="TextBody"/>
        <w:bidi w:val="0"/>
        <w:spacing w:before="120" w:after="0"/>
        <w:jc w:val="left"/>
        <w:rPr>
          <w:rFonts w:ascii="Times New Roman" w:hAnsi="Times New Roman"/>
          <w:sz w:val="20"/>
        </w:rPr>
      </w:pPr>
      <w:r>
        <w:rPr>
          <w:rFonts w:ascii="Times New Roman" w:hAnsi="Times New Roman"/>
          <w:sz w:val="20"/>
        </w:rPr>
        <w:t xml:space="preserve">Sunoco will treat all available cash distributed as coming from operating surplus until the sum of all available cash distributed since the closing of its initial public offering equals the operating surplus as of the most recent date of determination of available cash. Sunoco will treat any amount distributed in excess of operating surplus, regardless of its source, as capital surplus. As reflected above, operating surplus includes $25.0 million in addition to Sunoco’s cash balance on the closing date of its initial public offering, cash receipts from its operations and cash from working capital borrowings. This amount does not reflect actual cash on hand that is available for distribution to Sunoco’s unitholders. Rather, it is a provision that will enable Sunoco, if it chooses, to distribute as operating surplus up to $25.0 million of cash it receives in the future from interim capital transactions that would otherwise be distributed as capital surplus. Sunoco does not anticipate that it will make any distributions from capital surplus.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Maintenance capital expenditures reduce operating surplus, but expansion capital expenditures and investment capital expenditures do not. Under Sunoco’s partnership agreement, maintenance capital expenditures are capital expenditures made to maintain Sunoco’s long-term operating income or operating capacity, while expansion capital expenditures are capital expenditures that Sunoco expects will increase its operating income or operating capacity over the long term. Examples of maintenance capital expenditures include those expenditures Sunoco makes to maintain existing contract volumes or renew existing distribution contracts, maintain its real estate leased to third-party dealers in leaseable condition or maintain its company operated convenience stores. Maintenance capital expenditures also include interest (and related fees) on debt incurred and distributions in respect of equity issued (including incremental distributions on IDRs), other than equity issued in any offering, to finance all or any portion of the construction or development of a replacement asset that are paid in respect of the period that begins when Sunoco enters into a binding obligation to commence construction or development of a replacement asset and ending on the earlier to occur of the date that such replacement asset commences commercial service and the date that it is disposed of or abandoned. Capital expenditures made solely for investment purposes are not considered maintenance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Expansion capital expenditures are capital expenditures made to increase Sunoco’s operating capacity over the long term. Examples of expansion capital expenditures include the acquisition of new properties or equipment, to the extent such capital expenditures are expected to expand Sunoco’s long-term operating capacity. Expansion capital expenditures also include interest (and related fees) on debt incurred and distributions in respect of equity issued (including incremental distributions on IDRs) to finance all or any portion of the construction of a capital improvement paid in respect of the period that commences when Sunoco enters into a binding obligation to commence construction of a capital improvement and ending on the earlier to occur of date such capital improvement commences commercial service and the date that it is disposed of or abandoned. Capital expenditures made solely for investment purposes are not considered expansion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Investment capital expenditures are those capital expenditures that are neither maintenance capital expenditures nor expansion capital expenditures. Investment capital expenditures largely consist of capital expenditures made for investment purposes. Examples of investment capital expenditures include traditional capital expenditures for investment purposes, such as purchases of securities, as well as other capital expenditures that might be made in lieu of such traditional investment capital expenditures, such as the acquisition of a capital asset for investment purposes or the development of assets that are in excess of those needed for the maintenance of Sunoco’s existing operating capacity, but which are not expected to expand, for more than the short term, its operating capacity.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neither investment capital expenditures nor expansion capital expenditures are included in operating expenditures, and thus do not reduce operating surplus. Because expansion capital expenditures include interest payments (and related fees) on debt incurred to finance all or a portion of the construction, acquisition or development of a capital improvement during the period that begins when Sunoco enters into a binding obligation to commence construction, acquisition or development of a capital improvement and ending on the earlier to occur of the date such capital improvement commences commercial service and the date that it is disposed of or abandoned, such interest payments also do not reduce operating surplus. Losses on the disposition of an investment capital expenditure will reduce operating surplus when realized and cash receipts from an investment capital expenditure will be treated as a cash receipt for purposes of calculating operating surplus only to the extent the cash receipt is a return on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expenditures that are made in part for maintenance capital purposes, investment capital purposes and/or expansion capital purposes are allocated as maintenance capital expenditures, investment capital expenditures or expansion capital expenditures by Sunoco GP.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Available Cash from Operating Surplus </w:t>
      </w:r>
    </w:p>
    <w:p>
      <w:pPr>
        <w:pStyle w:val="TextBody"/>
        <w:bidi w:val="0"/>
        <w:spacing w:before="120" w:after="0"/>
        <w:jc w:val="left"/>
        <w:rPr>
          <w:rFonts w:ascii="Times New Roman" w:hAnsi="Times New Roman"/>
          <w:sz w:val="20"/>
        </w:rPr>
      </w:pPr>
      <w:r>
        <w:rPr>
          <w:rFonts w:ascii="Times New Roman" w:hAnsi="Times New Roman"/>
          <w:sz w:val="20"/>
        </w:rPr>
        <w:t xml:space="preserve">Sunoco will make distributions of available cash from operating surplus for any quarter in the following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the holders of Sunoco’s Class C units to the extent of the distribution preference on the Class C units, as described above under “Sunoco’s Cash Distribution Policy—Class C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to all Sunoco unitholders holding Sunoco common units, pro rata, until Sunoco distributes for each outstanding Sunoco common unit an amount equal to the Sunoco minimum quarterly distribution for that quarter;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thereafter, in the manner as described in the section of this prospectus entitled “—Incentive Distribution Rights”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is based on the assumption that Sunoco does not issue additional classes of equity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Distribution Rights </w:t>
      </w:r>
    </w:p>
    <w:p>
      <w:pPr>
        <w:pStyle w:val="TextBody"/>
        <w:bidi w:val="0"/>
        <w:spacing w:before="120" w:after="0"/>
        <w:jc w:val="left"/>
        <w:rPr>
          <w:rFonts w:ascii="Times New Roman" w:hAnsi="Times New Roman"/>
          <w:sz w:val="20"/>
        </w:rPr>
      </w:pPr>
      <w:r>
        <w:rPr>
          <w:rFonts w:ascii="Times New Roman" w:hAnsi="Times New Roman"/>
          <w:sz w:val="20"/>
        </w:rPr>
        <w:t xml:space="preserve">IDRs represent the right to receive an increasing percentage (15.0%, 25.0% and 50.0%) of quarterly distributions of available cash from operating surplus after the Sunoco minimum quarterly distribution and the target distribution levels have been achieved. We currently hold all of Sunoco’s IDRs, but may transfer these rights, subject to restrictions in Sunoco’s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assumes that Energy Transfer continues to own Sunoco’s IDRs. </w:t>
      </w:r>
    </w:p>
    <w:p>
      <w:pPr>
        <w:pStyle w:val="TextBody"/>
        <w:bidi w:val="0"/>
        <w:spacing w:before="240" w:after="0"/>
        <w:jc w:val="left"/>
        <w:rPr>
          <w:rFonts w:ascii="Times New Roman" w:hAnsi="Times New Roman"/>
          <w:sz w:val="20"/>
        </w:rPr>
      </w:pPr>
      <w:r>
        <w:rPr>
          <w:rFonts w:ascii="Times New Roman" w:hAnsi="Times New Roman"/>
          <w:sz w:val="20"/>
        </w:rPr>
        <w:t xml:space="preserve">If for any quarter Sunoco has distributed available cash from operating surplus to the holders of Sunoco’s Class C units to the extent of their distribution preference and to the Sunoco common unitholders in an amount equal to the minimum quarterly distribution then it will make distributions of available cash from operating surplus for that quarter in the following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all unitholders holding Sunoco common units, pro rata, until each unitholder receives a total of $0.503125 per Sunoco common unit for that quarter (the “first target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85.0% to all unitholders holding Sunoco common units, pro rata, and 15.0% to Energy Transfer (in its capacity as the holder of Sunoco’s IDRs), until each unitholder receives a total of $0.546875 per Sunoco common unit for that quarter (the “second target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75.0% to all unitholders holding Sunoco common units, pro rata, and 25.0% to Energy Transfer (in its capacity as the holder of Sunoco’s IDRs), until each unitholder receives a total of $0.65625 per Sunoco common unit for that quarter (the “third target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thereafter, 50.0% to all unitholders holding Sunoco common units, pro rata, and 50.0% to Energy Transfer (in its capacity as the holder of Sunoco’s IDRs).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from Capital Surplus </w:t>
      </w:r>
    </w:p>
    <w:p>
      <w:pPr>
        <w:pStyle w:val="TextBody"/>
        <w:bidi w:val="0"/>
        <w:spacing w:before="120" w:after="0"/>
        <w:jc w:val="left"/>
        <w:rPr>
          <w:rFonts w:ascii="Times New Roman" w:hAnsi="Times New Roman"/>
          <w:sz w:val="20"/>
        </w:rPr>
      </w:pPr>
      <w:r>
        <w:rPr>
          <w:rFonts w:ascii="Times New Roman" w:hAnsi="Times New Roman"/>
          <w:sz w:val="20"/>
        </w:rPr>
        <w:t xml:space="preserve">Sunoco will make distributions of available cash from capital surplus, if any, in the following manner once the required distributions of available cash (other than Sunoco Retail LLC available cash) are made to the Class C unitholders: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all unitholders holding Sunoco common units, pro rata, until the minimum quarterly distribution level has been reduced to zero as described below;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thereafter, Sunoco will make all distributions of available cash from capital surplus as if they were from operating surplus. The preceding paragraph assumes that Sunoco does not issue additional classes of equity interests.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Sunoco’s partnership agreement treats a distribution of capital surplus as the repayment of the initial unit price from the initial public offering, which is a return of capital. The initial public offering price less any distributions of capital surplus per unit is referred to as the “unrecovered initial unit price.” Each time a distribution of capital surplus is made, the Sunoco minimum quarterly distribution and the target distribution levels will be reduced in the same proportion that the distribution had to the fair market value of the Sunoco common units immediately prior to the announcement of the distribution (or the average of the closing prices for the 20 consecutive trading days immediately prior to the ex-dividend date). Because distributions of capital surplus will reduce the Sunoco minimum quarterly distribution and target distribution levels after any of these distributions are made, it may be easier for Energy Transfer (in its capacity as the holder of Sunoco’s IDRs) to receive incentive distributions. </w:t>
      </w:r>
    </w:p>
    <w:p>
      <w:pPr>
        <w:pStyle w:val="TextBody"/>
        <w:bidi w:val="0"/>
        <w:spacing w:before="240" w:after="0"/>
        <w:jc w:val="left"/>
        <w:rPr>
          <w:rFonts w:ascii="Times New Roman" w:hAnsi="Times New Roman"/>
          <w:sz w:val="20"/>
        </w:rPr>
      </w:pPr>
      <w:r>
        <w:rPr>
          <w:rFonts w:ascii="Times New Roman" w:hAnsi="Times New Roman"/>
          <w:sz w:val="20"/>
        </w:rPr>
        <w:t xml:space="preserve">Once Sunoco distributes capital surplus on a unit in an amount equal to the initial unit price, it will reduce the Sunoco minimum quarterly distribution and the target distribution levels to zero. Sunoco will then make all future distributions from operating surplus, first, to the holders of Class C units to the extent required, and then, 50% being paid to the holders of Sunoco common units and 50% to Energy Transfer (in its capacity as the holder of Sunoco’s IDRs), assuming that Energy Transfer has not transferred the IDRs.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 to the Minimum Quarterly Distribution and Target Distribution Levels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adjusting the Sunoco minimum quarterly distribution and target distribution levels to reflect a distribution of capital surplus, if Sunoco combines its units into fewer units or subdivides its units into a greater number of units, it will proportionately adjust 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minimum quarterly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target distribution levels;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unrecovered initial unit price.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example, if a two-for-one split of common units should occur, the Sunoco minimum quarterly distribution, the target distribution levels and the unrecovered initial unit price would each be reduced to 50% of its initial level. Sunoco will not make any adjustment by reason of the issuance of additional units for cash or property.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legislation is enacted or if existing law is modified or interpreted by a governmental taxing authority, so that Sunoco becomes taxable as a corporation or otherwise subject to taxation as an entity for federal, state or local income tax purposes, it will reduce the Sunoco minimum quarterly distribution and the target distribution levels for each quarter may, in the sole discretion of Sunoco GP, be reduced by multiplying each distribution level by a fraction, the numerator of which is available cash for that quarter (reduced by the amount of the estimated tax liability for such quarter) and the denominator of which is the sum of available cash for that quarter before any adjustment for estimated taxes. To the extent that the actual tax liability differs from the estimated tax liability for any quarter, the difference will be accounted for in subsequent quarters.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Cash Upon Liquidation </w:t>
      </w:r>
    </w:p>
    <w:p>
      <w:pPr>
        <w:pStyle w:val="TextBody"/>
        <w:bidi w:val="0"/>
        <w:spacing w:before="120" w:after="0"/>
        <w:jc w:val="left"/>
        <w:rPr>
          <w:rFonts w:ascii="Times New Roman" w:hAnsi="Times New Roman"/>
          <w:sz w:val="20"/>
        </w:rPr>
      </w:pPr>
      <w:r>
        <w:rPr>
          <w:rFonts w:ascii="Times New Roman" w:hAnsi="Times New Roman"/>
          <w:i/>
          <w:sz w:val="20"/>
        </w:rPr>
        <w:t>General</w:t>
      </w:r>
      <w:r>
        <w:rPr>
          <w:rFonts w:ascii="Times New Roman" w:hAnsi="Times New Roman"/>
          <w:sz w:val="20"/>
        </w:rPr>
        <w:t xml:space="preserve">. If Sunoco dissolves in accordance with its partnership agreement, it will sell or otherwise dispose of its assets in a process called liquidation. Sunoco will first apply the proceeds of liquidation to the payment of its creditors. Sunoco will distribute any remaining proceeds to the unitholders and the holder of its IDRs, in accordance with their capital account balances, as adjusted to reflect any gain or loss upon the sale or other disposition of its assets in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allocations of gain and loss upon liquidation are intended, to the extent possible, to permit holders of Sunoco common units to receive their unrecovered initial unit price plus the minimum quarterly distribution for the quarter during which liquidation occurs. However, there may not be sufficient gain upon Sunoco’s liquidation to enable Sunoco’s common unitholders to fully recover all of these amounts. Any further net gain recognized upon liquidation will be allocated in a manner that takes into account the IDRs.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Manner of Adjustments for Gain</w:t>
      </w:r>
      <w:r>
        <w:rPr>
          <w:rFonts w:ascii="Times New Roman" w:hAnsi="Times New Roman"/>
          <w:sz w:val="20"/>
        </w:rPr>
        <w:t xml:space="preserve">. The manner of the adjustment for gain is set forth in Sunoco’s partnership agreement. Sunoco will generally allocate any gain to its partners in the following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the holders of Sunoco’s Class C units, pro rata, until the capital account for each Class C unit is equal to the sum of: (1) the unrecovered initial unit price for that Class C unit; and (2) the unpaid amount of all accrued but unpaid distributions on that Class C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to all Sunoco common unitholders, pro rata, until the capital account for each common unit is equal to the sum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unrecovered initial unit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unpaid amount of the Sunoco minimum quarterly distribution for the quarter during which Sunoco’s liquidation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to all Sunoco common unitholders, pro rata, until Sunoco allocates under this paragraph an amount per unit equal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of the first target distribution per unit over the Sunoco minimum quarterly distribution per unit for each quarter of Sunoco’s existence;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cumulative amount per unit of any distributions of available cash from operating surplus in excess of the Sunoco minimum quarterly distribution per unit for each quarter of Sunoco’s existence that it distributed to the unitholders, pro rata;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85.0% to all Sunoco common unitholders, pro rata, and 15.0% to Energy Transfer (in its capacity as the holder of Sunoco’s IDRs), until Sunoco allocates under this paragraph an amount per unit equal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of the second target distribution per unit over the first target distribution per unit for each quarter of Sunoco’s existence;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cumulative amount per unit of any distributions of available cash from operating surplus in excess of the first target distribution per unit for each quarter of Sunoco’s existence that it distributed 85.0% to the unitholders, pro rata, and 15.0% to Energy Transfer (in its capacity as the holder of Sunoco’s IDRs);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fifth, 75.0% to all Sunoco common unitholders, pro rata, and 25.0% to Energy Transfer (in its capacity as the holder of Sunoco’s IDRs), until Sunoco allocates under this paragraph an amount per unit equal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of the third target distribution per unit over the second target distribution per unit for each quarter of Sunoco’s existence;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cumulative amount per unit of any distributions of available cash from operating surplus in excess of the second target distribution per unit for each quarter of Sunoco’s existence that it distributed 75.0% to the unitholders, pro rata, and 25.0% to Energy Transfer (in its capacity as the holder of Sunoco’s IDRs);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thereafter, 50.0% to all Sunoco common unitholders, pro rata, and 50.0% to Energy Transfer (in its capacity as the holder of Sunoco’s IDRs).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immediately prior to making allocations pursuant to the fourth, fifth and sixth clauses above, the capital account of each Sunoco common unit equals or exceeds the issue price of Sunoco’s Class C units ($38.5856), then Sunoco will allocate 1.0% of the remaining items of gain (other than gain attributable to Sunoco Retail LLC) to the holders of Class C units, pro rata.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Manner of Adjustments for Losses </w:t>
      </w:r>
    </w:p>
    <w:p>
      <w:pPr>
        <w:pStyle w:val="TextBody"/>
        <w:bidi w:val="0"/>
        <w:spacing w:before="120" w:after="0"/>
        <w:jc w:val="left"/>
        <w:rPr>
          <w:rFonts w:ascii="Times New Roman" w:hAnsi="Times New Roman"/>
          <w:sz w:val="20"/>
        </w:rPr>
      </w:pPr>
      <w:r>
        <w:rPr>
          <w:rFonts w:ascii="Times New Roman" w:hAnsi="Times New Roman"/>
          <w:sz w:val="20"/>
        </w:rPr>
        <w:t xml:space="preserve">Sunoco will generally allocate any loss to its unitholders in the following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Sunoco’s common unitholders, pro rata, until the capital accounts of the common unitholders have been reduced to zero;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thereafter, to the holders of Sunoco’s Class C units, pro rata, until the capital accounts of the Class C units have been reduced to zero.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Class C units will not be allocated any items of loss attributable to the ownership or sale of Sunoco’s membership interests in Sunoco Retail LLC or any indebtedness of Sunoco Retail LLC or its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to Capital Accounts </w:t>
      </w:r>
    </w:p>
    <w:p>
      <w:pPr>
        <w:pStyle w:val="TextBody"/>
        <w:bidi w:val="0"/>
        <w:spacing w:before="120" w:after="0"/>
        <w:jc w:val="left"/>
        <w:rPr>
          <w:rFonts w:ascii="Times New Roman" w:hAnsi="Times New Roman"/>
          <w:sz w:val="20"/>
        </w:rPr>
      </w:pPr>
      <w:r>
        <w:rPr>
          <w:rFonts w:ascii="Times New Roman" w:hAnsi="Times New Roman"/>
          <w:sz w:val="20"/>
        </w:rPr>
        <w:t xml:space="preserve">Sunoco will make adjustments to capital accounts upon the issuance of additional units. In doing so, Sunoco generally will allocate any unrealized and, for tax purposes, unrecognized gain resulting from the adjustments to the unitholders and the holders of Sunoco’s IDRs in the same manner as it allocates gain upon liquidation. By contrast to the allocations of gain, and except as provided above, Sunoco generally will allocate any unrealized and unrecognized loss resulting from the adjustments to capital accounts upon the issuance of additional units to Sunoco’s common unitholders based on their percentage ownership of Sunoco. In the event Sunoco makes negative adjustments to the capital accounts as a result of such loss, future positive adjustments resulting from the issuance of additional units will be allocated in a manner designed to reverse the prior negative adjustments, and special allocations will be made upon liquidation in a manner that results, to the extent possible, in Sunoco’s common unitholders’ capital account balances equaling the amounts they would have been if no earlier adjustments for loss had been made. The Sunoco Class C units will not be allocated any items of gain or loss attributable to Sunoco’s ownership or sale of the membership interests in Sunoco Retail LLC or any indebtedness of Sunoco Retail LLC or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USAC’s Cash Distribution Policy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USAC’s partnership agreement requires that, within 45 days after the end of each quarter, USAC distribute all of its available cash to unitholders of record on the applicable record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Definition of Available Cash </w:t>
      </w:r>
    </w:p>
    <w:p>
      <w:pPr>
        <w:pStyle w:val="TextBody"/>
        <w:bidi w:val="0"/>
        <w:spacing w:before="120" w:after="0"/>
        <w:jc w:val="left"/>
        <w:rPr>
          <w:rFonts w:ascii="Times New Roman" w:hAnsi="Times New Roman"/>
          <w:sz w:val="20"/>
        </w:rPr>
      </w:pPr>
      <w:r>
        <w:rPr>
          <w:rFonts w:ascii="Times New Roman" w:hAnsi="Times New Roman"/>
          <w:sz w:val="20"/>
        </w:rPr>
        <w:t xml:space="preserve">Available cash, for any quarter, consists of all cash on hand at the end of that quarter: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the amount of cash reserves established by USAC’s general partner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proper conduct of USAC’s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applicable law, USAC’s revolving credit facility or other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funds for distributions to USAC’s unitholders for any one or more of the next four quarters;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if USAC’s general partner so determines, all or a portion of cash on hand on the date of determination of available cash for the quarter resulting from working capital borrowings made after the end of the quarter.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Working capital borrowings are borrowings that are made under a credit facility, commercial paper facility or similar financing arrangement, and in all cases, are used solely for working capital purposes or to pay distributions to partners and with the intent of the borrower to repay such borrowings within twelve months from sources other than additional working capital borrowings.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Operating Surplus and Capital Surplus </w:t>
      </w:r>
    </w:p>
    <w:p>
      <w:pPr>
        <w:pStyle w:val="TextBody"/>
        <w:bidi w:val="0"/>
        <w:spacing w:before="120" w:after="0"/>
        <w:jc w:val="left"/>
        <w:rPr>
          <w:rFonts w:ascii="Times New Roman" w:hAnsi="Times New Roman"/>
          <w:sz w:val="20"/>
        </w:rPr>
      </w:pPr>
      <w:r>
        <w:rPr>
          <w:rFonts w:ascii="Times New Roman" w:hAnsi="Times New Roman"/>
          <w:i/>
          <w:sz w:val="20"/>
        </w:rPr>
        <w:t>General</w:t>
      </w:r>
      <w:r>
        <w:rPr>
          <w:rFonts w:ascii="Times New Roman" w:hAnsi="Times New Roman"/>
          <w:sz w:val="20"/>
        </w:rPr>
        <w:t xml:space="preserve">. All cash distributed will be characterized as either “operating surplus” or “capital surplus.” USAC’s partnership agreement requires that USAC distribute available cash from operating surplus differently than available cash from capital surplus. </w:t>
      </w:r>
    </w:p>
    <w:p>
      <w:pPr>
        <w:pStyle w:val="TextBody"/>
        <w:bidi w:val="0"/>
        <w:spacing w:before="240" w:after="0"/>
        <w:jc w:val="left"/>
        <w:rPr>
          <w:rFonts w:ascii="Times New Roman" w:hAnsi="Times New Roman"/>
          <w:sz w:val="20"/>
        </w:rPr>
      </w:pPr>
      <w:r>
        <w:rPr>
          <w:rFonts w:ascii="Times New Roman" w:hAnsi="Times New Roman"/>
          <w:i/>
          <w:sz w:val="20"/>
        </w:rPr>
        <w:t>Operating Surplus</w:t>
      </w:r>
      <w:r>
        <w:rPr>
          <w:rFonts w:ascii="Times New Roman" w:hAnsi="Times New Roman"/>
          <w:sz w:val="20"/>
        </w:rPr>
        <w:t xml:space="preserve">. Operating surplus for any period consists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$36.6 million (as described below);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USAC’s cash receipts beginning January 18, 2013, the closing date of USAC’s initial public offering, excluding cash from interim capital transactions, which include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borrowings (including sales of debt securities) that are not working capital borrowings;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equity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or other dispositions of assets outside the ordinary course of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contributions received;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cash receipts from the termination of a commodity hedge or interest rate hedge prior to its specified termination date will be included in operating surplus in equal quarterly installments over the remaining scheduled life of such commodity hedge or interest rate hedge; plus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borrowings made after the end of the period but on or before the date of determination of operating surplus for the period;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distributions paid on equity issued to finance all or a portion of the construction, acquisition or improvement of a capital improvement (such as equipment or facilities) in respect of the period beginning on the date that USAC enters into a binding obligation to commence the construction, acquisition or improvement of a capital improvement and ending on the earlier to occur of the date the capital improvement or capital asset commences commercial service and the date that it is abandoned or disposed of;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distributions paid on equity issued to pay the construction period interest on debt incurred, or to pay construction period distributions on equity issued, to finance the capital improvements referred to above;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USAC’s operating expenditures (as defined below) after the closing of USAC’s initial public offering;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reserves established by USAC’s general partner to provide funds for future operating expenditures;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working capital borrowings not repaid within twelve months after having been incurred; 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loss realized on disposition of an investment capital expenditure.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above, operating surplus does not reflect actual cash on hand that is available for distribution to USAC’s unitholders and is not limited to cash generated by USAC’s operations. For example, it includes a basket of $36.6 million that will enable USAC, if it chooses, to distribute as operating surplus cash it receives in the future from non-operating sources such as asset sales, issuances of securities and long-term borrowings that would otherwise be distributed as capital surplus. In addition, the effect of including, as described above, certain cash distributions on equity interests in operating surplus will be to increase operating surplus by the amount of any such cash distributions. As a result, USAC may also distribute as operating surplus up to the amount of any such cash that it receives from non-operating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proceeds of working capital borrowings increase operating surplus and repayments of working capital borrowings are generally operating expenditures, as described below, and thus reduce operating surplus when made. However, if a working capital borrowing is not repaid during the twelve-month period following the borrowing, it will be deemed repaid at the end of such period, thus decreasing operating surplus at such time. When such working capital borrowing is in fact repaid, it will be excluded from operating expenditures because operating surplus will have been previously reduced by the deemed repayment. </w:t>
      </w:r>
    </w:p>
    <w:p>
      <w:pPr>
        <w:pStyle w:val="TextBody"/>
        <w:bidi w:val="0"/>
        <w:spacing w:before="240" w:after="0"/>
        <w:jc w:val="left"/>
        <w:rPr>
          <w:rFonts w:ascii="Times New Roman" w:hAnsi="Times New Roman"/>
          <w:sz w:val="20"/>
        </w:rPr>
      </w:pPr>
      <w:r>
        <w:rPr>
          <w:rFonts w:ascii="Times New Roman" w:hAnsi="Times New Roman"/>
          <w:sz w:val="20"/>
        </w:rPr>
        <w:t xml:space="preserve">USAC defines operating expenditures in its partnership agreement, and operating expenditures generally means all of USAC’s cash expenditures, including, but not limited to, taxes, reimbursement of expenses to USAC’s general partner and its affiliates, payments made under interest rate hedge agreements or commodity hedge contracts (provided that (i) with respect to amounts paid in connection with the initial purchase of an interest rate hedge contract or a commodity hedge contract, such amounts will be amortized over the life of the applicable interest rate hedge contract or commodity hedge contract and (ii) payments made in connection with the termination of any interest rate hedge contract or commodity hedge contract prior to the expiration of its stipulated settlement or termination date will be included in operating expenditures in equal quarterly installments over the remaining scheduled life of such interest rate hedge contract or commodity hedge contract), officer compensation, repayment of working capital borrowings, debt service payments and maintenance capital expenditures (as defined below), provided that operating expenditures will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of working capital borrowings deducted from operating surplus pursuant to the penultimate bullet point of the definition of operating surplus above when such repayment actually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(including prepayments and prepayment penalties) of principal of and premium on indebtedness, other than working capital borrowings;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capital expenditures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capital expenditures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transaction expenses relating to interim capital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USAC’s partners;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repurchases of equity interests except to fund obligations under employee benefit plans. </w:t>
            </w:r>
          </w:p>
        </w:tc>
      </w:tr>
    </w:tbl>
    <w:p>
      <w:pPr>
        <w:pStyle w:val="TextBody"/>
        <w:bidi w:val="0"/>
        <w:spacing w:before="240" w:after="0"/>
        <w:jc w:val="left"/>
        <w:rPr>
          <w:rFonts w:ascii="Times New Roman" w:hAnsi="Times New Roman"/>
          <w:sz w:val="20"/>
        </w:rPr>
      </w:pPr>
      <w:r>
        <w:rPr>
          <w:rFonts w:ascii="Times New Roman" w:hAnsi="Times New Roman"/>
          <w:i/>
          <w:sz w:val="20"/>
        </w:rPr>
        <w:t>Capital Surplus</w:t>
      </w:r>
      <w:r>
        <w:rPr>
          <w:rFonts w:ascii="Times New Roman" w:hAnsi="Times New Roman"/>
          <w:sz w:val="20"/>
        </w:rPr>
        <w:t xml:space="preserve">. Capital surplus is defined in USAC’s partnership agreement as any distribution of available cash in excess of USAC’s cumulative operating surplus. Accordingly, capital surplus would generally be generated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USAC’s equity and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sold in the ordinary course of business or as part of normal retirement or replacement of assets. </w:t>
            </w:r>
          </w:p>
        </w:tc>
      </w:tr>
    </w:tbl>
    <w:p>
      <w:pPr>
        <w:pStyle w:val="TextBody"/>
        <w:bidi w:val="0"/>
        <w:spacing w:before="240" w:after="0"/>
        <w:jc w:val="left"/>
        <w:rPr>
          <w:rFonts w:ascii="Times New Roman" w:hAnsi="Times New Roman"/>
          <w:sz w:val="20"/>
        </w:rPr>
      </w:pPr>
      <w:r>
        <w:rPr>
          <w:rFonts w:ascii="Times New Roman" w:hAnsi="Times New Roman"/>
          <w:i/>
          <w:sz w:val="20"/>
        </w:rPr>
        <w:t>Characterization of Cash Distributions</w:t>
      </w:r>
      <w:r>
        <w:rPr>
          <w:rFonts w:ascii="Times New Roman" w:hAnsi="Times New Roman"/>
          <w:sz w:val="20"/>
        </w:rPr>
        <w:t xml:space="preserve">. USAC’s partnership agreement requires that USAC treat all available cash distributed as coming from operating surplus until the sum of all available cash distributed since January 18, 2013, the closing date of USAC’s initial public offering, equals the operating surplus from January 18, 2013 through the end of the quarter immediately preceding that distribution. USAC’s partnership agreement requires that USAC treat any amount distributed in excess of operating surplus, regardless of its source, as capital surplus. USAC does not anticipate that it will make any distributions from capital surplus.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Maintenance capital expenditures are those capital expenditures required to maintain USAC’s long-term operating capacity and/or operating income. Capital expenditures made solely for investment purposes will not be considered maintenance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Expansion capital expenditures are those capital expenditures that USAC expects will increase USAC’s operating capacity or operating income over the long term. Expansion capital expenditures will also include interest (and related fees) on debt incurred to finance all or any portion of the construction of such capital improvement in respect of the period that commences when USAC enters into a binding obligation to commence construction of a capital improvement and ending on the earlier to occur of the date any such capital improvement commences commercial service and the date that it is abandoned or disposed of. Capital expenditures made solely for investment purposes will not be considered expansion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Investment capital expenditures are those capital expenditures that are neither maintenance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 of securities, as well as other capital expenditures that might be made in lieu of such traditional investment capital expenditures, such as the acquisition of a capital asset for investment purposes or development of facilities that are in excess of the maintenance of USAC’s existing operating capacity or operating income, but which are not expected to expand, for more than the short term, USAC’s operating capacity or operating income.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neither investment capital expenditures nor expansion capital expenditures will be included in operating expenditures, and thus will not reduce operating surplus. Because expansion capital expenditures include interest payments (and related fees) on debt incurred to finance all or a portion of the construction or improvement of a capital asset (such as gathering compressors) in respect of the period that begins when USAC enters into a binding obligation to commence construction of the capital asset and ends on the earlier to occur of the date the capital asset commences commercial service or the date that it is abandoned or disposed of, such interest payments are also not subtracted from operating surplus. Losses on disposition of an investment capital expenditure will reduce operating surplus when realized and cash receipts from an investment capital expenditure will be treated as a cash receipt for purposes of calculating operating surplus only to the extent the cash receipt is a return on principal. </w:t>
      </w:r>
    </w:p>
    <w:p>
      <w:pPr>
        <w:pStyle w:val="TextBody"/>
        <w:bidi w:val="0"/>
        <w:spacing w:before="240" w:after="0"/>
        <w:jc w:val="left"/>
        <w:rPr>
          <w:rFonts w:ascii="Times New Roman" w:hAnsi="Times New Roman"/>
          <w:sz w:val="20"/>
        </w:rPr>
      </w:pPr>
      <w:r>
        <w:rPr>
          <w:rFonts w:ascii="Times New Roman" w:hAnsi="Times New Roman"/>
          <w:sz w:val="20"/>
        </w:rPr>
        <w:t xml:space="preserve">Capital expenditures that are made in part for maintenance capital purposes, investment capital purposes and/or expansion capital purposes will be allocated as maintenance capital expenditures, investment capital expenditures or expansion capital expenditures by USAC’s general partner.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Available Cash from Operating Surplus </w:t>
      </w:r>
    </w:p>
    <w:p>
      <w:pPr>
        <w:pStyle w:val="TextBody"/>
        <w:bidi w:val="0"/>
        <w:spacing w:before="120" w:after="0"/>
        <w:jc w:val="left"/>
        <w:rPr>
          <w:rFonts w:ascii="Times New Roman" w:hAnsi="Times New Roman"/>
          <w:sz w:val="20"/>
        </w:rPr>
      </w:pPr>
      <w:r>
        <w:rPr>
          <w:rFonts w:ascii="Times New Roman" w:hAnsi="Times New Roman"/>
          <w:sz w:val="20"/>
        </w:rPr>
        <w:t xml:space="preserve">USAC’s partnership agreement requires that USAC make distributions or payments of available cash from operating surplus for any quarter pro rata, to the holders of common units. </w:t>
      </w:r>
    </w:p>
    <w:p>
      <w:pPr>
        <w:pStyle w:val="TextBody"/>
        <w:bidi w:val="0"/>
        <w:spacing w:before="240" w:after="0"/>
        <w:jc w:val="left"/>
        <w:rPr>
          <w:rFonts w:ascii="Times New Roman" w:hAnsi="Times New Roman"/>
          <w:sz w:val="20"/>
        </w:rPr>
      </w:pPr>
      <w:r>
        <w:rPr>
          <w:rFonts w:ascii="Times New Roman" w:hAnsi="Times New Roman"/>
          <w:sz w:val="20"/>
        </w:rPr>
        <w:t xml:space="preserve">Holders of USAC’s Class B units are not entitled to distributions from available cash prior to conversion of the Class B units into common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Partner Interest </w:t>
      </w:r>
    </w:p>
    <w:p>
      <w:pPr>
        <w:pStyle w:val="TextBody"/>
        <w:bidi w:val="0"/>
        <w:spacing w:before="120" w:after="0"/>
        <w:jc w:val="left"/>
        <w:rPr>
          <w:rFonts w:ascii="Times New Roman" w:hAnsi="Times New Roman"/>
          <w:sz w:val="20"/>
        </w:rPr>
      </w:pPr>
      <w:r>
        <w:rPr>
          <w:rFonts w:ascii="Times New Roman" w:hAnsi="Times New Roman"/>
          <w:sz w:val="20"/>
        </w:rPr>
        <w:t xml:space="preserve">USAC’s general partner owns a non-economic general partner interest, which does not entitle it to receive cash distributions. However, to the extent USAC’s general partner owns common units or other equity securities in USAC, it is entitled to receive cash distributions on any such interests. Similarly, to the extent USAC’s general partner owns units that have voting rights, it is entitled to exercise its voting power with respect to such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of Cash upon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If USAC dissolves in accordance with its partnership agreement, USAC will sell or otherwise dispose of its assets in a process called a liquidation. USAC will first apply the proceeds of liquidation to the payment of its creditors. USAC will distribute any remaining proceeds to the unitholders, in accordance with their capital account balances, as adjusted to reflect any gain or loss upon the sale or other disposition of USAC’s assets in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86469_9"/>
      <w:bookmarkEnd w:id="11"/>
      <w:r>
        <w:rPr>
          <w:rFonts w:ascii="Times New Roman" w:hAnsi="Times New Roman"/>
          <w:b/>
          <w:sz w:val="20"/>
        </w:rPr>
        <w:t xml:space="preserve">MATERIAL U.S.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summarizes the material U.S. federal income tax consequences that may be relevant to prospective Plan participants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“our” or “us” are references to the Partnership and include our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Legal conclusions contained in this section, unless otherwise noted, are the opinion of Vinson &amp; Elkins L.L.P. and are based on the accuracy of representations made by us to them for this purpose. However, this section does not address all U.S.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(i) are individual citizens or residents of the United States (for U.S. federal income tax purposes), (ii) have the U.S. dollar as their functional currency, (iii) use the calendar year as their taxable year, (iv) own common units that participate in the Plan, (v) do not materially participate in the conduct of our business activities and (vi) hold such common units as capital assets (typically, property that is held for investment). This section has limited applicability to corporations (including other entities treated as corporations for U.S. federal income tax purposes), partnerships (including other entities treated as partnerships for U.S. federal income tax purposes), estates, trusts, non-resident aliens or other unitholders subject to specialized tax treatment, such as tax-exempt entities, non-U.S. persons, individual retirement accounts (“IRAs”), employee benefit plans, real estate investment trusts or mutual funds. </w:t>
      </w:r>
    </w:p>
    <w:p>
      <w:pPr>
        <w:pStyle w:val="TextBody"/>
        <w:bidi w:val="0"/>
        <w:spacing w:before="240" w:after="0"/>
        <w:jc w:val="left"/>
        <w:rPr>
          <w:rFonts w:ascii="Times New Roman" w:hAnsi="Times New Roman"/>
          <w:b/>
          <w:i/>
          <w:sz w:val="20"/>
        </w:rPr>
      </w:pPr>
      <w:r>
        <w:rPr>
          <w:rFonts w:ascii="Times New Roman" w:hAnsi="Times New Roman"/>
          <w:b/>
          <w:i/>
          <w:sz w:val="20"/>
        </w:rPr>
        <w:t xml:space="preserve">Accordingly, we encourage each prospective unitholder to consult the unitholder’s own tax advisor in analyzing the federal, state, local and non-U.S. tax consequences that are particular to that unitholder resulting from ownership or disposition of our common units and potential changes in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We are relying on the opinions and advice of Vinson &amp; Elkins L.L.P. with 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common units and the prices at which our common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bidi w:val="0"/>
        <w:spacing w:before="240" w:after="0"/>
        <w:jc w:val="left"/>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U.S. federal income tax issues: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treatment of a unitholder whose common units are the subject of a securities loan (e.g., a loan to a short seller to cover a short sale of common units) (please read “—Tax Consequences of Common Unit Ownership—Treatment of Securities Loans”);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our monthly convention for allocating taxable income and losses is permitted by existing Treasury Regulations (please read “—Disposition of Common Units—Allocations Between Transferors and Transferees”);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our method for taking into account Section 743 adjustments is sustainable in certain cases (please read “—Tax Consequences of Common Unit Ownership—Section 754 Election” and “—Uniformity of Common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our use of simplifying conventions for making adjustments to “book” basis and relevant allocations is permitted by existing Treasury Regulations (please read “—Tax Consequences of Common Unit Ownership—Allocation of Income, Gain, Loss and Deduction” and “—Uniformity of Common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Taxation of the Partnership </w:t>
      </w:r>
    </w:p>
    <w:p>
      <w:pPr>
        <w:pStyle w:val="TextBody"/>
        <w:bidi w:val="0"/>
        <w:spacing w:before="120" w:after="0"/>
        <w:jc w:val="left"/>
        <w:rPr>
          <w:rFonts w:ascii="Times New Roman" w:hAnsi="Times New Roman"/>
          <w:b/>
          <w:i/>
          <w:sz w:val="20"/>
        </w:rPr>
      </w:pPr>
      <w:r>
        <w:rPr>
          <w:rFonts w:ascii="Times New Roman" w:hAnsi="Times New Roman"/>
          <w:b/>
          <w:i/>
          <w:sz w:val="20"/>
        </w:rPr>
        <w:t xml:space="preserve">Partnership Status </w:t>
      </w:r>
    </w:p>
    <w:p>
      <w:pPr>
        <w:pStyle w:val="TextBody"/>
        <w:bidi w:val="0"/>
        <w:spacing w:before="120" w:after="0"/>
        <w:jc w:val="left"/>
        <w:rPr>
          <w:rFonts w:ascii="Times New Roman" w:hAnsi="Times New Roman"/>
          <w:sz w:val="20"/>
        </w:rPr>
      </w:pPr>
      <w:r>
        <w:rPr>
          <w:rFonts w:ascii="Times New Roman" w:hAnsi="Times New Roman"/>
          <w:sz w:val="20"/>
        </w:rPr>
        <w:t xml:space="preserve">We are treated as a partnership for U.S. federal income tax purposes and, therefore, subject to the discussion below under “—Administrative Matters—Information Returns and Audit Procedures,” generally will not be liable for entity-level U.S. federal income taxes. Instead, as described below, each of our unitholders will take into account his or her respective share of our items of income, gain, loss and deduction in computing his or her U.S.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his or her common units. Please read “—Tax Consequences of Common Unit Ownership—Treatment of Distributions” and “—Disposition of Common Units.” </w:t>
      </w:r>
    </w:p>
    <w:p>
      <w:pPr>
        <w:pStyle w:val="TextBody"/>
        <w:bidi w:val="0"/>
        <w:spacing w:before="240" w:after="0"/>
        <w:jc w:val="left"/>
        <w:rPr>
          <w:rFonts w:ascii="Times New Roman" w:hAnsi="Times New Roman"/>
          <w:sz w:val="20"/>
        </w:rPr>
      </w:pPr>
      <w:r>
        <w:rPr>
          <w:rFonts w:ascii="Times New Roman" w:hAnsi="Times New Roman"/>
          <w:sz w:val="20"/>
        </w:rPr>
        <w:t xml:space="preserve">Section 7704 of the Code generally provides that publicly traded partnerships will be treated as corporations for U.S. federal income tax purposes. However, if 90% or more of a partnership’s gross income for every taxable year it is publicly traded consists of “qualifying income,” the partnership may continue to be treated as a partnership for U.S. federal income tax purposes (the “Qualifying Income Exception”). Qualifying income includes, among other things,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of our current gross income is not qualifying income; however, this estimate could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No ruling has been or will be sought from the IRS with respect to our classification as a partnership for U.S. federal income tax purposes or as to the classification of our partnership and limited liability company operating subsidiaries. Instead we have relied on the opinion of Vinson &amp; Elkins L.L.P. that, based upon the Code, existing Treasury Regulations, published revenue rulings and court decisions and representations described below, the Partnership and each of our partnership and limited liability company operating subsidiaries, other than those that have been identified as corporations to Vinson &amp; Elkins L.L.P., will be classified as a partnerships or disregarded as an entity separate from us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Vinson &amp; Elkins L.L.P. is of the opinion that we will be treated as a partnership for U.S. federal income tax purposes and each of our partnership and limited liability company operating subsidiaries, other than those that have been identified as corporations to Vinson &amp; Elkins L.L.P., will be treated as a partnership or will be disregarded as an entity separate from us. In rendering its opinion, Vinson &amp; Elkins L.L.P. has relied on factual representations made by us and our general partner, including,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(a) Neither we nor any of our partnership or limited liability company operating subsidiaries, other than those that have been identified as corporations to Vinson &amp; Elkins L.L.P., has elected or will elect to be treated as a corporation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(b) For each taxable year since and including the year of our initial public offering, more than 90% of our gross income has been and will be income of a character that Vinson &amp; Elkins L.L.P. has opined is “qualifying income” within the meaning of Section 7704(d) of the Code; and </w:t>
      </w:r>
    </w:p>
    <w:p>
      <w:pPr>
        <w:pStyle w:val="TextBody"/>
        <w:bidi w:val="0"/>
        <w:spacing w:before="120" w:after="0"/>
        <w:jc w:val="left"/>
        <w:rPr>
          <w:rFonts w:ascii="Times New Roman" w:hAnsi="Times New Roman"/>
          <w:sz w:val="20"/>
        </w:rPr>
      </w:pPr>
      <w:r>
        <w:rPr>
          <w:rFonts w:ascii="Times New Roman" w:hAnsi="Times New Roman"/>
          <w:sz w:val="20"/>
        </w:rPr>
        <w:t xml:space="preserve">(c) 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these representations are true and will be true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(i) to us (which would be allocated to our unitholders) so long as the aggregate amount of our liabilities does not exceed the adjusted tax basis of our assets or (ii) by our unitholders so long as their respective shares of our liabilities do not exceed their adjusted tax basis in their units. Thereafter, we would be treated as an association taxable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present U.S. federal income tax treatment of publicly traded partnerships, including us, or an investment in our common units may be modified by administrative or legislative action or judicial interpretation at any time. From time to time, members of the U.S. Congress and certain presidential administrations have proposed and considered substantive changes to the existing U.S. federal income tax laws that would affect publicly traded partnerships. While the Qualifying Income Exception was expanded as part of the enactment of recent legislation, other recent proposals would have provided for the total elimination of the Qualifying Income Exception upon which we rely for our partnership tax treatment.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a change in law could affect us and may be applied retroactively. Any such changes could negatively impact the value of an investment in our common units. If for any reason we are taxable as a corporation in any taxable year, our items of income, gain, loss and deduction would be taken into account by us in determining the amount of our liability for U.S. federal income tax, rather than being passed through to our unitholders.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 </w:t>
      </w:r>
    </w:p>
    <w:p>
      <w:pPr>
        <w:pStyle w:val="TextBody"/>
        <w:bidi w:val="0"/>
        <w:spacing w:before="240" w:after="0"/>
        <w:jc w:val="left"/>
        <w:rPr>
          <w:rFonts w:ascii="Times New Roman" w:hAnsi="Times New Roman"/>
          <w:sz w:val="20"/>
        </w:rPr>
      </w:pPr>
      <w:r>
        <w:rPr>
          <w:rFonts w:ascii="Times New Roman" w:hAnsi="Times New Roman"/>
          <w:sz w:val="20"/>
        </w:rPr>
        <w:t xml:space="preserve">Our taxation as a corporation would materially reduce the cash available for distribution to unitholders and thus would likely substantially reduce the value of our common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his or her common units (determined separately for each common unit), and thereafter (iii) taxable capital gain. </w:t>
      </w:r>
    </w:p>
    <w:p>
      <w:pPr>
        <w:pStyle w:val="TextBody"/>
        <w:bidi w:val="0"/>
        <w:spacing w:before="240" w:after="0"/>
        <w:jc w:val="left"/>
        <w:rPr>
          <w:rFonts w:ascii="Times New Roman" w:hAnsi="Times New Roman"/>
          <w:sz w:val="20"/>
        </w:rPr>
      </w:pPr>
      <w:r>
        <w:rPr>
          <w:rFonts w:ascii="Times New Roman" w:hAnsi="Times New Roman"/>
          <w:sz w:val="20"/>
        </w:rPr>
        <w:t xml:space="preserve">The remainder of this discussion is based on the opinion of Vinson &amp; Elkins L.L.P. that we will be treated as a partnership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of Common Unit Ownership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Limited Partner Status </w:t>
      </w:r>
    </w:p>
    <w:p>
      <w:pPr>
        <w:pStyle w:val="TextBody"/>
        <w:bidi w:val="0"/>
        <w:spacing w:before="120" w:after="0"/>
        <w:jc w:val="left"/>
        <w:rPr>
          <w:rFonts w:ascii="Times New Roman" w:hAnsi="Times New Roman"/>
          <w:sz w:val="20"/>
        </w:rPr>
      </w:pPr>
      <w:r>
        <w:rPr>
          <w:rFonts w:ascii="Times New Roman" w:hAnsi="Times New Roman"/>
          <w:sz w:val="20"/>
        </w:rPr>
        <w:t xml:space="preserve">Unitholders of the Partnership who are admitted as limited partners of the partnership will be treated as partners of the Partnership for U.S. federal income tax purposes. In addition, assignees who have executed and delivered transfer applications and are awaiting admission as limited partners, and unitholders whose common units are held in street name or by a nominee and who have the right to direct the nominee in the exercise of all substantive rights attendant to the ownership of their common units will be treated as partners of the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U.S.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discussion related to the risks of losing partner status as a result of securities loans, please read “—Treatment of Securities Loans.” Unitholders who are not treated as partners in us as described above are urged to consult their own tax advisors with respect to the tax consequences applicable to them under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Flow-Through of Taxable Income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“—Entity-Level Collections of Unitholder Taxes” and “—Administrative Matters—Information Returns and Audit Procedures,” and assuming, our general partner does not make an election for us to be taxed as a corporation as a result of a change in tax law, with respect to payments we may be required to make on behalf of our unitholders, we will not pay any U.S. federal income tax. Rather, each unitholder will be required to report on his or her U.S. federal income tax return each year his or her share of our income, gains, losses and deductions for our taxable year or years ending with or within his or her taxable year. Except as described below under “—Treatment of Distributions,” participants in our Plan will be allocated taxable income and loss in the same manner as all other unitholders even if they elect to reinvest their entire cash distribution. Consequently, we may allocate income to a unitholder even if that unitholder has not received a cash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Common Units </w:t>
      </w:r>
    </w:p>
    <w:p>
      <w:pPr>
        <w:pStyle w:val="TextBody"/>
        <w:bidi w:val="0"/>
        <w:spacing w:before="120" w:after="0"/>
        <w:jc w:val="left"/>
        <w:rPr>
          <w:rFonts w:ascii="Times New Roman" w:hAnsi="Times New Roman"/>
          <w:sz w:val="20"/>
        </w:rPr>
      </w:pPr>
      <w:r>
        <w:rPr>
          <w:rFonts w:ascii="Times New Roman" w:hAnsi="Times New Roman"/>
          <w:sz w:val="20"/>
        </w:rPr>
        <w:t xml:space="preserve">A unitholder’s tax basis in his or her common units initially will be the amount paid or treated as paid for those common units increased by the unitholder’s initial allocable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any decreases in his or her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made by us to a unitholder generally will not be taxable to the unitholder, unless such distributions are of cash or marketable securities that are treated as cash and exceed the unitholder’s tax basis in his or her common units, in which case the unitholder generally will recognize gain taxable in the manner described below under “—Disposition of Common Units.”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 unitholder participates in our Plan, such unitholder will receive common units in lieu of all or a portion of any cash distributions it would otherwise receive from us. The tax consequences of such participation are generally expected to be the same to the Plan participants as if they had received their cash distributions paid to the unitholders and then used these cash distributions to purchase additional common units either from us or on the open market, depending on how we instruct the Administrator to reinvest the distributions subject to our distribution reinvestment plan. If a participant in our Plan is deemed to have purchased additional common units at a discount, it may be necessary to allocate income to such participant in our Plan in order to preserve the uniformity of our units. Accordingly, a participant in our Plan may recognize income in the amount of the discount. </w:t>
      </w:r>
    </w:p>
    <w:p>
      <w:pPr>
        <w:pStyle w:val="TextBody"/>
        <w:bidi w:val="0"/>
        <w:spacing w:before="240" w:after="0"/>
        <w:jc w:val="left"/>
        <w:rPr>
          <w:rFonts w:ascii="Times New Roman" w:hAnsi="Times New Roman"/>
          <w:sz w:val="20"/>
        </w:rPr>
      </w:pPr>
      <w:r>
        <w:rPr>
          <w:rFonts w:ascii="Times New Roman" w:hAnsi="Times New Roman"/>
          <w:sz w:val="20"/>
        </w:rPr>
        <w:t xml:space="preserve">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common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“—Disposition of Common Units.” </w:t>
      </w:r>
    </w:p>
    <w:p>
      <w:pPr>
        <w:pStyle w:val="TextBody"/>
        <w:bidi w:val="0"/>
        <w:spacing w:before="240" w:after="0"/>
        <w:jc w:val="left"/>
        <w:rPr>
          <w:rFonts w:ascii="Times New Roman" w:hAnsi="Times New Roman"/>
          <w:sz w:val="20"/>
        </w:rPr>
      </w:pPr>
      <w:r>
        <w:rPr>
          <w:rFonts w:ascii="Times New Roman" w:hAnsi="Times New Roman"/>
          <w:sz w:val="20"/>
        </w:rPr>
        <w:t xml:space="preserve">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his or her proportionate share of the Section 751 Assets and exchange such assets with us in return for a portion of the non-pro rata distribution. This deemed exchange will generally result in the unitholder’s recognition of ordinary income in an amount equal to the excess of (i) the non-pro rata portion of that distribution over (ii) the unitholder’s tax basis (typically zero) in the Section 751 Assets deemed to be relinquished in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Limitations on Deductibility of Losses </w:t>
      </w:r>
    </w:p>
    <w:p>
      <w:pPr>
        <w:pStyle w:val="TextBody"/>
        <w:bidi w:val="0"/>
        <w:spacing w:before="120" w:after="0"/>
        <w:jc w:val="left"/>
        <w:rPr>
          <w:rFonts w:ascii="Times New Roman" w:hAnsi="Times New Roman"/>
          <w:sz w:val="20"/>
        </w:rPr>
      </w:pPr>
      <w:r>
        <w:rPr>
          <w:rFonts w:ascii="Times New Roman" w:hAnsi="Times New Roman"/>
          <w:sz w:val="20"/>
        </w:rPr>
        <w:t xml:space="preserve">A unitholder may not be entitled to deduct the full amount of loss we allocate to such unitholder because his or her share of our losses will be limited to the lesser of (i) the unitholder’s adjusted tax basis in his or her common units, and (ii) in the case of a unitholder that is an individual, estate, trust or certain types of closely-held corporations, the amount for which the unitholder is considered to be “at risk” with respect to our activities. A unitholder will be at risk to the extent of his or her adjusted tax basis in his or her common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his or her common units, if the lender of those borrowed funds owns an interest in us, is related to another unitholder or can look only to the common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bidi w:val="0"/>
        <w:spacing w:before="240" w:after="0"/>
        <w:jc w:val="left"/>
        <w:rPr>
          <w:rFonts w:ascii="Times New Roman" w:hAnsi="Times New Roman"/>
          <w:sz w:val="20"/>
        </w:rPr>
      </w:pPr>
      <w:r>
        <w:rPr>
          <w:rFonts w:ascii="Times New Roman" w:hAnsi="Times New Roman"/>
          <w:sz w:val="20"/>
        </w:rPr>
        <w:t xml:space="preserve">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our common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basis and at risk limitations, passive activity loss limitations limit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in the future and will not be available to offset income from other passive activities or investments, including any dividend or interest income we derive from our other investments (including our investments in other publicly traded partnerships, such as Sunoco and USAC) or from a unitholder’s other investments (including investments in other publicly traded partnerships, such as Sunoco and USAC), or salary or active business income. Passive losses that exceed a common unitholder’s share of the passive income we generate may be deducted in full when a common unitholder disposes of all of his or her common units in a fully taxable transaction with an unrelated party. The passive activity loss rules are applied after other applicable limitations on deductions, including the at risk and basis limitations.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IRS could take the position that for purposes of applying the passive loss limitation rules to tiered publicly traded partnerships, such as Sunoco, USAC and us, the related entities are treated as one publicly traded partnership. In that case, any passive losses we generate would be available to offset income from a unitholder’s investments in Sunoco and USAC. However, passive losses that are not deductible because they exceed a unitholder’s share of income we generate would not be deductible in full until a unitholder disposes of his or her entire investment in us, Sunoco and USAC in a fully taxable transaction with an unrelated party. If any unitholder holds interests in both us and either of Sunoco or USAC, such unitholder should consult his or her own tax advisor regarding the application of the passive loss rules. </w:t>
      </w:r>
    </w:p>
    <w:p>
      <w:pPr>
        <w:pStyle w:val="TextBody"/>
        <w:bidi w:val="0"/>
        <w:spacing w:before="240" w:after="0"/>
        <w:jc w:val="left"/>
        <w:rPr>
          <w:rFonts w:ascii="Times New Roman" w:hAnsi="Times New Roman"/>
          <w:sz w:val="20"/>
        </w:rPr>
      </w:pPr>
      <w:r>
        <w:rPr>
          <w:rFonts w:ascii="Times New Roman" w:hAnsi="Times New Roman"/>
          <w:sz w:val="20"/>
        </w:rPr>
        <w:t xml:space="preserve">For taxpayers other than corporations,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for 2026 is equal to $256,000 or $512,000 (increased annually by the applicable inflation adjustment) for taxpayers filing a joint return. Disallowed excess business losses are treated as a net operating loss carryover to the following tax year. Any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Interest Deductions </w:t>
      </w:r>
    </w:p>
    <w:p>
      <w:pPr>
        <w:pStyle w:val="TextBody"/>
        <w:bidi w:val="0"/>
        <w:spacing w:before="120" w:after="0"/>
        <w:jc w:val="left"/>
        <w:rPr>
          <w:rFonts w:ascii="Times New Roman" w:hAnsi="Times New Roman"/>
          <w:sz w:val="20"/>
        </w:rPr>
      </w:pPr>
      <w:r>
        <w:rPr>
          <w:rFonts w:ascii="Times New Roman" w:hAnsi="Times New Roman"/>
          <w:sz w:val="20"/>
        </w:rPr>
        <w:t xml:space="preserve">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for taxable years beginning after December 31, 2024, without regard to any deduction allowable for depreciation, amortization or depletion.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his or her common units, this excess business interest may be carried forward and deducted by a unitholder in a future taxable year. Further, a unitholder’s basis in his or her common units will generally be increased by the amount of any excess business interest upon a disposition of such common units.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this limitation on the deductibility of a partnership’s business interest, the deductibility of a non-corporate taxpayer’s “investment interest expense” is generally limited to the amount of that taxpayer’s “net investment income.” Investment interest expense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on indebtedness allocable to property held for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expense allocated against portfolio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allocable against portfolio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common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Entity-Level Collections of Unitholder Taxes </w:t>
      </w:r>
    </w:p>
    <w:p>
      <w:pPr>
        <w:pStyle w:val="TextBody"/>
        <w:bidi w:val="0"/>
        <w:spacing w:before="120" w:after="0"/>
        <w:jc w:val="left"/>
        <w:rPr>
          <w:rFonts w:ascii="Times New Roman" w:hAnsi="Times New Roman"/>
          <w:sz w:val="20"/>
        </w:rPr>
      </w:pPr>
      <w:r>
        <w:rPr>
          <w:rFonts w:ascii="Times New Roman" w:hAnsi="Times New Roman"/>
          <w:sz w:val="20"/>
        </w:rPr>
        <w:t xml:space="preserve">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We are authorized to amend our partnership agreement in the manner necessary to maintain uniformity of intrinsic tax characteristics of common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 unitholder, in which event the unitholder may be entitled to claim a refund of the overpayment amount. Please read “—Administrative Matters—Information Returns and Audit Procedures.” Unitholders are urged to consult their tax advisors to determine the consequences to them of any tax payment we make on their behalf.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Allocation of Income, Gain, Loss and Deduction </w:t>
      </w:r>
    </w:p>
    <w:p>
      <w:pPr>
        <w:pStyle w:val="TextBody"/>
        <w:bidi w:val="0"/>
        <w:spacing w:before="120" w:after="0"/>
        <w:jc w:val="left"/>
        <w:rPr>
          <w:rFonts w:ascii="Times New Roman" w:hAnsi="Times New Roman"/>
          <w:sz w:val="20"/>
        </w:rPr>
      </w:pPr>
      <w:r>
        <w:rPr>
          <w:rFonts w:ascii="Times New Roman" w:hAnsi="Times New Roman"/>
          <w:sz w:val="20"/>
        </w:rPr>
        <w:t xml:space="preserve">After giving effect to special allocation provisions in our partnership agreement, our items of income, gain, loss and deduction will be allocated among our unitholders in accordance with their percentage interests in us. </w:t>
      </w:r>
    </w:p>
    <w:p>
      <w:pPr>
        <w:pStyle w:val="TextBody"/>
        <w:bidi w:val="0"/>
        <w:spacing w:before="240" w:after="0"/>
        <w:jc w:val="left"/>
        <w:rPr>
          <w:rFonts w:ascii="Times New Roman" w:hAnsi="Times New Roman"/>
          <w:sz w:val="20"/>
        </w:rPr>
      </w:pPr>
      <w:r>
        <w:rPr>
          <w:rFonts w:ascii="Times New Roman" w:hAnsi="Times New Roman"/>
          <w:sz w:val="20"/>
        </w:rPr>
        <w:t xml:space="preserve">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common units (a “Book-Tax Disparity”). As a result, the U.S.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 </w:t>
      </w:r>
    </w:p>
    <w:p>
      <w:pPr>
        <w:pStyle w:val="TextBody"/>
        <w:bidi w:val="0"/>
        <w:spacing w:before="240" w:after="0"/>
        <w:jc w:val="left"/>
        <w:rPr>
          <w:rFonts w:ascii="Times New Roman" w:hAnsi="Times New Roman"/>
          <w:sz w:val="20"/>
        </w:rPr>
      </w:pPr>
      <w:r>
        <w:rPr>
          <w:rFonts w:ascii="Times New Roman" w:hAnsi="Times New Roman"/>
          <w:sz w:val="20"/>
        </w:rPr>
        <w:t xml:space="preserve">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 </w:t>
      </w:r>
    </w:p>
    <w:p>
      <w:pPr>
        <w:pStyle w:val="TextBody"/>
        <w:bidi w:val="0"/>
        <w:spacing w:before="240" w:after="0"/>
        <w:jc w:val="left"/>
        <w:rPr>
          <w:rFonts w:ascii="Times New Roman" w:hAnsi="Times New Roman"/>
          <w:sz w:val="20"/>
        </w:rPr>
      </w:pPr>
      <w:r>
        <w:rPr>
          <w:rFonts w:ascii="Times New Roman" w:hAnsi="Times New Roman"/>
          <w:sz w:val="20"/>
        </w:rPr>
        <w:t xml:space="preserve">An allocation of items of our income, gain, loss or deduction, other than an allocation required by the Code to eliminate a Book-Tax Disparity, will be given effect for U.S.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With the exception of the issues described in “—Section 754 Election” and “—Disposition of Common Units—Allocations Between Transferors and Transferees” and certain aspects of the tax treatment of our preferred units and Class B Units, Vinson &amp; Elkins L.L.P. is of the opinion that the allocations of income, gain, loss or deduction set forth in our partnership agreement will be respected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Securities Loans </w:t>
      </w:r>
    </w:p>
    <w:p>
      <w:pPr>
        <w:pStyle w:val="TextBody"/>
        <w:bidi w:val="0"/>
        <w:spacing w:before="120" w:after="0"/>
        <w:jc w:val="left"/>
        <w:rPr>
          <w:rFonts w:ascii="Times New Roman" w:hAnsi="Times New Roman"/>
          <w:sz w:val="20"/>
        </w:rPr>
      </w:pPr>
      <w:r>
        <w:rPr>
          <w:rFonts w:ascii="Times New Roman" w:hAnsi="Times New Roman"/>
          <w:sz w:val="20"/>
        </w:rPr>
        <w:t xml:space="preserve">A unitholder whose common units are the subject of a securities loan (for example, a loan to a “short seller” to cover a short sale of common units) may be treated as having disposed of those common units. If so, such unitholder would no longer be treated for tax purposes as a partner with respect to those common units during the period of the loan and may recognize gain or loss as a result of such deemed disposition. As a result, during this period (i) any of our income, gain, loss or deduction allocated to those common units would not be reportable by the lending unitholder, and (ii) any cash distributions received by the lending unitholder as to those common units may be treated as ordinary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Due to a lack of controlling authority, Vinson &amp; Elkins L.L.P. has not rendered an opinion regarding the tax treatment of a unitholder that enters into a securities loan with respect to his or her common units. A unitholder desiring to assure his or her status as a partner and avoid the risk of income recognition from a loan of his or her common units is urged to modify any applicable brokerage account agreements to prohibit his or her brokers from borrowing and lending his or her common units. The IRS has announced that it is studying issues relating to the tax treatment of short sales of partnership interests. Please read “—Disposition of Common Units—Recognition of Gain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 Rates </w:t>
      </w:r>
    </w:p>
    <w:p>
      <w:pPr>
        <w:pStyle w:val="TextBody"/>
        <w:bidi w:val="0"/>
        <w:spacing w:before="120" w:after="0"/>
        <w:jc w:val="left"/>
        <w:rPr>
          <w:rFonts w:ascii="Times New Roman" w:hAnsi="Times New Roman"/>
          <w:sz w:val="20"/>
        </w:rPr>
      </w:pPr>
      <w:r>
        <w:rPr>
          <w:rFonts w:ascii="Times New Roman" w:hAnsi="Times New Roman"/>
          <w:sz w:val="20"/>
        </w:rPr>
        <w:t xml:space="preserve">Under current law, the highest marginal U.S.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a 3.8% net investment income tax applies to certain net investment income earned by individuals, estates, and trusts. For these purposes, net investment income generally includes a unitholder’s allocable share of our income and gain realized by a unitholder from a sale of common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an individual unitholder is entitled to a deduction equal to 20% of his or her allocable share of our “qualified business income.” For purposes of this deduction, our “qualified business income” is equal to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gain recognized upon a disposition of our common units to the extent such gain is attributable to Section 751 Assets, such as depreciation recapture and our “inventory items,” and is thus treated as ordinary income under Section 751 of the Code.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Section 754 Election </w:t>
      </w:r>
    </w:p>
    <w:p>
      <w:pPr>
        <w:pStyle w:val="TextBody"/>
        <w:bidi w:val="0"/>
        <w:spacing w:before="120" w:after="0"/>
        <w:jc w:val="left"/>
        <w:rPr>
          <w:rFonts w:ascii="Times New Roman" w:hAnsi="Times New Roman"/>
          <w:sz w:val="20"/>
        </w:rPr>
      </w:pPr>
      <w:r>
        <w:rPr>
          <w:rFonts w:ascii="Times New Roman" w:hAnsi="Times New Roman"/>
          <w:sz w:val="20"/>
        </w:rPr>
        <w:t xml:space="preserve">We have made the election permitted by Section 754 of the Code that permits us to adjust the tax basis in each of our assets as to specific purchasers of our common units under Section 743(b) of the Code to reflect the common unit purchase price upon subsequent purchases of common units. That election is irrevocable without the consent of the IRS. The Section 743(b) adjustment separately applies to a unitholder who purchases common units from another unitholder based upon the values and adjusted tax basis of each of our assets at the time of the relevant unit purchase, and the adjustment will reflect the purchase price paid. The Section 743(b) adjustment does not apply to a person who purchases common units directly from us. For purposes of this discussion, a unitholder’s basis in our assets will be considered to have two components: (i) his or her share of the tax basis in our assets as to all unitholders and (ii) his or her Section 743(b) adjustment to that tax basis (which may be positive or negative).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a portion of a Section 743(b) adjustment may create additional depreciable basis that is eligible for bonus depreciation under Section 168(k) of the Code to the extent the adjustment is attributable to depreciable property and not to goodwill or real property. However, due to the complexity and administrability limitations of determining the portion of a Section 743(b) adjustment that is eligible for bonus depreciation, we may elect out of the bonus depreciation provisions of Section 168(k) of the Code with respect to basis adjustments under Section 743(b) of the Code. </w:t>
      </w:r>
    </w:p>
    <w:p>
      <w:pPr>
        <w:pStyle w:val="TextBody"/>
        <w:bidi w:val="0"/>
        <w:spacing w:before="240" w:after="0"/>
        <w:jc w:val="left"/>
        <w:rPr>
          <w:rFonts w:ascii="Times New Roman" w:hAnsi="Times New Roman"/>
          <w:sz w:val="20"/>
        </w:rPr>
      </w:pPr>
      <w:r>
        <w:rPr>
          <w:rFonts w:ascii="Times New Roman" w:hAnsi="Times New Roman"/>
          <w:sz w:val="20"/>
        </w:rPr>
        <w:t xml:space="preserve">Under our partnership agreement, we are authorized to take a position to preserve the uniformity of common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common units from us and unitholders purchasing from other unitholders. If we have any such properties, we intend to adopt methods employed by other publicly traded partnerships to preserve the uniformity of common units, even if inconsistent with existing Treasury Regulations, and Vinson &amp; Elkins L.L.P. has not opined on the validity of this approach. Please read “—Uniformity of Common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IRS may challenge the positions we adopt with respect to depreciating or amortizing the Section 743(b) adjustment to preserve the uniformity of common units due to the lack of controlling authority. Because a unitholder’s adjusted tax basis for his or her common units is reduced by his or her share of our items of deduction or loss, any position we take that understates deductions will overstate a unitholder’s tax basis in his or her common units, and may cause the unitholder to understate gain or overstate loss on any sale of such common units. Please read “—Disposition of Common Units—Recognition of Gain or Loss.” If a challenge to such treatment were sustained, the gain from the sale of common units may be increased without the benefit of additional deductions.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calculations involved in the Section 754 election are complex and are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common units may be allocated more income than it would have been allocated had the election not been revoked. </w:t>
      </w:r>
    </w:p>
    <w:p>
      <w:pPr>
        <w:pStyle w:val="TextBody"/>
        <w:bidi w:val="0"/>
        <w:spacing w:before="360" w:after="0"/>
        <w:jc w:val="left"/>
        <w:rPr>
          <w:rFonts w:ascii="Times New Roman" w:hAnsi="Times New Roman"/>
          <w:b/>
          <w:sz w:val="20"/>
        </w:rPr>
      </w:pPr>
      <w:r>
        <w:rPr>
          <w:rFonts w:ascii="Times New Roman" w:hAnsi="Times New Roman"/>
          <w:b/>
          <w:sz w:val="20"/>
        </w:rPr>
        <w:t xml:space="preserve">Tax Treatment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Accounting Method and Taxable Year </w:t>
      </w:r>
    </w:p>
    <w:p>
      <w:pPr>
        <w:pStyle w:val="TextBody"/>
        <w:bidi w:val="0"/>
        <w:spacing w:before="120" w:after="0"/>
        <w:jc w:val="left"/>
        <w:rPr>
          <w:rFonts w:ascii="Times New Roman" w:hAnsi="Times New Roman"/>
          <w:sz w:val="20"/>
        </w:rPr>
      </w:pPr>
      <w:r>
        <w:rPr>
          <w:rFonts w:ascii="Times New Roman" w:hAnsi="Times New Roman"/>
          <w:sz w:val="20"/>
        </w:rPr>
        <w:t xml:space="preserve">We use the year ending December 31 as our taxable year and the accrual method of accounting for U.S. federal income tax purposes. Each unitholder will be required to include in his or her tax return, his or her share of our income, gain, loss and deduction for each taxable year ending within or with his or her taxable year. In addition, a unitholder who has a taxable year ending on a date other than December 31 and who disposes of all of his or her common units following the close of our taxable year but before the close of his or her taxable year must include his or her share of our income, gain, loss and deduction in income for his or her taxable year, with the result that the unitholder will be required to include in income for his or her taxable year his or her share of more than twelve months of our income, gain, loss and deduction. Please read “—Disposition of Common Units—Allocations Between Transferors and Transferees.”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Basis,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or her interest in us. Please read “—Tax Consequences of Common Unit Ownership—Allocation of Income, Gain, Loss and Deduction” and “—Disposition of Common Units—Recognition of Gain or Loss.” </w:t>
      </w:r>
    </w:p>
    <w:p>
      <w:pPr>
        <w:pStyle w:val="TextBody"/>
        <w:bidi w:val="0"/>
        <w:spacing w:before="240" w:after="0"/>
        <w:jc w:val="left"/>
        <w:rPr>
          <w:rFonts w:ascii="Times New Roman" w:hAnsi="Times New Roman"/>
          <w:sz w:val="20"/>
        </w:rPr>
      </w:pPr>
      <w:r>
        <w:rPr>
          <w:rFonts w:ascii="Times New Roman" w:hAnsi="Times New Roman"/>
          <w:sz w:val="20"/>
        </w:rPr>
        <w:t xml:space="preserve">The costs we incur in offering and selling our common units (collectively,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“—Disposition of Common Units—Recognition of Gain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allowed a first-year bonus depreciation deduction equal to 100% of the adjusted basis of certain depreciable property acquired and placed in service after January 19, 2025.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and Tax Basis of Each of Our Properties </w:t>
      </w:r>
    </w:p>
    <w:p>
      <w:pPr>
        <w:pStyle w:val="TextBody"/>
        <w:bidi w:val="0"/>
        <w:spacing w:before="120" w:after="0"/>
        <w:jc w:val="left"/>
        <w:rPr>
          <w:rFonts w:ascii="Times New Roman" w:hAnsi="Times New Roman"/>
          <w:sz w:val="20"/>
        </w:rPr>
      </w:pPr>
      <w:r>
        <w:rPr>
          <w:rFonts w:ascii="Times New Roman" w:hAnsi="Times New Roman"/>
          <w:sz w:val="20"/>
        </w:rPr>
        <w:t xml:space="preserve">The U.S. federal income tax consequences of the ownership and disposition of common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his or her tax liability for prior years and incur interest and penalties with respect to those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Disposition of Common Units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Recognition of Gain or Loss </w:t>
      </w:r>
    </w:p>
    <w:p>
      <w:pPr>
        <w:pStyle w:val="TextBody"/>
        <w:bidi w:val="0"/>
        <w:spacing w:before="120" w:after="0"/>
        <w:jc w:val="left"/>
        <w:rPr>
          <w:rFonts w:ascii="Times New Roman" w:hAnsi="Times New Roman"/>
          <w:sz w:val="20"/>
        </w:rPr>
      </w:pPr>
      <w:r>
        <w:rPr>
          <w:rFonts w:ascii="Times New Roman" w:hAnsi="Times New Roman"/>
          <w:sz w:val="20"/>
        </w:rPr>
        <w:t xml:space="preserve">A unitholder will be required to recognize gain or loss on a sale or exchange of a common unit equal to the difference, if any, between the unitholder’s amount realized and the adjusted tax basis in the common unit sold (taking into account any basis adjustments attributable to previously disallowed interest deductions). A unitholder’s amount realized generally will equal the sum of the cash and the fair market value of other property the unitholder receives plus his or her share of our nonrecourse liabilities with respect to the common unit sold or exchanged. Because the amount realized includes a unitholder’s share of our nonrecourse liabilities, the gain recognized on the sale or exchange of a common unit could result in a tax liability in excess of any cash received from such sale or exchange. </w:t>
      </w:r>
    </w:p>
    <w:p>
      <w:pPr>
        <w:pStyle w:val="TextBody"/>
        <w:bidi w:val="0"/>
        <w:spacing w:before="240" w:after="0"/>
        <w:jc w:val="left"/>
        <w:rPr>
          <w:rFonts w:ascii="Times New Roman" w:hAnsi="Times New Roman"/>
          <w:sz w:val="20"/>
        </w:rPr>
      </w:pPr>
      <w:r>
        <w:rPr>
          <w:rFonts w:ascii="Times New Roman" w:hAnsi="Times New Roman"/>
          <w:sz w:val="20"/>
        </w:rPr>
        <w:t xml:space="preserve">Except as noted below, gain or loss recognized by a unitholder on the sale or exchange of a common unit held for more than one year generally will be taxable as long-term capital gain or loss. However, gain or loss recognized on the disposition of common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common unit and may be recognized even if there is a net taxable loss realized on the sale or exchange of a common unit. Thus, a unitholder may recognize both ordinary income and capital gain or loss upon a sale or exchange of a common unit. Net capital loss may offset capital gains and, in the case of individuals, up to $3,000 of ordinary income per year.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calculating gain or loss on the sale or exchange of a common unit, the unitholder’s adjusted tax basis will be adjusted by his or her allocable share of our income or loss in respect of his or her common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or her entire interest in the partnership as the value of the interest sold bears to the value of the partner’s entire interest in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under Section 1223 of the Code allow a selling unitholder who can identify common units transferred with an ascertainable holding period to elect to use the actual holding period of the common units transferred. Thus, according to the ruling discussed in the paragraph above, a unitholder will be unable to select high or low basis common units to sell or exchange as would be the case with corporate stock, but, according to the Treasury Regulations, such unitholder may designate specific common units sold for purposes of determining the holding period of the common units transferred. A unitholder electing to use the actual holding period of any common unit transferred must consistently use that identification method for all subsequent sales or exchanges of our common units. A unitholder considering the purchase of additional common units or a sale or exchange of common units purchased in separate transactions is urged to consult his or her tax advisor as to the possible consequences of this ruling and application of the Treasury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his or her fair market value, in the event the taxpayer or a related person enters into: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short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Common Unit Ownership—Treatment of Securities Loans.”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Allocations Between Transferors and Transferees </w:t>
      </w:r>
    </w:p>
    <w:p>
      <w:pPr>
        <w:pStyle w:val="TextBody"/>
        <w:bidi w:val="0"/>
        <w:spacing w:before="120" w:after="0"/>
        <w:jc w:val="left"/>
        <w:rPr>
          <w:rFonts w:ascii="Times New Roman" w:hAnsi="Times New Roman"/>
          <w:sz w:val="20"/>
        </w:rPr>
      </w:pPr>
      <w:r>
        <w:rPr>
          <w:rFonts w:ascii="Times New Roman" w:hAnsi="Times New Roman"/>
          <w:sz w:val="20"/>
        </w:rPr>
        <w:t xml:space="preserve">In general, our taxable income or loss will be determined annually, will be prorated on a monthly basis and will be subsequently apportioned among the unitholders in proportion to the number of common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common units may be allocated income, gain, loss and deduction realized after the date of transfer. </w:t>
      </w:r>
    </w:p>
    <w:p>
      <w:pPr>
        <w:pStyle w:val="TextBody"/>
        <w:bidi w:val="0"/>
        <w:spacing w:before="240" w:after="0"/>
        <w:jc w:val="left"/>
        <w:rPr>
          <w:rFonts w:ascii="Times New Roman" w:hAnsi="Times New Roman"/>
          <w:sz w:val="20"/>
        </w:rPr>
      </w:pPr>
      <w:r>
        <w:rPr>
          <w:rFonts w:ascii="Times New Roman" w:hAnsi="Times New Roman"/>
          <w:sz w:val="20"/>
        </w:rPr>
        <w:t xml:space="preserve">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A unitholder who disposes of common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Notification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A unitholder who sells or exchanges any of his or her common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common units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Uniformity of Common Units </w:t>
      </w:r>
    </w:p>
    <w:p>
      <w:pPr>
        <w:pStyle w:val="TextBody"/>
        <w:bidi w:val="0"/>
        <w:spacing w:before="120" w:after="0"/>
        <w:jc w:val="left"/>
        <w:rPr>
          <w:rFonts w:ascii="Times New Roman" w:hAnsi="Times New Roman"/>
          <w:sz w:val="20"/>
        </w:rPr>
      </w:pPr>
      <w:r>
        <w:rPr>
          <w:rFonts w:ascii="Times New Roman" w:hAnsi="Times New Roman"/>
          <w:sz w:val="20"/>
        </w:rPr>
        <w:t xml:space="preserve">Because we cannot match transferors and transferees of common units and for other reasons, we must maintain uniformity of the economic and tax characteristics of the common units to a purchaser of these common units. As a result of the need to preserve uniformity, we may be unable to completely comply with a number of U.S. federal income tax requirements. Any non-uniformity could have a negative impact on the value of our common units. Please read “—Tax Consequences of Common Unit Ownership—Section 754 Election.” </w:t>
      </w:r>
    </w:p>
    <w:p>
      <w:pPr>
        <w:pStyle w:val="TextBody"/>
        <w:bidi w:val="0"/>
        <w:spacing w:before="240" w:after="0"/>
        <w:jc w:val="left"/>
        <w:rPr>
          <w:rFonts w:ascii="Times New Roman" w:hAnsi="Times New Roman"/>
          <w:sz w:val="20"/>
        </w:rPr>
      </w:pPr>
      <w:r>
        <w:rPr>
          <w:rFonts w:ascii="Times New Roman" w:hAnsi="Times New Roman"/>
          <w:sz w:val="20"/>
        </w:rPr>
        <w:t xml:space="preserve">Our partnership agreement permits our general partner to take positions in filing our tax returns that preserve the uniformity of our common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 </w:t>
      </w:r>
    </w:p>
    <w:p>
      <w:pPr>
        <w:pStyle w:val="TextBody"/>
        <w:bidi w:val="0"/>
        <w:spacing w:before="240" w:after="0"/>
        <w:jc w:val="left"/>
        <w:rPr>
          <w:rFonts w:ascii="Times New Roman" w:hAnsi="Times New Roman"/>
          <w:sz w:val="20"/>
        </w:rPr>
      </w:pPr>
      <w:r>
        <w:rPr>
          <w:rFonts w:ascii="Times New Roman" w:hAnsi="Times New Roman"/>
          <w:sz w:val="20"/>
        </w:rPr>
        <w:t xml:space="preserve">A unitholder’s adjusted tax basis in common units is reduced by his or her share of our deductions (whether or not such deductions were claimed on an individual income tax return) so that any position that we take that understates deductions will overstate the unitholder’s basis in his or her common units, and may cause the unitholder to understate gain or overstate loss on any sale of such common units. Please read “—Disposition of Common Units—Recognition of Gain or Loss” and “—Tax Consequences of Common Unit Ownership—Section 754 Election” above. The IRS may challenge one or more of any positions we take to preserve the uniformity of our common units. If such a challenge were sustained, the uniformity of common units might be affected, and, under some circumstances, the gain from the sale of our common units might be increased without the benefit of additional deductions.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described above at “—Tax Consequences of Common Unit Ownership—Allocation of Income, Gain, Loss and Deduction,” if we aggregate multiple issuances of units for purposes of making adjustments to “book” basis and related tax allocations, to ensure the uniformity of our units, we will treat each of 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 </w:t>
      </w:r>
    </w:p>
    <w:p>
      <w:pPr>
        <w:pStyle w:val="TextBody"/>
        <w:bidi w:val="0"/>
        <w:spacing w:before="360" w:after="0"/>
        <w:jc w:val="left"/>
        <w:rPr>
          <w:rFonts w:ascii="Times New Roman" w:hAnsi="Times New Roman"/>
          <w:b/>
          <w:sz w:val="20"/>
        </w:rPr>
      </w:pPr>
      <w:r>
        <w:rPr>
          <w:rFonts w:ascii="Times New Roman" w:hAnsi="Times New Roman"/>
          <w:b/>
          <w:sz w:val="20"/>
        </w:rPr>
        <w:t xml:space="preserve">Tax-Exempt Organizations and Other Investors </w:t>
      </w:r>
    </w:p>
    <w:p>
      <w:pPr>
        <w:pStyle w:val="TextBody"/>
        <w:bidi w:val="0"/>
        <w:spacing w:before="120" w:after="0"/>
        <w:jc w:val="left"/>
        <w:rPr>
          <w:rFonts w:ascii="Times New Roman" w:hAnsi="Times New Roman"/>
          <w:sz w:val="20"/>
        </w:rPr>
      </w:pPr>
      <w:r>
        <w:rPr>
          <w:rFonts w:ascii="Times New Roman" w:hAnsi="Times New Roman"/>
          <w:sz w:val="20"/>
        </w:rPr>
        <w:t xml:space="preserve">Ownership of our common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Employee benefit plans and most other tax-exempt organizations, including IRAs and other retirement plans, are subject to U.S. federal income tax on unrelated business taxable income. Virtually all of our income allocated to tax-exempt organizations will be unrelated business taxable income and will be taxable to a tax-exempt unitholder. Additionally, all or part of any gain recognized by a tax-exempt organization upon a sale or other disposition of our units may be unrelated business taxable income and may be taxable to them. Each prospective unitholder that is a tax-exempt entity or a Non-U.S. Unitholder should consult his or her tax advisors before investing in our common units. </w:t>
      </w:r>
    </w:p>
    <w:p>
      <w:pPr>
        <w:pStyle w:val="TextBody"/>
        <w:bidi w:val="0"/>
        <w:spacing w:before="240" w:after="0"/>
        <w:jc w:val="left"/>
        <w:rPr>
          <w:rFonts w:ascii="Times New Roman" w:hAnsi="Times New Roman"/>
          <w:sz w:val="20"/>
        </w:rPr>
      </w:pPr>
      <w:r>
        <w:rPr>
          <w:rFonts w:ascii="Times New Roman" w:hAnsi="Times New Roman"/>
          <w:sz w:val="20"/>
        </w:rPr>
        <w:t xml:space="preserve">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his or her ownership of our common units. Furthermore, Non-U.S. Unitholders will be deemed to conduct such activities through a permanent establishment in the United States within the meaning of an applicable tax treaty. Consequently, each Non-U.S. Unitholder will be required to file U.S. federal tax returns to report his or her share of our income, gain, loss or deduction and pay U.S. federal income tax on his or her share of our net income or gain. Moreover, under rules applicable to publicly traded partnerships, distributions to Non-U.S. Unitholders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 Each Non-U.S. Unitholder must obtain a taxpayer identification number from the IRS and submit that number to our transfer agent on a Form W-8BEN or W-8BEN-E (or other applicable or successor form) in order to obtain credit for these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 Non-U.S. Unitholder is classified as a non-U.S. corporation, such unitholder will be treated as engaged in a United States trade or business and may be subject to the U.S. branch profits tax at a rate of 30%, in addition to regular U.S. federal income tax, on his or her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bidi w:val="0"/>
        <w:spacing w:before="240" w:after="0"/>
        <w:jc w:val="left"/>
        <w:rPr>
          <w:rFonts w:ascii="Times New Roman" w:hAnsi="Times New Roman"/>
          <w:sz w:val="20"/>
        </w:rPr>
      </w:pPr>
      <w:r>
        <w:rPr>
          <w:rFonts w:ascii="Times New Roman" w:hAnsi="Times New Roman"/>
          <w:sz w:val="20"/>
        </w:rPr>
        <w:t xml:space="preserve">A Non-U.S. Unitholder who sells or otherwise disposes of a common unit will be subject to U.S. federal income tax on gain realized from the sale or disposition of that common unit to the extent the gain is effectively connected with a U.S. trade or business of the Non-U.S. Unitholder. Gain realized by a Non-U.S. Unitholder from the sale of his or her interest in a partnership that is engaged in a trade or business in the United States will be considered to be “effectively connected” with a U.S. trade or business to the extent that gain that would be recognized upon a sale by the partnership of all of his or her assets would be “effectively connected” with a U.S. trade or business. Thus, all of a Non-U.S. Unitholder’s gain from the sale or other disposition of our common units would be treated as effectively connected with a unitholder’s indirect U.S. trade or business constituted by his or her investment in us and would be subject to U.S. federal income tax. As a result of the effectively connected income rules described above, the exclusion from U.S. taxation under the Foreign Investment in Real Property Tax Act for gain from the sale of partnership common units regularly traded on an established securities market will not prevent a Non-U.S. Unitholder from being subject to U.S. federal income tax on gain from the sale or disposition of his or her common units to the extent such gain is effectively connected with a U.S. trade or business. We expect substantially all of the gain from the sale or disposition of our common units to be treated as effectively connected with a U.S.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common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Current and prospective non-U.S. Unitholders should consult their tax advisors regarding the impact of these rules on an investment in our common units. </w:t>
      </w:r>
    </w:p>
    <w:p>
      <w:pPr>
        <w:pStyle w:val="TextBody"/>
        <w:bidi w:val="0"/>
        <w:spacing w:before="360" w:after="0"/>
        <w:jc w:val="left"/>
        <w:rPr>
          <w:rFonts w:ascii="Times New Roman" w:hAnsi="Times New Roman"/>
          <w:b/>
          <w:sz w:val="20"/>
        </w:rPr>
      </w:pPr>
      <w:r>
        <w:rPr>
          <w:rFonts w:ascii="Times New Roman" w:hAnsi="Times New Roman"/>
          <w:b/>
          <w:sz w:val="20"/>
        </w:rPr>
        <w:t xml:space="preserve">Administrative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Information Returns and Audit Procedures </w:t>
      </w:r>
    </w:p>
    <w:p>
      <w:pPr>
        <w:pStyle w:val="TextBody"/>
        <w:bidi w:val="0"/>
        <w:spacing w:before="120" w:after="0"/>
        <w:jc w:val="left"/>
        <w:rPr>
          <w:rFonts w:ascii="Times New Roman" w:hAnsi="Times New Roman"/>
          <w:sz w:val="20"/>
        </w:rPr>
      </w:pPr>
      <w:r>
        <w:rPr>
          <w:rFonts w:ascii="Times New Roman" w:hAnsi="Times New Roman"/>
          <w:sz w:val="20"/>
        </w:rPr>
        <w:t xml:space="preserve">We intend to furnish to each unitholder, within 90 days after the close of each taxable year, specific tax information, including a Schedule K-1, which describes his or her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 </w:t>
      </w:r>
    </w:p>
    <w:p>
      <w:pPr>
        <w:pStyle w:val="TextBody"/>
        <w:bidi w:val="0"/>
        <w:spacing w:before="240" w:after="0"/>
        <w:jc w:val="left"/>
        <w:rPr>
          <w:rFonts w:ascii="Times New Roman" w:hAnsi="Times New Roman"/>
          <w:sz w:val="20"/>
        </w:rPr>
      </w:pPr>
      <w:r>
        <w:rPr>
          <w:rFonts w:ascii="Times New Roman" w:hAnsi="Times New Roman"/>
          <w:sz w:val="20"/>
        </w:rPr>
        <w:t xml:space="preserve">The IRS may audit our U.S. federal income tax information returns. Neither we nor Vinson &amp; Elkins L.L.P. can assure prospective unitholders that the IRS will not successfully challenge the positions we adopt, and such a challenge could adversely affect the value of our common units. Adjustments resulting from an IRS audit may require each unitholder to adjust a prior year’s tax liability, and may result in an audit of the unitholder’s own return. Any audit of a unitholder’s return could result in adjustments unrelated to our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Publicly traded partnerships are treated as entities separate from their owners for purposes of U.S.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 </w:t>
      </w:r>
    </w:p>
    <w:p>
      <w:pPr>
        <w:pStyle w:val="TextBody"/>
        <w:bidi w:val="0"/>
        <w:spacing w:before="240" w:after="0"/>
        <w:jc w:val="left"/>
        <w:rPr>
          <w:rFonts w:ascii="Times New Roman" w:hAnsi="Times New Roman"/>
          <w:sz w:val="20"/>
        </w:rPr>
      </w:pPr>
      <w:r>
        <w:rPr>
          <w:rFonts w:ascii="Times New Roman" w:hAnsi="Times New Roman"/>
          <w:sz w:val="20"/>
        </w:rPr>
        <w:t xml:space="preserve">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common units during the taxable year under audit. If, as a result of any such audit adjustment, we are required to make payments of taxes, penalties or interest, or, if we bear such payment directly, our cash available for distribution to our unitholders might be substantially reduced. Congress has proposed changes to the rules regarding audits of tax partnerships, and we anticipate that amendments may be made. Accordingly, the manner in which these rules may apply to us in the future is uncertain.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designate a partner, or other person, with a substantial presence in the United States as the partnership representative (“Partnership Representative”). The Partnership Representative has the sole authority to act on our behalf for purposes of, among other things, U.S. federal income tax audits and judicial review of administrative adjustments by the IRS. If we do not make such a designation, the IRS can select any person as the Partnership Representative. We have designated our general partner as the Partnership Representative. Further, any actions taken by us or by the Partnership Representative on our behalf with respect to, among other things, U.S. federal income tax audits and judicial review of administrative adjustments by the IRS, will be binding on us and all of our unitholders.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on or after January 1, 2019, proposed Treasury Regulations provide that such payments of gross proceeds do not constitute withholdable payments. Taxpayers may rely generally on these proposed Treasury Regulations until they are revoked or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we have FDAP Income that is not treated as effectively connected with a U.S. trade or business (please read “—Tax-Exempt Organizations and Other Investors”), a unitholder that is a foreign financial institution or certain other non-U.S. entity, or a person that holds his or her common units through such foreign entities, may be subject to withholding on distributions they receive from us, or his or her distributive share of our income, pursuant to the rules described above. Each prospective unitholder should consult his or her own tax advisors regarding the potential application of these withholding provisions to his or her investment in our common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Nominee Reporting </w:t>
      </w:r>
    </w:p>
    <w:p>
      <w:pPr>
        <w:pStyle w:val="TextBody"/>
        <w:bidi w:val="0"/>
        <w:spacing w:before="120" w:after="0"/>
        <w:jc w:val="left"/>
        <w:rPr>
          <w:rFonts w:ascii="Times New Roman" w:hAnsi="Times New Roman"/>
          <w:sz w:val="20"/>
        </w:rPr>
      </w:pPr>
      <w:r>
        <w:rPr>
          <w:rFonts w:ascii="Times New Roman" w:hAnsi="Times New Roman"/>
          <w:sz w:val="20"/>
        </w:rPr>
        <w:t xml:space="preserve">Persons who hold an interest in us as a nominee for another person are required to furnish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address and taxpayer identification number of the beneficial owner and the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regarding whether the beneficial owner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non-U.S.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non-U.S. government, an international organization or any wholly-owned agency or instrumentality of either of the foregoing;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description of common units held, acquired or transferred for the beneficial owner;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information including the dates of acquisitions and transfers, means of acquisitions and transfers, and acquisition cost for purchases, as well as the amount of net proceeds from sales.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broker and financial institution is required to furnish additional information, including whether such broker or financial institution is a U.S. person and specific information on any common units such broker or financial institution acquires, holds or transfers for his or her own account. A penalty per failure, with a significant maximum penalty per calendar year, is imposed by the Code for failure to report that information to us. The nominee is required to supply the beneficial owner of our common units with the information furnished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Accuracy-Related Penalties </w:t>
      </w:r>
    </w:p>
    <w:p>
      <w:pPr>
        <w:pStyle w:val="TextBody"/>
        <w:bidi w:val="0"/>
        <w:spacing w:before="120" w:after="0"/>
        <w:jc w:val="left"/>
        <w:rPr>
          <w:rFonts w:ascii="Times New Roman" w:hAnsi="Times New Roman"/>
          <w:sz w:val="20"/>
        </w:rPr>
      </w:pPr>
      <w:r>
        <w:rPr>
          <w:rFonts w:ascii="Times New Roman" w:hAnsi="Times New Roman"/>
          <w:sz w:val="20"/>
        </w:rPr>
        <w:t xml:space="preserve">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 </w:t>
      </w:r>
    </w:p>
    <w:p>
      <w:pPr>
        <w:pStyle w:val="TextBody"/>
        <w:bidi w:val="0"/>
        <w:spacing w:before="360" w:after="0"/>
        <w:jc w:val="left"/>
        <w:rPr>
          <w:rFonts w:ascii="Times New Roman" w:hAnsi="Times New Roman"/>
          <w:b/>
          <w:sz w:val="20"/>
        </w:rPr>
      </w:pPr>
      <w:r>
        <w:rPr>
          <w:rFonts w:ascii="Times New Roman" w:hAnsi="Times New Roman"/>
          <w:b/>
          <w:sz w:val="20"/>
        </w:rPr>
        <w:t xml:space="preserve">State, Local and Other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U.S.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his or her investment in us. </w:t>
      </w:r>
    </w:p>
    <w:p>
      <w:pPr>
        <w:pStyle w:val="TextBody"/>
        <w:bidi w:val="0"/>
        <w:spacing w:before="240" w:after="0"/>
        <w:jc w:val="left"/>
        <w:rPr>
          <w:rFonts w:ascii="Times New Roman" w:hAnsi="Times New Roman"/>
          <w:sz w:val="20"/>
        </w:rPr>
      </w:pPr>
      <w:r>
        <w:rPr>
          <w:rFonts w:ascii="Times New Roman" w:hAnsi="Times New Roman"/>
          <w:sz w:val="20"/>
        </w:rPr>
        <w:t xml:space="preserve">A unitholder may be required to file income tax returns and pay income taxes in some or all of the jurisdictions in which we do business or own property, though such unitholder may not be required to file a return and pay taxes in certain jurisdictions because his or her income from such jurisdictions falls below the jurisdiction’s filing and payment requirement. Further, a unitholder may be subject to penalties for a failure to comply with any filing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w:t>
      </w:r>
    </w:p>
    <w:p>
      <w:pPr>
        <w:pStyle w:val="TextBody"/>
        <w:bidi w:val="0"/>
        <w:spacing w:before="240" w:after="0"/>
        <w:jc w:val="left"/>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JURISDICTIONS, OF HIS OR HER INVESTMENT IN US. WE STRONGLY RECOMMEND THAT EACH PROSPECTIVE UNITHOLDER CONSULT, AND DEPEND UPON, HIS OR HER OWN TAX COUNSEL OR OTHER ADVISOR WITH REGARD TO THOSE MATTERS. FURTHER, IT IS THE RESPONSIBILITY OF EACH UNITHOLDER TO FILE ALL STATE, LOCAL AND NON-U.S., AS WELL AS U.S. FEDERAL, TAX RETURNS THAT MAY BE REQUIRED OF HIM OR HER. VINSON &amp; ELKINS L.L.P. HAS NOT RENDERED AN OPINION ON THE STATE, LOCAL, ALTERNATIVE MINIMUM TAX OR NON-U.S. TAX CONSEQUENCES OF AN INVESTMENT IN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86469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we will distribute newly issued common units sold under the Plan. A registered broker/dealer that is an affiliate of the Administrator will assist in the identification of investors and other related services, but will not be acting as an underwriter with respect to common units sold under the Plan. You will pay no service fees or brokerage trading fees whether common units are newly issued or purchased in the open market. We will pay all brokerage trading fees or other charges on common units purchased through the Plan. However, if you are participating in the Plan through your broker, you may be charged a fee by your broker for participating in the Plan on your behalf. Additionally, if you request that your common units held by the Administrator be sold, you will receive the proceeds less a service fee of $17.00 and any brokerage trading fees. The common units are currently listed on the TXSE. </w:t>
      </w:r>
    </w:p>
    <w:p>
      <w:pPr>
        <w:pStyle w:val="TextBody"/>
        <w:bidi w:val="0"/>
        <w:spacing w:before="240" w:after="0"/>
        <w:jc w:val="left"/>
        <w:rPr>
          <w:rFonts w:ascii="Times New Roman" w:hAnsi="Times New Roman"/>
          <w:sz w:val="20"/>
        </w:rPr>
      </w:pPr>
      <w:r>
        <w:rPr>
          <w:rFonts w:ascii="Times New Roman" w:hAnsi="Times New Roman"/>
          <w:sz w:val="20"/>
        </w:rPr>
        <w:t xml:space="preserve">Persons who acquire common units through the Plan and resell them shortly after acquiring them, including coverage of short positions, under certain circumstances, may be participating in a distribution of securities that would require compliance with Regulation M under the Exchange Act, and may be considered to be underwriters within the meaning of the Securities Act. We will not extend to any such person any rights or privileges other than those to which he, she or it would be entitled as a participant, nor will we enter into any agreement with any such person regarding the resale or distribution by any such person of the common units. </w:t>
      </w:r>
    </w:p>
    <w:p>
      <w:pPr>
        <w:pStyle w:val="TextBody"/>
        <w:bidi w:val="0"/>
        <w:spacing w:before="240" w:after="0"/>
        <w:jc w:val="left"/>
        <w:rPr>
          <w:rFonts w:ascii="Times New Roman" w:hAnsi="Times New Roman"/>
          <w:sz w:val="20"/>
        </w:rPr>
      </w:pPr>
      <w:r>
        <w:rPr>
          <w:rFonts w:ascii="Times New Roman" w:hAnsi="Times New Roman"/>
          <w:sz w:val="20"/>
        </w:rPr>
        <w:t xml:space="preserve">We have no arrangements or understandings, formal or informal, with any person relating to the sale of our common units to be received under the Plan. We reserve the right to modify, suspend or terminate participation in the Plan by otherwise eligible persons to eliminate practices that are inconsistent with the purposes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86469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U.S. federal income tax consequences regarding the securities. </w:t>
      </w:r>
    </w:p>
    <w:p>
      <w:pPr>
        <w:pStyle w:val="TextBody"/>
        <w:bidi w:val="0"/>
        <w:spacing w:before="480" w:after="0"/>
        <w:jc w:val="center"/>
        <w:rPr>
          <w:rFonts w:ascii="Times New Roman" w:hAnsi="Times New Roman"/>
          <w:b/>
          <w:sz w:val="20"/>
        </w:rPr>
      </w:pPr>
      <w:bookmarkStart w:id="14" w:name="tx186469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Energy Transfer LP and subsidiaries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before="480" w:after="0"/>
        <w:jc w:val="center"/>
        <w:rPr>
          <w:rFonts w:ascii="Times New Roman" w:hAnsi="Times New Roman"/>
          <w:b/>
          <w:sz w:val="20"/>
        </w:rPr>
      </w:pPr>
      <w:bookmarkStart w:id="15" w:name="tx186469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with the SEC under the Securities Act of 1933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file annual, quarterly and other reports and other information with the SEC. Our SEC filings are available on the SEC’s web site at </w:t>
      </w:r>
      <w:r>
        <w:rPr>
          <w:rFonts w:ascii="Times New Roman" w:hAnsi="Times New Roman"/>
          <w:i/>
          <w:sz w:val="20"/>
        </w:rPr>
        <w:t>http://www.sec.gov</w:t>
      </w:r>
      <w:r>
        <w:rPr>
          <w:rFonts w:ascii="Times New Roman" w:hAnsi="Times New Roman"/>
          <w:sz w:val="20"/>
        </w:rPr>
        <w:t xml:space="preserve">. We also make available free of charge on our website, at </w:t>
      </w:r>
      <w:r>
        <w:rPr>
          <w:rFonts w:ascii="Times New Roman" w:hAnsi="Times New Roman"/>
          <w:i/>
          <w:sz w:val="20"/>
        </w:rPr>
        <w:t>http://www.energytransfer.com</w:t>
      </w:r>
      <w:r>
        <w:rPr>
          <w:rFonts w:ascii="Times New Roman" w:hAnsi="Times New Roman"/>
          <w:sz w:val="20"/>
        </w:rPr>
        <w:t xml:space="preserve">,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Information on our website is not incorporated into this prospectus and is not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(excluding in each case information deemed furnished rather than filed) will automatically update and may replace information in this prospectus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 this prospectus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filed with the SEC on </w:t>
            </w:r>
            <w:hyperlink r:id="rId4">
              <w:r>
                <w:rPr>
                  <w:rStyle w:val="InternetLink"/>
                  <w:rFonts w:ascii="Times New Roman" w:hAnsi="Times New Roman"/>
                  <w:sz w:val="20"/>
                </w:rPr>
                <w:t>August 6, 2026</w:t>
              </w:r>
            </w:hyperlink>
            <w:r>
              <w:rPr>
                <w:rFonts w:ascii="Times New Roman" w:hAnsi="Times New Roman"/>
                <w:sz w:val="20"/>
              </w:rPr>
              <w:t xml:space="preserve"> and </w:t>
            </w:r>
            <w:hyperlink r:id="rId5">
              <w:r>
                <w:rPr>
                  <w:rStyle w:val="InternetLink"/>
                  <w:rFonts w:ascii="Times New Roman" w:hAnsi="Times New Roman"/>
                  <w:sz w:val="20"/>
                </w:rPr>
                <w:t>May 7,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September 10, 2026</w:t>
              </w:r>
            </w:hyperlink>
            <w:r>
              <w:rPr>
                <w:rFonts w:ascii="Times New Roman" w:hAnsi="Times New Roman"/>
                <w:sz w:val="20"/>
              </w:rPr>
              <w:t xml:space="preserve">, </w:t>
            </w:r>
            <w:hyperlink r:id="rId7">
              <w:r>
                <w:rPr>
                  <w:rStyle w:val="InternetLink"/>
                  <w:rFonts w:ascii="Times New Roman" w:hAnsi="Times New Roman"/>
                  <w:sz w:val="20"/>
                </w:rPr>
                <w:t>July  21, 2026</w:t>
              </w:r>
            </w:hyperlink>
            <w:r>
              <w:rPr>
                <w:rFonts w:ascii="Times New Roman" w:hAnsi="Times New Roman"/>
                <w:sz w:val="20"/>
              </w:rPr>
              <w:t xml:space="preserve">, </w:t>
            </w:r>
            <w:hyperlink r:id="rId8">
              <w:r>
                <w:rPr>
                  <w:rStyle w:val="InternetLink"/>
                  <w:rFonts w:ascii="Times New Roman" w:hAnsi="Times New Roman"/>
                  <w:sz w:val="20"/>
                </w:rPr>
                <w:t>July  8, 2026</w:t>
              </w:r>
            </w:hyperlink>
            <w:r>
              <w:rPr>
                <w:rFonts w:ascii="Times New Roman" w:hAnsi="Times New Roman"/>
                <w:sz w:val="20"/>
              </w:rPr>
              <w:t xml:space="preserve">, </w:t>
            </w:r>
            <w:hyperlink r:id="rId9">
              <w:r>
                <w:rPr>
                  <w:rStyle w:val="InternetLink"/>
                  <w:rFonts w:ascii="Times New Roman" w:hAnsi="Times New Roman"/>
                  <w:sz w:val="20"/>
                </w:rPr>
                <w:t>June  3, 2026</w:t>
              </w:r>
            </w:hyperlink>
            <w:r>
              <w:rPr>
                <w:rFonts w:ascii="Times New Roman" w:hAnsi="Times New Roman"/>
                <w:sz w:val="20"/>
              </w:rPr>
              <w:t xml:space="preserve">, </w:t>
            </w:r>
            <w:hyperlink r:id="rId10">
              <w:r>
                <w:rPr>
                  <w:rStyle w:val="InternetLink"/>
                  <w:rFonts w:ascii="Times New Roman" w:hAnsi="Times New Roman"/>
                  <w:sz w:val="20"/>
                </w:rPr>
                <w:t>January  27, 2026</w:t>
              </w:r>
            </w:hyperlink>
            <w:r>
              <w:rPr>
                <w:rFonts w:ascii="Times New Roman" w:hAnsi="Times New Roman"/>
                <w:sz w:val="20"/>
              </w:rPr>
              <w:t xml:space="preserve">, and </w:t>
            </w:r>
            <w:hyperlink r:id="rId11">
              <w:r>
                <w:rPr>
                  <w:rStyle w:val="InternetLink"/>
                  <w:rFonts w:ascii="Times New Roman" w:hAnsi="Times New Roman"/>
                  <w:sz w:val="20"/>
                </w:rPr>
                <w:t>January  13, 2026</w:t>
              </w:r>
            </w:hyperlink>
            <w:r>
              <w:rPr>
                <w:rFonts w:ascii="Times New Roman" w:hAnsi="Times New Roman"/>
                <w:sz w:val="20"/>
              </w:rPr>
              <w:t xml:space="preserve"> and our current report on </w:t>
            </w:r>
            <w:hyperlink r:id="rId12">
              <w:r>
                <w:rPr>
                  <w:rStyle w:val="InternetLink"/>
                  <w:rFonts w:ascii="Times New Roman" w:hAnsi="Times New Roman"/>
                  <w:sz w:val="20"/>
                </w:rPr>
                <w:t xml:space="preserve">Form 8-K </w:t>
              </w:r>
            </w:hyperlink>
            <w:r>
              <w:rPr>
                <w:rFonts w:ascii="Times New Roman" w:hAnsi="Times New Roman"/>
                <w:sz w:val="20"/>
              </w:rPr>
              <w:t xml:space="preserve">filed with the SEC on July 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common units contained in our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filed on January 31, 2006, and including any subsequent amendment thereto filed for the purpose of updating such description and the descriptions of our common units under the heading “Redomiciliation from Delaware to Texas” contained in our current report on </w:t>
            </w:r>
            <w:hyperlink r:id="rId14">
              <w:r>
                <w:rPr>
                  <w:rStyle w:val="InternetLink"/>
                  <w:rFonts w:ascii="Times New Roman" w:hAnsi="Times New Roman"/>
                  <w:sz w:val="20"/>
                </w:rPr>
                <w:t>Form 8-K12b</w:t>
              </w:r>
            </w:hyperlink>
            <w:r>
              <w:rPr>
                <w:rFonts w:ascii="Times New Roman" w:hAnsi="Times New Roman"/>
                <w:sz w:val="20"/>
              </w:rPr>
              <w:t xml:space="preserve"> filed with the SEC on July 6,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under Sections 13(a), 13(c), 14 or 15(d) of the Securities Exchange Act of 1934 between the date of this prospectus and the termination of this offering (excluding any information deemed furnished rather than filed).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prospectus), at no cost, by visiting our internet website at </w:t>
      </w:r>
      <w:r>
        <w:rPr>
          <w:rFonts w:ascii="Times New Roman" w:hAnsi="Times New Roman"/>
          <w:i/>
          <w:sz w:val="20"/>
        </w:rPr>
        <w:t>http://www.energytransfer.com</w:t>
      </w:r>
      <w:r>
        <w:rPr>
          <w:rFonts w:ascii="Times New Roman" w:hAnsi="Times New Roman"/>
          <w:sz w:val="20"/>
        </w:rPr>
        <w:t xml:space="preserve">, or by writing or calling us at the address set forth below. Information on our website is not incorporated into this prospectus and is not a part of this prospectus. </w:t>
      </w:r>
    </w:p>
    <w:p>
      <w:pPr>
        <w:pStyle w:val="TextBody"/>
        <w:bidi w:val="0"/>
        <w:spacing w:before="240" w:after="0"/>
        <w:jc w:val="center"/>
        <w:rPr>
          <w:rFonts w:ascii="Times New Roman" w:hAnsi="Times New Roman"/>
          <w:sz w:val="20"/>
        </w:rPr>
      </w:pPr>
      <w:r>
        <w:rPr>
          <w:rFonts w:ascii="Times New Roman" w:hAnsi="Times New Roman"/>
          <w:sz w:val="20"/>
        </w:rPr>
        <w:t xml:space="preserve">Energy Transfer LP </w:t>
      </w:r>
    </w:p>
    <w:p>
      <w:pPr>
        <w:pStyle w:val="TextBody"/>
        <w:bidi w:val="0"/>
        <w:spacing w:before="0" w:after="0"/>
        <w:jc w:val="center"/>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75225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(214) 981-0700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sz w:val="20"/>
        </w:rPr>
      </w:pPr>
      <w:r>
        <w:rPr>
          <w:rFonts w:ascii="Times New Roman" w:hAnsi="Times New Roman"/>
          <w:b/>
          <w:sz w:val="20"/>
        </w:rPr>
        <w:t xml:space="preserve">Item 14. </w:t>
      </w:r>
      <w:r>
        <w:rPr>
          <w:rFonts w:ascii="Times New Roman" w:hAnsi="Times New Roman"/>
          <w:b/>
          <w:i/>
          <w:sz w:val="20"/>
        </w:rPr>
        <w:t>Other Expenses of Issuance and Distribution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this item is incorporated by reference from Item 14 of the Registrant’s Registration Statement on Form S-3 (File No. 333-277605), filed with the SEC on March 1, 2024. </w:t>
      </w:r>
    </w:p>
    <w:p>
      <w:pPr>
        <w:pStyle w:val="TextBody"/>
        <w:bidi w:val="0"/>
        <w:spacing w:before="360" w:after="0"/>
        <w:jc w:val="left"/>
        <w:rPr>
          <w:rFonts w:ascii="Times New Roman" w:hAnsi="Times New Roman"/>
          <w:sz w:val="20"/>
        </w:rPr>
      </w:pPr>
      <w:r>
        <w:rPr>
          <w:rFonts w:ascii="Times New Roman" w:hAnsi="Times New Roman"/>
          <w:b/>
          <w:sz w:val="20"/>
        </w:rPr>
        <w:t xml:space="preserve">Item 15. </w:t>
      </w:r>
      <w:r>
        <w:rPr>
          <w:rFonts w:ascii="Times New Roman" w:hAnsi="Times New Roman"/>
          <w:b/>
          <w:i/>
          <w:sz w:val="20"/>
        </w:rPr>
        <w:t>Indemnification of Directors and Officers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allows us to indemnify and hold harmless any partner or other persons from and against any and all claims and demands whatsoever. As provided in our partnership agreement, which is incorporated herein by reference, we will, to the fullest extent permitted by law but subject to the limitations expressly provided therein, indemnify and hold harmless our general partner, any Departing General Partner (as defined therein), any person who is or was an affiliate of our general partner or any Departing General Partner, any person who is or was a member, partner, officer, director, fiduciary or trustee of any Group Member (as defined therein), our general partner or any Departing General Partner, or any affiliate of any Group Member, our general partner or any Departing General Partner, or any person who is or was serving at the request of our general partner or any Departing General Partner, or any affiliate of our general partner or any Departing General Partner, as an officer, director, employee, member, partner, agent, fiduciary or trustee of another person, or any person that our general partner designates as an Indemnitee for purposes of our partnership agreement (each, an “Indemnitee”)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the Indemnitee shall not be indemnified and held harmless if there has been a final and non-appealable judgment entered by a court of competent jurisdiction determining that, in respect of the matter for which the Indemnitee is seeking indemnification, the Indemnitee acted in bad faith or engaged in fraud, willful misconduct, or, in the case of a criminal matter, acted with knowledge that the Indemnitee’s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This indemnification would under certain circumstances include indemnification for liabilities under the Securities Act. To the fullest extent permitted by law, expenses (including legal fees and expenses) incurred by an Indemnitee who is indemnified pursuant to our partnership agreement in defending any claim, demand, action, suit or proceeding shall, from time to time, be advanced by us prior to a determination that the Indemnitee is not entitled to be indemnified upon receipt by the partnership of any undertaking by or on behalf of the Indemnitee to repay such amount if it shall be determined that the Indemnitee is not entitled to be indemnified under our partnership agreement. Any indemnification under these provisions will be only out of the assets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We are authorized to purchase and maintain (or to reimburse our general partner for the costs of) insurance against liabilities that may be asserted against and expenses that may be incurred by our general partner, its affiliates and such other persons as our general partner may determine and described in the paragraphs above in connection with their activities, whether or not we would have the power to indemnify such person against such liabilities under the provisions described in the paragraphs above. Our general partner has purchased insurance covering its officers and directors against liabilities that may be asserted and expenses that may be incurred in connection with their activities as officers and directors of our general partner or any of its direct or indirect subsidiaries.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exhibits required to be filed pursuant to the requirements of Item 601 of Regulation S-K are set forth in the Index to Exhibits accompanying this Registration Statement on Form S-3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however, that paragraphs (1)(i), (1)(ii) and (1)(iii) above do not apply if the registration statement is on Form S-3 and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INDEX TO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86"/>
        <w:gridCol w:w="827"/>
        <w:gridCol w:w="7692"/>
      </w:tblGrid>
      <w:tr>
        <w:trPr/>
        <w:tc>
          <w:tcPr>
            <w:tcW w:w="1686" w:type="dxa"/>
            <w:tcBorders/>
            <w:vAlign w:val="center"/>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7692" w:type="dxa"/>
            <w:tcBorders/>
            <w:vAlign w:val="center"/>
          </w:tcPr>
          <w:p>
            <w:pPr>
              <w:pStyle w:val="TableContents"/>
              <w:bidi w:val="0"/>
              <w:spacing w:before="0" w:after="283"/>
              <w:jc w:val="left"/>
              <w:rPr>
                <w:sz w:val="4"/>
                <w:szCs w:val="4"/>
              </w:rPr>
            </w:pPr>
            <w:r>
              <w:rPr>
                <w:sz w:val="4"/>
                <w:szCs w:val="4"/>
              </w:rPr>
            </w:r>
          </w:p>
        </w:tc>
      </w:tr>
      <w:tr>
        <w:trPr/>
        <w:tc>
          <w:tcPr>
            <w:tcW w:w="1686" w:type="dxa"/>
            <w:tcBorders>
              <w:bottom w:val="single" w:sz="8" w:space="0" w:color="000000"/>
            </w:tcBorders>
            <w:tcMar>
              <w:bottom w:w="28" w:type="dxa"/>
            </w:tcMar>
            <w:vAlign w:val="bottom"/>
          </w:tcPr>
          <w:p>
            <w:pPr>
              <w:pStyle w:val="TableContents"/>
              <w:bidi w:val="0"/>
              <w:spacing w:before="0" w:after="283"/>
              <w:jc w:val="center"/>
              <w:rPr>
                <w:b/>
              </w:rPr>
            </w:pPr>
            <w:r>
              <w:rPr>
                <w:b/>
              </w:rPr>
              <w:t>Exhibit Number</w:t>
            </w:r>
          </w:p>
        </w:tc>
        <w:tc>
          <w:tcPr>
            <w:tcW w:w="827" w:type="dxa"/>
            <w:tcBorders/>
            <w:vAlign w:val="bottom"/>
          </w:tcPr>
          <w:p>
            <w:pPr>
              <w:pStyle w:val="TableContents"/>
              <w:bidi w:val="0"/>
              <w:spacing w:before="0" w:after="283"/>
              <w:jc w:val="left"/>
              <w:rPr/>
            </w:pPr>
            <w:r>
              <w:rPr/>
              <w:t>  </w:t>
            </w:r>
          </w:p>
        </w:tc>
        <w:tc>
          <w:tcPr>
            <w:tcW w:w="769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686"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r>
      <w:tr>
        <w:trPr/>
        <w:tc>
          <w:tcPr>
            <w:tcW w:w="1686" w:type="dxa"/>
            <w:tcBorders/>
          </w:tcPr>
          <w:p>
            <w:pPr>
              <w:pStyle w:val="TableContents"/>
              <w:bidi w:val="0"/>
              <w:spacing w:before="0" w:after="283"/>
              <w:jc w:val="left"/>
              <w:rPr/>
            </w:pPr>
            <w:r>
              <w:rPr/>
              <w:t>  </w:t>
            </w:r>
            <w:r>
              <w:rPr/>
              <w:t>3.1</w:t>
            </w:r>
          </w:p>
        </w:tc>
        <w:tc>
          <w:tcPr>
            <w:tcW w:w="827"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hyperlink r:id="rId15">
              <w:r>
                <w:rPr>
                  <w:rStyle w:val="InternetLink"/>
                </w:rPr>
                <w:t xml:space="preserve">Certificate of Formation of Energy Transfer LP (incorporated by reference to Exhibit 3.1 of Form 8-K, File No. 1-32740, filed July 6, 2026) </w:t>
              </w:r>
            </w:hyperlink>
          </w:p>
        </w:tc>
      </w:tr>
      <w:tr>
        <w:trPr>
          <w:trHeight w:val="120" w:hRule="atLeast"/>
        </w:trPr>
        <w:tc>
          <w:tcPr>
            <w:tcW w:w="1686"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r>
      <w:tr>
        <w:trPr/>
        <w:tc>
          <w:tcPr>
            <w:tcW w:w="1686" w:type="dxa"/>
            <w:tcBorders/>
          </w:tcPr>
          <w:p>
            <w:pPr>
              <w:pStyle w:val="TableContents"/>
              <w:bidi w:val="0"/>
              <w:spacing w:before="0" w:after="283"/>
              <w:jc w:val="left"/>
              <w:rPr/>
            </w:pPr>
            <w:r>
              <w:rPr/>
              <w:t>  </w:t>
            </w:r>
            <w:r>
              <w:rPr/>
              <w:t>3.2</w:t>
            </w:r>
          </w:p>
        </w:tc>
        <w:tc>
          <w:tcPr>
            <w:tcW w:w="827"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hyperlink r:id="rId16">
              <w:r>
                <w:rPr>
                  <w:rStyle w:val="InternetLink"/>
                </w:rPr>
                <w:t xml:space="preserve">Agreement of Limited Partnership of Energy Transfer LP, dated July 6, 2026 (incorporated by reference to Exhibit 3.2 of Form 8-K, File No. 1-32740, filed July 6, 2026) </w:t>
              </w:r>
            </w:hyperlink>
          </w:p>
        </w:tc>
      </w:tr>
      <w:tr>
        <w:trPr>
          <w:trHeight w:val="120" w:hRule="atLeast"/>
        </w:trPr>
        <w:tc>
          <w:tcPr>
            <w:tcW w:w="1686"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r>
      <w:tr>
        <w:trPr/>
        <w:tc>
          <w:tcPr>
            <w:tcW w:w="1686" w:type="dxa"/>
            <w:tcBorders/>
          </w:tcPr>
          <w:p>
            <w:pPr>
              <w:pStyle w:val="TableContents"/>
              <w:bidi w:val="0"/>
              <w:spacing w:before="0" w:after="283"/>
              <w:jc w:val="left"/>
              <w:rPr/>
            </w:pPr>
            <w:r>
              <w:rPr/>
              <w:t>  </w:t>
            </w:r>
            <w:r>
              <w:rPr/>
              <w:t>5.1*</w:t>
            </w:r>
          </w:p>
        </w:tc>
        <w:tc>
          <w:tcPr>
            <w:tcW w:w="827"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hyperlink w:anchor="d186469dex51.htm">
              <w:r>
                <w:rPr>
                  <w:rStyle w:val="InternetLink"/>
                </w:rPr>
                <w:t xml:space="preserve">Opinion of Vinson &amp; Elkins L.L.P. as to the legality of the securities being offered </w:t>
              </w:r>
            </w:hyperlink>
          </w:p>
        </w:tc>
      </w:tr>
      <w:tr>
        <w:trPr>
          <w:trHeight w:val="120" w:hRule="atLeast"/>
        </w:trPr>
        <w:tc>
          <w:tcPr>
            <w:tcW w:w="1686"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r>
      <w:tr>
        <w:trPr/>
        <w:tc>
          <w:tcPr>
            <w:tcW w:w="1686" w:type="dxa"/>
            <w:tcBorders/>
          </w:tcPr>
          <w:p>
            <w:pPr>
              <w:pStyle w:val="TableContents"/>
              <w:bidi w:val="0"/>
              <w:spacing w:before="0" w:after="283"/>
              <w:jc w:val="left"/>
              <w:rPr/>
            </w:pPr>
            <w:r>
              <w:rPr/>
              <w:t>  </w:t>
            </w:r>
            <w:r>
              <w:rPr/>
              <w:t>8.1*</w:t>
            </w:r>
          </w:p>
        </w:tc>
        <w:tc>
          <w:tcPr>
            <w:tcW w:w="827"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hyperlink w:anchor="d186469dex81.htm">
              <w:r>
                <w:rPr>
                  <w:rStyle w:val="InternetLink"/>
                </w:rPr>
                <w:t xml:space="preserve">Opinion of Vinson &amp; Elkins L.L.P. as to certain tax matters </w:t>
              </w:r>
            </w:hyperlink>
          </w:p>
        </w:tc>
      </w:tr>
      <w:tr>
        <w:trPr>
          <w:trHeight w:val="120" w:hRule="atLeast"/>
        </w:trPr>
        <w:tc>
          <w:tcPr>
            <w:tcW w:w="1686"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r>
      <w:tr>
        <w:trPr/>
        <w:tc>
          <w:tcPr>
            <w:tcW w:w="1686" w:type="dxa"/>
            <w:tcBorders/>
          </w:tcPr>
          <w:p>
            <w:pPr>
              <w:pStyle w:val="TableContents"/>
              <w:bidi w:val="0"/>
              <w:spacing w:before="0" w:after="283"/>
              <w:jc w:val="left"/>
              <w:rPr/>
            </w:pPr>
            <w:r>
              <w:rPr/>
              <w:t> </w:t>
            </w:r>
            <w:r>
              <w:rPr/>
              <w:t>23.1*</w:t>
            </w:r>
          </w:p>
        </w:tc>
        <w:tc>
          <w:tcPr>
            <w:tcW w:w="827"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hyperlink w:anchor="d186469dex231.htm">
              <w:r>
                <w:rPr>
                  <w:rStyle w:val="InternetLink"/>
                </w:rPr>
                <w:t xml:space="preserve">Consent of Grant Thornton LLP related to Energy Transfer LP </w:t>
              </w:r>
            </w:hyperlink>
          </w:p>
        </w:tc>
      </w:tr>
      <w:tr>
        <w:trPr>
          <w:trHeight w:val="120" w:hRule="atLeast"/>
        </w:trPr>
        <w:tc>
          <w:tcPr>
            <w:tcW w:w="1686"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r>
      <w:tr>
        <w:trPr/>
        <w:tc>
          <w:tcPr>
            <w:tcW w:w="1686" w:type="dxa"/>
            <w:tcBorders/>
          </w:tcPr>
          <w:p>
            <w:pPr>
              <w:pStyle w:val="TableContents"/>
              <w:bidi w:val="0"/>
              <w:spacing w:before="0" w:after="283"/>
              <w:jc w:val="left"/>
              <w:rPr/>
            </w:pPr>
            <w:r>
              <w:rPr/>
              <w:t> </w:t>
            </w:r>
            <w:r>
              <w:rPr/>
              <w:t>23.2*</w:t>
            </w:r>
          </w:p>
        </w:tc>
        <w:tc>
          <w:tcPr>
            <w:tcW w:w="827"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hyperlink w:anchor="d186469dex51.htm">
              <w:r>
                <w:rPr>
                  <w:rStyle w:val="InternetLink"/>
                </w:rPr>
                <w:t xml:space="preserve">Consent of Vinson &amp; Elkins L.L.P. (included in Exhibit 5.1) </w:t>
              </w:r>
            </w:hyperlink>
          </w:p>
        </w:tc>
      </w:tr>
      <w:tr>
        <w:trPr>
          <w:trHeight w:val="120" w:hRule="atLeast"/>
        </w:trPr>
        <w:tc>
          <w:tcPr>
            <w:tcW w:w="1686"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r>
      <w:tr>
        <w:trPr/>
        <w:tc>
          <w:tcPr>
            <w:tcW w:w="1686" w:type="dxa"/>
            <w:tcBorders/>
          </w:tcPr>
          <w:p>
            <w:pPr>
              <w:pStyle w:val="TableContents"/>
              <w:bidi w:val="0"/>
              <w:spacing w:before="0" w:after="283"/>
              <w:jc w:val="left"/>
              <w:rPr/>
            </w:pPr>
            <w:r>
              <w:rPr/>
              <w:t> </w:t>
            </w:r>
            <w:r>
              <w:rPr/>
              <w:t>23.3*</w:t>
            </w:r>
          </w:p>
        </w:tc>
        <w:tc>
          <w:tcPr>
            <w:tcW w:w="827"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hyperlink w:anchor="d186469dex81.htm">
              <w:r>
                <w:rPr>
                  <w:rStyle w:val="InternetLink"/>
                </w:rPr>
                <w:t xml:space="preserve">Consent of Vinson &amp; Elkins L.L.P. (included in Exhibit 8.1) </w:t>
              </w:r>
            </w:hyperlink>
          </w:p>
        </w:tc>
      </w:tr>
      <w:tr>
        <w:trPr>
          <w:trHeight w:val="120" w:hRule="atLeast"/>
        </w:trPr>
        <w:tc>
          <w:tcPr>
            <w:tcW w:w="1686"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r>
      <w:tr>
        <w:trPr/>
        <w:tc>
          <w:tcPr>
            <w:tcW w:w="1686" w:type="dxa"/>
            <w:tcBorders/>
          </w:tcPr>
          <w:p>
            <w:pPr>
              <w:pStyle w:val="TableContents"/>
              <w:bidi w:val="0"/>
              <w:spacing w:before="0" w:after="283"/>
              <w:jc w:val="left"/>
              <w:rPr/>
            </w:pPr>
            <w:r>
              <w:rPr/>
              <w:t> </w:t>
            </w:r>
            <w:r>
              <w:rPr/>
              <w:t>24.1</w:t>
            </w:r>
          </w:p>
        </w:tc>
        <w:tc>
          <w:tcPr>
            <w:tcW w:w="827"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hyperlink w:anchor="ii186469_1">
              <w:r>
                <w:rPr>
                  <w:rStyle w:val="InternetLink"/>
                </w:rPr>
                <w:t xml:space="preserve">Powers of Attorney (included on the signature pages of this registration statement) </w:t>
              </w:r>
            </w:hyperlink>
          </w:p>
        </w:tc>
      </w:tr>
      <w:tr>
        <w:trPr>
          <w:trHeight w:val="120" w:hRule="atLeast"/>
        </w:trPr>
        <w:tc>
          <w:tcPr>
            <w:tcW w:w="1686"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r>
      <w:tr>
        <w:trPr/>
        <w:tc>
          <w:tcPr>
            <w:tcW w:w="1686" w:type="dxa"/>
            <w:tcBorders/>
          </w:tcPr>
          <w:p>
            <w:pPr>
              <w:pStyle w:val="TableContents"/>
              <w:bidi w:val="0"/>
              <w:spacing w:before="0" w:after="283"/>
              <w:jc w:val="left"/>
              <w:rPr/>
            </w:pPr>
            <w:r>
              <w:rPr/>
              <w:t>107**</w:t>
            </w:r>
          </w:p>
        </w:tc>
        <w:tc>
          <w:tcPr>
            <w:tcW w:w="827" w:type="dxa"/>
            <w:tcBorders/>
            <w:vAlign w:val="bottom"/>
          </w:tcPr>
          <w:p>
            <w:pPr>
              <w:pStyle w:val="TableContents"/>
              <w:bidi w:val="0"/>
              <w:spacing w:before="0" w:after="283"/>
              <w:jc w:val="left"/>
              <w:rPr/>
            </w:pPr>
            <w:r>
              <w:rPr/>
              <w:t>  </w:t>
            </w:r>
          </w:p>
        </w:tc>
        <w:tc>
          <w:tcPr>
            <w:tcW w:w="7692" w:type="dxa"/>
            <w:tcBorders/>
          </w:tcPr>
          <w:p>
            <w:pPr>
              <w:pStyle w:val="TableContents"/>
              <w:bidi w:val="0"/>
              <w:spacing w:before="0" w:after="283"/>
              <w:jc w:val="left"/>
              <w:rPr/>
            </w:pPr>
            <w:hyperlink r:id="rId17">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ii186469_1"/>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Texas, on October 6, 2026. </w:t>
      </w:r>
    </w:p>
    <w:p>
      <w:pPr>
        <w:pStyle w:val="TextBody"/>
        <w:bidi w:val="0"/>
        <w:spacing w:before="0" w:after="0"/>
        <w:jc w:val="left"/>
        <w:rPr/>
      </w:pPr>
      <w:r>
        <w:rPr/>
        <w:t> </w:t>
      </w:r>
    </w:p>
    <w:tbl>
      <w:tblPr>
        <w:tblW w:w="6100" w:type="dxa"/>
        <w:jc w:val="right"/>
        <w:tblInd w:w="0" w:type="dxa"/>
        <w:tblLayout w:type="fixed"/>
        <w:tblCellMar>
          <w:top w:w="0" w:type="dxa"/>
          <w:left w:w="0" w:type="dxa"/>
          <w:bottom w:w="0" w:type="dxa"/>
          <w:right w:w="0" w:type="dxa"/>
        </w:tblCellMar>
      </w:tblPr>
      <w:tblGrid>
        <w:gridCol w:w="305"/>
        <w:gridCol w:w="60"/>
        <w:gridCol w:w="5735"/>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35" w:type="dxa"/>
            <w:tcBorders/>
            <w:vAlign w:val="center"/>
          </w:tcPr>
          <w:p>
            <w:pPr>
              <w:pStyle w:val="TableContents"/>
              <w:bidi w:val="0"/>
              <w:spacing w:before="0" w:after="283"/>
              <w:jc w:val="left"/>
              <w:rPr>
                <w:sz w:val="4"/>
                <w:szCs w:val="4"/>
              </w:rPr>
            </w:pPr>
            <w:r>
              <w:rPr>
                <w:sz w:val="4"/>
                <w:szCs w:val="4"/>
              </w:rPr>
            </w:r>
          </w:p>
        </w:tc>
      </w:tr>
      <w:tr>
        <w:trPr/>
        <w:tc>
          <w:tcPr>
            <w:tcW w:w="6100" w:type="dxa"/>
            <w:gridSpan w:val="3"/>
            <w:tcBorders/>
            <w:vAlign w:val="bottom"/>
          </w:tcPr>
          <w:p>
            <w:pPr>
              <w:pStyle w:val="TableContents"/>
              <w:bidi w:val="0"/>
              <w:spacing w:before="0" w:after="283"/>
              <w:jc w:val="left"/>
              <w:rPr>
                <w:b/>
              </w:rPr>
            </w:pPr>
            <w:r>
              <w:rPr>
                <w:b/>
              </w:rPr>
              <w:t>ENERGY TRANSFER LP</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579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5735" w:type="dxa"/>
            <w:tcBorders/>
            <w:vAlign w:val="bottom"/>
          </w:tcPr>
          <w:p>
            <w:pPr>
              <w:pStyle w:val="TableContents"/>
              <w:bidi w:val="0"/>
              <w:spacing w:before="0" w:after="283"/>
              <w:jc w:val="left"/>
              <w:rPr/>
            </w:pPr>
            <w:r>
              <w:rPr/>
              <w:t>LE GP, LLC, its general partner</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579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5735" w:type="dxa"/>
            <w:tcBorders>
              <w:bottom w:val="single" w:sz="2" w:space="0" w:color="000000"/>
            </w:tcBorders>
            <w:tcMar>
              <w:bottom w:w="28" w:type="dxa"/>
            </w:tcMar>
          </w:tcPr>
          <w:p>
            <w:pPr>
              <w:pStyle w:val="TableContents"/>
              <w:bidi w:val="0"/>
              <w:spacing w:before="0" w:after="283"/>
              <w:jc w:val="left"/>
              <w:rPr/>
            </w:pPr>
            <w:r>
              <w:rPr/>
              <w:t>/s/ Dylan A. Bramhall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35" w:type="dxa"/>
            <w:tcBorders/>
            <w:vAlign w:val="bottom"/>
          </w:tcPr>
          <w:p>
            <w:pPr>
              <w:pStyle w:val="TableContents"/>
              <w:bidi w:val="0"/>
              <w:spacing w:before="0" w:after="283"/>
              <w:jc w:val="left"/>
              <w:rPr/>
            </w:pPr>
            <w:r>
              <w:rPr/>
              <w:t>Dylan A. Bramhall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35" w:type="dxa"/>
            <w:tcBorders/>
            <w:vAlign w:val="bottom"/>
          </w:tcPr>
          <w:p>
            <w:pPr>
              <w:pStyle w:val="TableContents"/>
              <w:bidi w:val="0"/>
              <w:spacing w:before="0" w:after="283"/>
              <w:jc w:val="left"/>
              <w:rPr/>
            </w:pPr>
            <w:r>
              <w:rPr/>
              <w:t>Executive Vice President and Group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which are with LE GP, LLC, the general partner of Energy Transfer LP, on October 6,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61"/>
        <w:gridCol w:w="109"/>
        <w:gridCol w:w="509"/>
        <w:gridCol w:w="125"/>
        <w:gridCol w:w="5301"/>
      </w:tblGrid>
      <w:tr>
        <w:trPr/>
        <w:tc>
          <w:tcPr>
            <w:tcW w:w="416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5301" w:type="dxa"/>
            <w:tcBorders/>
            <w:vAlign w:val="center"/>
          </w:tcPr>
          <w:p>
            <w:pPr>
              <w:pStyle w:val="TableContents"/>
              <w:bidi w:val="0"/>
              <w:spacing w:before="0" w:after="283"/>
              <w:jc w:val="left"/>
              <w:rPr>
                <w:sz w:val="4"/>
                <w:szCs w:val="4"/>
              </w:rPr>
            </w:pPr>
            <w:r>
              <w:rPr>
                <w:sz w:val="4"/>
                <w:szCs w:val="4"/>
              </w:rPr>
            </w:r>
          </w:p>
        </w:tc>
      </w:tr>
      <w:tr>
        <w:trPr/>
        <w:tc>
          <w:tcPr>
            <w:tcW w:w="4161" w:type="dxa"/>
            <w:tcBorders>
              <w:bottom w:val="single" w:sz="2" w:space="0" w:color="000000"/>
            </w:tcBorders>
            <w:tcMar>
              <w:bottom w:w="28" w:type="dxa"/>
            </w:tcMar>
          </w:tcPr>
          <w:p>
            <w:pPr>
              <w:pStyle w:val="TableContents"/>
              <w:bidi w:val="0"/>
              <w:spacing w:before="0" w:after="283"/>
              <w:jc w:val="center"/>
              <w:rPr>
                <w:b/>
                <w:sz w:val="16"/>
              </w:rPr>
            </w:pPr>
            <w:r>
              <w:rPr>
                <w:b/>
                <w:sz w:val="16"/>
              </w:rPr>
              <w:t>Signature</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5301" w:type="dxa"/>
            <w:tcBorders>
              <w:bottom w:val="single" w:sz="2" w:space="0" w:color="000000"/>
            </w:tcBorders>
            <w:tcMar>
              <w:bottom w:w="28" w:type="dxa"/>
            </w:tcMar>
          </w:tcPr>
          <w:p>
            <w:pPr>
              <w:pStyle w:val="TableContents"/>
              <w:bidi w:val="0"/>
              <w:spacing w:before="0" w:after="283"/>
              <w:jc w:val="center"/>
              <w:rPr>
                <w:b/>
                <w:sz w:val="16"/>
              </w:rPr>
            </w:pPr>
            <w:r>
              <w:rPr>
                <w:b/>
                <w:sz w:val="16"/>
              </w:rPr>
              <w:t>Title</w:t>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bottom w:val="single" w:sz="2" w:space="0" w:color="000000"/>
            </w:tcBorders>
            <w:tcMar>
              <w:bottom w:w="28" w:type="dxa"/>
            </w:tcMar>
          </w:tcPr>
          <w:p>
            <w:pPr>
              <w:pStyle w:val="TableContents"/>
              <w:bidi w:val="0"/>
              <w:spacing w:before="0" w:after="283"/>
              <w:jc w:val="center"/>
              <w:rPr/>
            </w:pPr>
            <w:r>
              <w:rPr/>
              <w:t>*</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Executive Chairman</w:t>
            </w:r>
          </w:p>
        </w:tc>
      </w:tr>
      <w:tr>
        <w:trPr/>
        <w:tc>
          <w:tcPr>
            <w:tcW w:w="4161" w:type="dxa"/>
            <w:tcBorders/>
          </w:tcPr>
          <w:p>
            <w:pPr>
              <w:pStyle w:val="TableContents"/>
              <w:bidi w:val="0"/>
              <w:spacing w:before="0" w:after="283"/>
              <w:jc w:val="center"/>
              <w:rPr/>
            </w:pPr>
            <w:r>
              <w:rPr/>
              <w:t>Kelcy L. Warren</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left"/>
              <w:rPr>
                <w:sz w:val="4"/>
                <w:szCs w:val="4"/>
              </w:rPr>
            </w:pPr>
            <w:r>
              <w:rPr>
                <w:sz w:val="4"/>
                <w:szCs w:val="4"/>
              </w:rPr>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Thomas E. Long</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Co-Chief Executive Officer and Director</w:t>
            </w:r>
          </w:p>
        </w:tc>
      </w:tr>
      <w:tr>
        <w:trPr/>
        <w:tc>
          <w:tcPr>
            <w:tcW w:w="4161" w:type="dxa"/>
            <w:tcBorders/>
          </w:tcPr>
          <w:p>
            <w:pPr>
              <w:pStyle w:val="TableContents"/>
              <w:bidi w:val="0"/>
              <w:spacing w:before="0" w:after="283"/>
              <w:jc w:val="center"/>
              <w:rPr/>
            </w:pPr>
            <w:r>
              <w:rPr/>
              <w:t>Thomas E. Long</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(Co-Principal Executive Officer)</w:t>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Marshall S. McCrea, III</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Co-Chief Executive Officer and Director</w:t>
            </w:r>
          </w:p>
        </w:tc>
      </w:tr>
      <w:tr>
        <w:trPr/>
        <w:tc>
          <w:tcPr>
            <w:tcW w:w="4161" w:type="dxa"/>
            <w:tcBorders/>
          </w:tcPr>
          <w:p>
            <w:pPr>
              <w:pStyle w:val="TableContents"/>
              <w:bidi w:val="0"/>
              <w:spacing w:before="0" w:after="283"/>
              <w:jc w:val="center"/>
              <w:rPr/>
            </w:pPr>
            <w:r>
              <w:rPr/>
              <w:t>Marshall S. McCrea, III</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(Co-Principal Executive Officer)</w:t>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Dylan A. Bramhall</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Executive Vice President and Group Chief</w:t>
            </w:r>
          </w:p>
        </w:tc>
      </w:tr>
      <w:tr>
        <w:trPr/>
        <w:tc>
          <w:tcPr>
            <w:tcW w:w="4161" w:type="dxa"/>
            <w:tcBorders/>
          </w:tcPr>
          <w:p>
            <w:pPr>
              <w:pStyle w:val="TableContents"/>
              <w:bidi w:val="0"/>
              <w:spacing w:before="0" w:after="283"/>
              <w:jc w:val="center"/>
              <w:rPr/>
            </w:pPr>
            <w:r>
              <w:rPr/>
              <w:t>Dylan A. Bramhall</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Financial Officer</w:t>
            </w:r>
          </w:p>
        </w:tc>
      </w:tr>
      <w:tr>
        <w:trPr/>
        <w:tc>
          <w:tcPr>
            <w:tcW w:w="416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(Principal Financial Officer)</w:t>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 Troy Sturrock</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Group Senior Vice President and Controller</w:t>
            </w:r>
          </w:p>
        </w:tc>
      </w:tr>
      <w:tr>
        <w:trPr/>
        <w:tc>
          <w:tcPr>
            <w:tcW w:w="4161" w:type="dxa"/>
            <w:tcBorders/>
          </w:tcPr>
          <w:p>
            <w:pPr>
              <w:pStyle w:val="TableContents"/>
              <w:bidi w:val="0"/>
              <w:spacing w:before="0" w:after="283"/>
              <w:jc w:val="center"/>
              <w:rPr/>
            </w:pPr>
            <w:r>
              <w:rPr/>
              <w:t>A. Troy Sturrock</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(Principal Accounting Officer)</w:t>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bottom w:val="single" w:sz="2" w:space="0" w:color="000000"/>
            </w:tcBorders>
            <w:tcMar>
              <w:bottom w:w="28" w:type="dxa"/>
            </w:tcMar>
          </w:tcPr>
          <w:p>
            <w:pPr>
              <w:pStyle w:val="TableContents"/>
              <w:bidi w:val="0"/>
              <w:spacing w:before="0" w:after="283"/>
              <w:jc w:val="center"/>
              <w:rPr/>
            </w:pPr>
            <w:r>
              <w:rPr/>
              <w:t>*</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Director</w:t>
            </w:r>
          </w:p>
        </w:tc>
      </w:tr>
      <w:tr>
        <w:trPr/>
        <w:tc>
          <w:tcPr>
            <w:tcW w:w="4161" w:type="dxa"/>
            <w:tcBorders/>
          </w:tcPr>
          <w:p>
            <w:pPr>
              <w:pStyle w:val="TableContents"/>
              <w:bidi w:val="0"/>
              <w:spacing w:before="0" w:after="283"/>
              <w:jc w:val="center"/>
              <w:rPr/>
            </w:pPr>
            <w:r>
              <w:rPr/>
              <w:t>Steven R. Anderson</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left"/>
              <w:rPr>
                <w:sz w:val="4"/>
                <w:szCs w:val="4"/>
              </w:rPr>
            </w:pPr>
            <w:r>
              <w:rPr>
                <w:sz w:val="4"/>
                <w:szCs w:val="4"/>
              </w:rPr>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bottom w:val="single" w:sz="2" w:space="0" w:color="000000"/>
            </w:tcBorders>
            <w:tcMar>
              <w:bottom w:w="28" w:type="dxa"/>
            </w:tcMar>
          </w:tcPr>
          <w:p>
            <w:pPr>
              <w:pStyle w:val="TableContents"/>
              <w:bidi w:val="0"/>
              <w:spacing w:before="0" w:after="283"/>
              <w:jc w:val="center"/>
              <w:rPr/>
            </w:pPr>
            <w:r>
              <w:rPr/>
              <w:t>*</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Director</w:t>
            </w:r>
          </w:p>
        </w:tc>
      </w:tr>
      <w:tr>
        <w:trPr/>
        <w:tc>
          <w:tcPr>
            <w:tcW w:w="4161" w:type="dxa"/>
            <w:tcBorders/>
          </w:tcPr>
          <w:p>
            <w:pPr>
              <w:pStyle w:val="TableContents"/>
              <w:bidi w:val="0"/>
              <w:spacing w:before="0" w:after="283"/>
              <w:jc w:val="center"/>
              <w:rPr/>
            </w:pPr>
            <w:r>
              <w:rPr/>
              <w:t>Michael K. Grimm</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left"/>
              <w:rPr>
                <w:sz w:val="4"/>
                <w:szCs w:val="4"/>
              </w:rPr>
            </w:pPr>
            <w:r>
              <w:rPr>
                <w:sz w:val="4"/>
                <w:szCs w:val="4"/>
              </w:rPr>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bottom w:val="single" w:sz="2" w:space="0" w:color="000000"/>
            </w:tcBorders>
            <w:tcMar>
              <w:bottom w:w="28" w:type="dxa"/>
            </w:tcMar>
          </w:tcPr>
          <w:p>
            <w:pPr>
              <w:pStyle w:val="TableContents"/>
              <w:bidi w:val="0"/>
              <w:spacing w:before="0" w:after="283"/>
              <w:jc w:val="center"/>
              <w:rPr/>
            </w:pPr>
            <w:r>
              <w:rPr/>
              <w:t>*</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Director</w:t>
            </w:r>
          </w:p>
        </w:tc>
      </w:tr>
      <w:tr>
        <w:trPr/>
        <w:tc>
          <w:tcPr>
            <w:tcW w:w="4161" w:type="dxa"/>
            <w:tcBorders/>
          </w:tcPr>
          <w:p>
            <w:pPr>
              <w:pStyle w:val="TableContents"/>
              <w:bidi w:val="0"/>
              <w:spacing w:before="0" w:after="283"/>
              <w:jc w:val="center"/>
              <w:rPr/>
            </w:pPr>
            <w:r>
              <w:rPr/>
              <w:t>John W. McReynolds</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left"/>
              <w:rPr>
                <w:sz w:val="4"/>
                <w:szCs w:val="4"/>
              </w:rPr>
            </w:pPr>
            <w:r>
              <w:rPr>
                <w:sz w:val="4"/>
                <w:szCs w:val="4"/>
              </w:rPr>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bottom w:val="single" w:sz="2" w:space="0" w:color="000000"/>
            </w:tcBorders>
            <w:tcMar>
              <w:bottom w:w="28" w:type="dxa"/>
            </w:tcMar>
          </w:tcPr>
          <w:p>
            <w:pPr>
              <w:pStyle w:val="TableContents"/>
              <w:bidi w:val="0"/>
              <w:spacing w:before="0" w:after="283"/>
              <w:jc w:val="center"/>
              <w:rPr/>
            </w:pPr>
            <w:r>
              <w:rPr/>
              <w:t>*</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Director</w:t>
            </w:r>
          </w:p>
        </w:tc>
      </w:tr>
      <w:tr>
        <w:trPr/>
        <w:tc>
          <w:tcPr>
            <w:tcW w:w="4161" w:type="dxa"/>
            <w:tcBorders/>
          </w:tcPr>
          <w:p>
            <w:pPr>
              <w:pStyle w:val="TableContents"/>
              <w:bidi w:val="0"/>
              <w:spacing w:before="0" w:after="283"/>
              <w:jc w:val="center"/>
              <w:rPr/>
            </w:pPr>
            <w:r>
              <w:rPr/>
              <w:t>James R. Perry</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left"/>
              <w:rPr>
                <w:sz w:val="4"/>
                <w:szCs w:val="4"/>
              </w:rPr>
            </w:pPr>
            <w:r>
              <w:rPr>
                <w:sz w:val="4"/>
                <w:szCs w:val="4"/>
              </w:rPr>
            </w:r>
          </w:p>
        </w:tc>
      </w:tr>
      <w:tr>
        <w:trPr>
          <w:trHeight w:val="240" w:hRule="atLeast"/>
        </w:trPr>
        <w:tc>
          <w:tcPr>
            <w:tcW w:w="4161" w:type="dxa"/>
            <w:tcBorders/>
            <w:vAlign w:val="center"/>
          </w:tcPr>
          <w:p>
            <w:pPr>
              <w:pStyle w:val="TableContents"/>
              <w:bidi w:val="0"/>
              <w:spacing w:before="0" w:after="283"/>
              <w:jc w:val="left"/>
              <w:rPr>
                <w:sz w:val="4"/>
                <w:szCs w:val="4"/>
              </w:rPr>
            </w:pPr>
            <w:r>
              <w:rPr>
                <w:sz w:val="4"/>
                <w:szCs w:val="4"/>
              </w:rPr>
            </w:r>
          </w:p>
        </w:tc>
        <w:tc>
          <w:tcPr>
            <w:tcW w:w="618" w:type="dxa"/>
            <w:gridSpan w:val="2"/>
            <w:tcBorders/>
            <w:vAlign w:val="center"/>
          </w:tcPr>
          <w:p>
            <w:pPr>
              <w:pStyle w:val="TableContents"/>
              <w:bidi w:val="0"/>
              <w:spacing w:before="0" w:after="283"/>
              <w:jc w:val="left"/>
              <w:rPr>
                <w:sz w:val="4"/>
                <w:szCs w:val="4"/>
              </w:rPr>
            </w:pPr>
            <w:r>
              <w:rPr>
                <w:sz w:val="4"/>
                <w:szCs w:val="4"/>
              </w:rPr>
            </w:r>
          </w:p>
        </w:tc>
        <w:tc>
          <w:tcPr>
            <w:tcW w:w="5426" w:type="dxa"/>
            <w:gridSpan w:val="2"/>
            <w:tcBorders/>
            <w:vAlign w:val="center"/>
          </w:tcPr>
          <w:p>
            <w:pPr>
              <w:pStyle w:val="TableContents"/>
              <w:bidi w:val="0"/>
              <w:spacing w:before="0" w:after="283"/>
              <w:jc w:val="left"/>
              <w:rPr>
                <w:sz w:val="4"/>
                <w:szCs w:val="4"/>
              </w:rPr>
            </w:pPr>
            <w:r>
              <w:rPr>
                <w:sz w:val="4"/>
                <w:szCs w:val="4"/>
              </w:rPr>
            </w:r>
          </w:p>
        </w:tc>
      </w:tr>
      <w:tr>
        <w:trPr/>
        <w:tc>
          <w:tcPr>
            <w:tcW w:w="4161" w:type="dxa"/>
            <w:tcBorders>
              <w:bottom w:val="single" w:sz="2" w:space="0" w:color="000000"/>
            </w:tcBorders>
            <w:tcMar>
              <w:bottom w:w="28" w:type="dxa"/>
            </w:tcMar>
          </w:tcPr>
          <w:p>
            <w:pPr>
              <w:pStyle w:val="TableContents"/>
              <w:bidi w:val="0"/>
              <w:spacing w:before="0" w:after="283"/>
              <w:jc w:val="center"/>
              <w:rPr/>
            </w:pPr>
            <w:r>
              <w:rPr/>
              <w:t>*</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center"/>
              <w:rPr/>
            </w:pPr>
            <w:r>
              <w:rPr/>
              <w:t>Director</w:t>
            </w:r>
          </w:p>
        </w:tc>
      </w:tr>
      <w:tr>
        <w:trPr/>
        <w:tc>
          <w:tcPr>
            <w:tcW w:w="4161" w:type="dxa"/>
            <w:tcBorders/>
          </w:tcPr>
          <w:p>
            <w:pPr>
              <w:pStyle w:val="TableContents"/>
              <w:bidi w:val="0"/>
              <w:spacing w:before="0" w:after="283"/>
              <w:jc w:val="center"/>
              <w:rPr/>
            </w:pPr>
            <w:r>
              <w:rPr/>
              <w:t>Matthew S. Ramsey</w:t>
            </w:r>
          </w:p>
        </w:tc>
        <w:tc>
          <w:tcPr>
            <w:tcW w:w="109"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30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Dylan A. Bramhall, by signing his name hereto, does hereby sign this document on behalf of each of the above-noted directors of the Registrant pursuant to powers of attorney duly executed by such persons.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2"/>
        <w:gridCol w:w="60"/>
        <w:gridCol w:w="3660"/>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tcPr>
          <w:p>
            <w:pPr>
              <w:pStyle w:val="TableContents"/>
              <w:bidi w:val="0"/>
              <w:spacing w:before="0" w:after="283"/>
              <w:jc w:val="left"/>
              <w:rPr/>
            </w:pPr>
            <w:r>
              <w:rPr/>
              <w:t>/s/ Dylan A. Bramhall</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283"/>
              <w:jc w:val="left"/>
              <w:rPr/>
            </w:pPr>
            <w:r>
              <w:rPr/>
              <w:t>Dylan A. Bramhall</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7" w:name="d186469dex51.htm"/>
      <w:bookmarkStart w:id="18" w:name="ksd186469dex51"/>
      <w:bookmarkEnd w:id="17"/>
      <w:bookmarkEnd w:id="18"/>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19250"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1619250"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October 6, 2026 </w:t>
      </w:r>
    </w:p>
    <w:p>
      <w:pPr>
        <w:pStyle w:val="TextBody"/>
        <w:bidi w:val="0"/>
        <w:spacing w:before="240" w:after="0"/>
        <w:jc w:val="left"/>
        <w:rPr>
          <w:rFonts w:ascii="Times New Roman" w:hAnsi="Times New Roman"/>
          <w:sz w:val="20"/>
        </w:rPr>
      </w:pPr>
      <w:r>
        <w:rPr>
          <w:rFonts w:ascii="Times New Roman" w:hAnsi="Times New Roman"/>
          <w:sz w:val="20"/>
        </w:rPr>
        <w:t xml:space="preserve">Energy Transfer LP </w:t>
      </w:r>
    </w:p>
    <w:p>
      <w:pPr>
        <w:pStyle w:val="TextBody"/>
        <w:bidi w:val="0"/>
        <w:spacing w:before="0" w:after="0"/>
        <w:jc w:val="left"/>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75225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for Energy Transfer LP, a Texas limited partnership (the “Partnership”) in connection with the filing on the date hereof with the Securities and Exchange Commission of a Post-Effective Amendment No. 2 to the Partnership’s registration statement on Form S-3, File No. 333-277605 (the “Registration Statement”) providing for the registration of the sale of up to 40,000,000 common units representing limited partner interests (the “Units”), which may be issued pursuant to the Partnership’s Distribution Reinvestment Plan (the “Plan”)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rendering of the opinions hereinafter set forth, we have examined (i) executed copies of the organizational documents of the Partnership and LE GP, LLC, the general partner of the Partnership (the “General Partner”); (ii) the Registration Statement; (iii) the prospectus included in the Registration Statement dated the date of the Registration Statement (the “Prospectus”); (iv) the Plan; (v) resolutions of the Board of Directors of the General Partner; and (vi) such other certificates, statutes and other instruments and documents as we considered appropriate for purposes of the opinions hereafter expressed. In addition, we reviewed such questions of law as we considered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opinions set forth below,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and (iv) the Registration Statement, and any amendments thereto (including post-effective amendments), will have become effective, and all Units will be sold in compliance with applicable federal and state securities laws and in the manner specified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assumptions, qualifications, limitations and exceptions set forth herein, we are of the opinion that the Units will be validly issued and, under the Texas Business Organizations Code (the “TBOC”), purchasers of the Units will have no obligation to make further payments for their purchase of the Units or contributions to the Partnership solely by reason of their ownership of the Units or their status as limited partners of the Partnership, and no personal liability for the debts, obligations and liabilities of the Partnership, whether arising in contract, tort or otherwise, solely by reason of being limited partners of the Partnership.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95"/>
        <w:gridCol w:w="101"/>
        <w:gridCol w:w="1326"/>
        <w:gridCol w:w="101"/>
        <w:gridCol w:w="3982"/>
      </w:tblGrid>
      <w:tr>
        <w:trPr/>
        <w:tc>
          <w:tcPr>
            <w:tcW w:w="469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b/>
              </w:rPr>
            </w:pPr>
            <w:r>
              <w:rPr>
                <w:b/>
              </w:rPr>
              <w:t>Vinson &amp; Elkins LLP Attorneys at Law</w:t>
            </w:r>
          </w:p>
        </w:tc>
        <w:tc>
          <w:tcPr>
            <w:tcW w:w="101"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pPr>
            <w:r>
              <w:rPr/>
              <w:t>Texas Tower, 845 Texas Avenue, Suite 4700</w:t>
            </w:r>
          </w:p>
        </w:tc>
      </w:tr>
      <w:tr>
        <w:trPr/>
        <w:tc>
          <w:tcPr>
            <w:tcW w:w="4695" w:type="dxa"/>
            <w:tcBorders/>
          </w:tcPr>
          <w:p>
            <w:pPr>
              <w:pStyle w:val="TableContents"/>
              <w:bidi w:val="0"/>
              <w:spacing w:before="0" w:after="283"/>
              <w:jc w:val="left"/>
              <w:rPr/>
            </w:pPr>
            <w:r>
              <w:rPr/>
              <w:t>Austin Brussels Dallas Denver Dubai Dublin Houston London</w:t>
            </w:r>
          </w:p>
        </w:tc>
        <w:tc>
          <w:tcPr>
            <w:tcW w:w="101"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pPr>
            <w:r>
              <w:rPr/>
              <w:t>Houston, TX 77002</w:t>
            </w:r>
          </w:p>
        </w:tc>
      </w:tr>
      <w:tr>
        <w:trPr/>
        <w:tc>
          <w:tcPr>
            <w:tcW w:w="4695" w:type="dxa"/>
            <w:tcBorders/>
          </w:tcPr>
          <w:p>
            <w:pPr>
              <w:pStyle w:val="TableContents"/>
              <w:bidi w:val="0"/>
              <w:spacing w:before="0" w:after="283"/>
              <w:jc w:val="left"/>
              <w:rPr/>
            </w:pPr>
            <w:r>
              <w:rPr/>
              <w:t>Los Angeles New York Richmond San Francisco Tokyo Washington</w:t>
            </w:r>
          </w:p>
        </w:tc>
        <w:tc>
          <w:tcPr>
            <w:tcW w:w="101"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pPr>
            <w:r>
              <w:rPr>
                <w:b/>
              </w:rPr>
              <w:t>Tel</w:t>
            </w:r>
            <w:r>
              <w:rPr/>
              <w:t xml:space="preserve"> +1.713.758.2222 </w:t>
            </w:r>
            <w:r>
              <w:rPr>
                <w:b/>
              </w:rPr>
              <w:t>Fax</w:t>
            </w:r>
            <w:r>
              <w:rPr/>
              <w:t xml:space="preserve"> +1.713.758.2346 velaw.com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90"/>
        <w:gridCol w:w="120"/>
        <w:gridCol w:w="4895"/>
      </w:tblGrid>
      <w:tr>
        <w:trPr/>
        <w:tc>
          <w:tcPr>
            <w:tcW w:w="5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drawing>
                <wp:inline distT="0" distB="0" distL="0" distR="0">
                  <wp:extent cx="502285" cy="203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502285" cy="2032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right"/>
              <w:rPr/>
            </w:pPr>
            <w:r>
              <w:rPr/>
              <w:t>October 6, 2026 Page 2</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foregoing opinion is limited to the TBOC and the federal laws of the United States of America as in effect on the date hereof, and we undertake no duty to update or supplement the foregoing opinion to reflect any facts or circumstances that may hereafter come to our attention or to reflect any changes in any law that may hereafter occur or become effective. We are expressing no opinion as to the effect of the laws of any other jurisdiction, domestic or foreign.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use of our name in the Prospectus forming a part of the Registration Statement under the caption “Legal Matters.” In giving this consent, we do not admit that we are within the category of persons whose consent is required under Section 7 of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081"/>
        <w:gridCol w:w="461"/>
        <w:gridCol w:w="1540"/>
      </w:tblGrid>
      <w:tr>
        <w:trPr/>
        <w:tc>
          <w:tcPr>
            <w:tcW w:w="2081"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Vinson &amp; Elkins L.L.P.</w:t>
            </w:r>
          </w:p>
        </w:tc>
      </w:tr>
      <w:tr>
        <w:trPr/>
        <w:tc>
          <w:tcPr>
            <w:tcW w:w="4082" w:type="dxa"/>
            <w:gridSpan w:val="3"/>
            <w:tcBorders/>
          </w:tcPr>
          <w:p>
            <w:pPr>
              <w:pStyle w:val="TableContents"/>
              <w:bidi w:val="0"/>
              <w:spacing w:before="0" w:after="283"/>
              <w:jc w:val="left"/>
              <w:rPr/>
            </w:pPr>
            <w:r>
              <w:rPr/>
              <w:t>Vinson &amp; Elkins L.L.P.</w:t>
            </w:r>
          </w:p>
        </w:tc>
      </w:tr>
    </w:tbl>
    <w:p>
      <w:pPr>
        <w:pStyle w:val="TextBody"/>
        <w:bidi w:val="0"/>
        <w:spacing w:before="0" w:after="0"/>
        <w:jc w:val="right"/>
        <w:rPr>
          <w:rFonts w:ascii="Times New Roman" w:hAnsi="Times New Roman"/>
          <w:b/>
          <w:sz w:val="20"/>
        </w:rPr>
      </w:pPr>
      <w:bookmarkStart w:id="19" w:name="d186469dex81.htm"/>
      <w:bookmarkStart w:id="20" w:name="ksd186469dex81"/>
      <w:bookmarkEnd w:id="19"/>
      <w:bookmarkEnd w:id="20"/>
      <w:r>
        <w:rPr>
          <w:rFonts w:ascii="Times New Roman" w:hAnsi="Times New Roman"/>
          <w:b/>
          <w:sz w:val="20"/>
        </w:rPr>
        <w:t xml:space="preserve">Exhibit 8.1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24025"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0"/>
                    <a:stretch>
                      <a:fillRect/>
                    </a:stretch>
                  </pic:blipFill>
                  <pic:spPr bwMode="auto">
                    <a:xfrm>
                      <a:off x="0" y="0"/>
                      <a:ext cx="1724025" cy="2571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October 6, 2026 </w:t>
      </w:r>
    </w:p>
    <w:p>
      <w:pPr>
        <w:pStyle w:val="TextBody"/>
        <w:bidi w:val="0"/>
        <w:spacing w:before="240" w:after="0"/>
        <w:jc w:val="left"/>
        <w:rPr>
          <w:rFonts w:ascii="Times New Roman" w:hAnsi="Times New Roman"/>
          <w:sz w:val="20"/>
        </w:rPr>
      </w:pPr>
      <w:r>
        <w:rPr>
          <w:rFonts w:ascii="Times New Roman" w:hAnsi="Times New Roman"/>
          <w:sz w:val="20"/>
        </w:rPr>
        <w:t xml:space="preserve">Energy Transfer LP </w:t>
      </w:r>
    </w:p>
    <w:p>
      <w:pPr>
        <w:pStyle w:val="TextBody"/>
        <w:bidi w:val="0"/>
        <w:spacing w:before="0" w:after="0"/>
        <w:jc w:val="left"/>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75225 </w:t>
      </w:r>
    </w:p>
    <w:p>
      <w:pPr>
        <w:pStyle w:val="TextBody"/>
        <w:bidi w:val="0"/>
        <w:spacing w:before="240" w:after="0"/>
        <w:jc w:val="left"/>
        <w:rPr>
          <w:rFonts w:ascii="Times New Roman" w:hAnsi="Times New Roman"/>
          <w:sz w:val="20"/>
        </w:rPr>
      </w:pPr>
      <w:r>
        <w:rPr>
          <w:rFonts w:ascii="Times New Roman" w:hAnsi="Times New Roman"/>
          <w:sz w:val="20"/>
        </w:rPr>
        <w:t xml:space="preserve">Re: Energy Transfer LP 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for Energy Transfer LP (the “</w:t>
      </w:r>
      <w:r>
        <w:rPr>
          <w:rFonts w:ascii="Times New Roman" w:hAnsi="Times New Roman"/>
          <w:b/>
          <w:i/>
          <w:sz w:val="20"/>
        </w:rPr>
        <w:t>Partnership</w:t>
      </w:r>
      <w:r>
        <w:rPr>
          <w:rFonts w:ascii="Times New Roman" w:hAnsi="Times New Roman"/>
          <w:sz w:val="20"/>
        </w:rPr>
        <w:t>”), a Texas limited partnership, with respect to certain legal matters in connection with the preparation of Post-Effective Amendment No. 2 dated on or about the date hereof (the “</w:t>
      </w:r>
      <w:r>
        <w:rPr>
          <w:rFonts w:ascii="Times New Roman" w:hAnsi="Times New Roman"/>
          <w:b/>
          <w:i/>
          <w:sz w:val="20"/>
        </w:rPr>
        <w:t>Prospectus</w:t>
      </w:r>
      <w:r>
        <w:rPr>
          <w:rFonts w:ascii="Times New Roman" w:hAnsi="Times New Roman"/>
          <w:sz w:val="20"/>
        </w:rPr>
        <w:t>”) forming part of the Registration Statement on Form S-3 (the “</w:t>
      </w:r>
      <w:r>
        <w:rPr>
          <w:rFonts w:ascii="Times New Roman" w:hAnsi="Times New Roman"/>
          <w:b/>
          <w:i/>
          <w:sz w:val="20"/>
        </w:rPr>
        <w:t>Registration Statement</w:t>
      </w:r>
      <w:r>
        <w:rPr>
          <w:rFonts w:ascii="Times New Roman" w:hAnsi="Times New Roman"/>
          <w:sz w:val="20"/>
        </w:rPr>
        <w:t>”) to which this opinion is an exhibit. The Registration Statement relates to the registration under the Securities Act of 1933, as amended, (the “</w:t>
      </w:r>
      <w:r>
        <w:rPr>
          <w:rFonts w:ascii="Times New Roman" w:hAnsi="Times New Roman"/>
          <w:b/>
          <w:i/>
          <w:sz w:val="20"/>
        </w:rPr>
        <w:t>Securities Act</w:t>
      </w:r>
      <w:r>
        <w:rPr>
          <w:rFonts w:ascii="Times New Roman" w:hAnsi="Times New Roman"/>
          <w:sz w:val="20"/>
        </w:rPr>
        <w:t xml:space="preserve">”) of common units representing limited partner interests in the Partnership that are subject to the Partnership’s distribution reinvestment plan. </w:t>
      </w:r>
    </w:p>
    <w:p>
      <w:pPr>
        <w:pStyle w:val="TextBody"/>
        <w:bidi w:val="0"/>
        <w:spacing w:before="240" w:after="0"/>
        <w:jc w:val="left"/>
        <w:rPr>
          <w:rFonts w:ascii="Times New Roman" w:hAnsi="Times New Roman"/>
          <w:sz w:val="20"/>
        </w:rPr>
      </w:pPr>
      <w:r>
        <w:rPr>
          <w:rFonts w:ascii="Times New Roman" w:hAnsi="Times New Roman"/>
          <w:sz w:val="20"/>
        </w:rPr>
        <w:t>This opinion is based on various facts and assumptions, and is conditioned upon certain representations made by the Partnership as to factual matters through a certificate of an officer of the Partnership (the “</w:t>
      </w:r>
      <w:r>
        <w:rPr>
          <w:rFonts w:ascii="Times New Roman" w:hAnsi="Times New Roman"/>
          <w:b/>
          <w:i/>
          <w:sz w:val="20"/>
        </w:rPr>
        <w:t>Officer’s Certificate</w:t>
      </w:r>
      <w:r>
        <w:rPr>
          <w:rFonts w:ascii="Times New Roman" w:hAnsi="Times New Roman"/>
          <w:sz w:val="20"/>
        </w:rPr>
        <w:t xml:space="preserve">”). In addition, this opinion is based upon the factual representations of the Partnership concerning its business, properties and governing documents as set forth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40"/>
        <w:gridCol w:w="120"/>
        <w:gridCol w:w="4745"/>
      </w:tblGrid>
      <w:tr>
        <w:trPr/>
        <w:tc>
          <w:tcPr>
            <w:tcW w:w="53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5340" w:type="dxa"/>
            <w:tcBorders/>
          </w:tcPr>
          <w:p>
            <w:pPr>
              <w:pStyle w:val="TableContents"/>
              <w:bidi w:val="0"/>
              <w:spacing w:before="0" w:after="0"/>
              <w:jc w:val="left"/>
              <w:rPr>
                <w:rFonts w:ascii="Times New Roman" w:hAnsi="Times New Roman"/>
                <w:sz w:val="20"/>
              </w:rPr>
            </w:pPr>
            <w:r>
              <w:rPr>
                <w:rFonts w:ascii="Times New Roman" w:hAnsi="Times New Roman"/>
                <w:sz w:val="20"/>
              </w:rPr>
              <w:t>Vinson &amp; Elkins LLP Attorneys at Law</w:t>
            </w:r>
          </w:p>
          <w:p>
            <w:pPr>
              <w:pStyle w:val="TableContents"/>
              <w:bidi w:val="0"/>
              <w:spacing w:before="0" w:after="0"/>
              <w:jc w:val="left"/>
              <w:rPr>
                <w:rFonts w:ascii="Times New Roman" w:hAnsi="Times New Roman"/>
                <w:sz w:val="20"/>
              </w:rPr>
            </w:pPr>
            <w:r>
              <w:rPr>
                <w:rFonts w:ascii="Times New Roman" w:hAnsi="Times New Roman"/>
                <w:sz w:val="20"/>
              </w:rPr>
              <w:t>Austin Brussels Dallas Denver Dubai Dublin Houston London</w:t>
            </w:r>
          </w:p>
          <w:p>
            <w:pPr>
              <w:pStyle w:val="TableContents"/>
              <w:bidi w:val="0"/>
              <w:spacing w:before="0" w:after="20"/>
              <w:jc w:val="left"/>
              <w:rPr>
                <w:rFonts w:ascii="Times New Roman" w:hAnsi="Times New Roman"/>
                <w:sz w:val="20"/>
              </w:rPr>
            </w:pPr>
            <w:r>
              <w:rPr>
                <w:rFonts w:ascii="Times New Roman" w:hAnsi="Times New Roman"/>
                <w:sz w:val="20"/>
              </w:rPr>
              <w:t>Los Angeles New York Richmond San Francisco Tokyo Washington</w:t>
            </w:r>
          </w:p>
        </w:tc>
        <w:tc>
          <w:tcPr>
            <w:tcW w:w="120" w:type="dxa"/>
            <w:tcBorders/>
            <w:vAlign w:val="bottom"/>
          </w:tcPr>
          <w:p>
            <w:pPr>
              <w:pStyle w:val="TableContents"/>
              <w:bidi w:val="0"/>
              <w:spacing w:before="0" w:after="283"/>
              <w:jc w:val="left"/>
              <w:rPr/>
            </w:pPr>
            <w:r>
              <w:rPr/>
              <w:t>  </w:t>
            </w:r>
          </w:p>
        </w:tc>
        <w:tc>
          <w:tcPr>
            <w:tcW w:w="4745" w:type="dxa"/>
            <w:tcBorders/>
          </w:tcPr>
          <w:p>
            <w:pPr>
              <w:pStyle w:val="TableContents"/>
              <w:bidi w:val="0"/>
              <w:spacing w:before="0" w:after="0"/>
              <w:jc w:val="left"/>
              <w:rPr>
                <w:rFonts w:ascii="Times New Roman" w:hAnsi="Times New Roman"/>
                <w:sz w:val="20"/>
              </w:rPr>
            </w:pPr>
            <w:r>
              <w:rPr>
                <w:rFonts w:ascii="Times New Roman" w:hAnsi="Times New Roman"/>
                <w:sz w:val="20"/>
              </w:rPr>
              <w:t>845 Texas Avenue, Suite 4700</w:t>
            </w:r>
          </w:p>
          <w:p>
            <w:pPr>
              <w:pStyle w:val="TableContents"/>
              <w:bidi w:val="0"/>
              <w:spacing w:before="0" w:after="0"/>
              <w:jc w:val="left"/>
              <w:rPr>
                <w:rFonts w:ascii="Times New Roman" w:hAnsi="Times New Roman"/>
                <w:sz w:val="20"/>
              </w:rPr>
            </w:pPr>
            <w:r>
              <w:rPr>
                <w:rFonts w:ascii="Times New Roman" w:hAnsi="Times New Roman"/>
                <w:sz w:val="20"/>
              </w:rPr>
              <w:t>Houston, TX 77002</w:t>
            </w:r>
          </w:p>
          <w:p>
            <w:pPr>
              <w:pStyle w:val="TableContents"/>
              <w:bidi w:val="0"/>
              <w:spacing w:before="0" w:after="20"/>
              <w:jc w:val="left"/>
              <w:rPr>
                <w:rFonts w:ascii="Times New Roman" w:hAnsi="Times New Roman"/>
                <w:sz w:val="20"/>
              </w:rPr>
            </w:pPr>
            <w:r>
              <w:rPr>
                <w:rFonts w:ascii="Times New Roman" w:hAnsi="Times New Roman"/>
                <w:sz w:val="20"/>
              </w:rPr>
              <w:t xml:space="preserve">Tel +1.713.758.2222 Fax +1.713.758.2346 </w:t>
            </w:r>
            <w:r>
              <w:rPr>
                <w:rFonts w:ascii="Times New Roman" w:hAnsi="Times New Roman"/>
                <w:sz w:val="20"/>
                <w:u w:val="single"/>
              </w:rPr>
              <w:t>www.velaw.com</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581025"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1"/>
                    <a:stretch>
                      <a:fillRect/>
                    </a:stretch>
                  </pic:blipFill>
                  <pic:spPr bwMode="auto">
                    <a:xfrm>
                      <a:off x="0" y="0"/>
                      <a:ext cx="581025"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 </w:t>
      </w:r>
    </w:p>
    <w:p>
      <w:pPr>
        <w:pStyle w:val="TextBody"/>
        <w:bidi w:val="0"/>
        <w:spacing w:before="240" w:after="0"/>
        <w:jc w:val="left"/>
        <w:rPr>
          <w:rFonts w:ascii="Times New Roman" w:hAnsi="Times New Roman"/>
          <w:sz w:val="20"/>
        </w:rPr>
      </w:pPr>
      <w:r>
        <w:rPr>
          <w:rFonts w:ascii="Times New Roman" w:hAnsi="Times New Roman"/>
          <w:sz w:val="20"/>
        </w:rPr>
        <w:t xml:space="preserve">No opinion is expressed as to any matter not discussed in the Registration Statement under the caption “Material U.S. Federal Income Tax Consequences.” We are opining herein only as to the federal income tax matters described above, and we express no opinion with respect to the applicability to, or the effect on, any transaction or other federal laws, foreign laws, the laws of any state or any other jurisdiction or as to any matters of municipal law or the laws of any other local agencies within any state.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pursuant to the Registration Statement. However, this opinion may not be relied upon for any other purpose or furnished to, assigned to, quoted to or relied upon by any other person, firm or other entity, for any purpose, without our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of counsel as an exhibit to the Registration Statement and the use of our name in the Registration Statement. In giving such consent, we do not admit that we are within the category of persons whose consent is required under Section 7 of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146"/>
        <w:gridCol w:w="416"/>
        <w:gridCol w:w="1520"/>
      </w:tblGrid>
      <w:tr>
        <w:trPr/>
        <w:tc>
          <w:tcPr>
            <w:tcW w:w="2146"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 VINSON &amp; ELKINS L.L.P.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Vinson &amp; Elkins L.L.P.</w:t>
            </w:r>
          </w:p>
        </w:tc>
      </w:tr>
    </w:tbl>
    <w:p>
      <w:pPr>
        <w:pStyle w:val="TextBody"/>
        <w:bidi w:val="0"/>
        <w:spacing w:before="0" w:after="0"/>
        <w:jc w:val="right"/>
        <w:rPr>
          <w:rFonts w:ascii="Times New Roman" w:hAnsi="Times New Roman"/>
          <w:b/>
          <w:sz w:val="20"/>
        </w:rPr>
      </w:pPr>
      <w:bookmarkStart w:id="21" w:name="d186469dex231.htm"/>
      <w:bookmarkStart w:id="22" w:name="ksd186469dex231"/>
      <w:bookmarkEnd w:id="21"/>
      <w:bookmarkEnd w:id="22"/>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issued our reports dated February 19, 2026, with respect to the consolidated financial statements and internal control over financial reporting of Energy Transfer LP included in the Annual Report on Form 10-K for the year ended December 31, 2025, which are incorporated by reference in this Registration Statement. We consent to the incorporation by reference of the aforementioned reports in this Registration Statement, and to the use of our name as it appears under the caption “Experts.” </w:t>
      </w:r>
    </w:p>
    <w:p>
      <w:pPr>
        <w:pStyle w:val="TextBody"/>
        <w:bidi w:val="0"/>
        <w:spacing w:before="240" w:after="0"/>
        <w:jc w:val="left"/>
        <w:rPr>
          <w:rFonts w:ascii="Times New Roman" w:hAnsi="Times New Roman"/>
          <w:sz w:val="20"/>
        </w:rPr>
      </w:pPr>
      <w:r>
        <w:rPr>
          <w:rFonts w:ascii="Times New Roman" w:hAnsi="Times New Roman"/>
          <w:sz w:val="20"/>
        </w:rPr>
        <w:t xml:space="preserve">/s/ GRANT THORNTON LLP </w:t>
      </w:r>
    </w:p>
    <w:p>
      <w:pPr>
        <w:pStyle w:val="TextBody"/>
        <w:bidi w:val="0"/>
        <w:spacing w:before="240" w:after="0"/>
        <w:jc w:val="left"/>
        <w:rPr>
          <w:rFonts w:ascii="Times New Roman" w:hAnsi="Times New Roman"/>
          <w:sz w:val="20"/>
        </w:rPr>
      </w:pPr>
      <w:r>
        <w:rPr>
          <w:rFonts w:ascii="Times New Roman" w:hAnsi="Times New Roman"/>
          <w:sz w:val="20"/>
        </w:rPr>
        <w:t xml:space="preserve">Dallas, Texas </w:t>
      </w:r>
    </w:p>
    <w:p>
      <w:pPr>
        <w:pStyle w:val="TextBody"/>
        <w:bidi w:val="0"/>
        <w:spacing w:before="0" w:after="0"/>
        <w:jc w:val="left"/>
        <w:rPr>
          <w:rFonts w:ascii="Times New Roman" w:hAnsi="Times New Roman"/>
          <w:sz w:val="20"/>
        </w:rPr>
      </w:pPr>
      <w:r>
        <w:rPr>
          <w:rFonts w:ascii="Times New Roman" w:hAnsi="Times New Roman"/>
          <w:sz w:val="20"/>
        </w:rPr>
        <w:t xml:space="preserve">October 6,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276187/000127618726000013/et-20251231.htm" TargetMode="External"/><Relationship Id="rId4" Type="http://schemas.openxmlformats.org/officeDocument/2006/relationships/hyperlink" Target="http://www.sec.gov/Archives/edgar/data/../../../ix?doc=/Archives/edgar/data/1276187/000127618726000038/et-20260630.htm" TargetMode="External"/><Relationship Id="rId5" Type="http://schemas.openxmlformats.org/officeDocument/2006/relationships/hyperlink" Target="http://www.sec.gov/Archives/edgar/data/../../../ix?doc=/Archives/edgar/data/1276187/000127618726000026/et-20260331.htm" TargetMode="External"/><Relationship Id="rId6" Type="http://schemas.openxmlformats.org/officeDocument/2006/relationships/hyperlink" Target="http://www.sec.gov/Archives/edgar/data/../../../ix?doc=/Archives/edgar/data/1276187/000127618726000044/et-20260903.htm" TargetMode="External"/><Relationship Id="rId7" Type="http://schemas.openxmlformats.org/officeDocument/2006/relationships/hyperlink" Target="http://www.sec.gov/Archives/edgar/data/../../../ix?doc=/Archives/edgar/data/1276187/000119312526309155/d99342d8k.htm" TargetMode="External"/><Relationship Id="rId8" Type="http://schemas.openxmlformats.org/officeDocument/2006/relationships/hyperlink" Target="http://www.sec.gov/Archives/edgar/data/../../../ix?doc=/Archives/edgar/data/1276187/000119312526298149/d86030d8k.htm" TargetMode="External"/><Relationship Id="rId9" Type="http://schemas.openxmlformats.org/officeDocument/2006/relationships/hyperlink" Target="http://www.sec.gov/Archives/edgar/data/../../../ix?doc=/Archives/edgar/data/1276187/000127618726000030/et-20260601.htm" TargetMode="External"/><Relationship Id="rId10" Type="http://schemas.openxmlformats.org/officeDocument/2006/relationships/hyperlink" Target="http://www.sec.gov/Archives/edgar/data/../../../ix?doc=/Archives/edgar/data/1276187/000119312526024378/d64050d8k.htm" TargetMode="External"/><Relationship Id="rId11" Type="http://schemas.openxmlformats.org/officeDocument/2006/relationships/hyperlink" Target="http://www.sec.gov/Archives/edgar/data/../../../ix?doc=/Archives/edgar/data/1276187/000119312526011876/d91877d8k.htm" TargetMode="External"/><Relationship Id="rId12" Type="http://schemas.openxmlformats.org/officeDocument/2006/relationships/hyperlink" Target="http://www.sec.gov/Archives/edgar/data/1276187/000119312526295529/d109647d8k12b.htm" TargetMode="External"/><Relationship Id="rId13" Type="http://schemas.openxmlformats.org/officeDocument/2006/relationships/hyperlink" Target="http://www.sec.gov/Archives/edgar/data/1276187/000119312506015822/d8a12b.htm" TargetMode="External"/><Relationship Id="rId14" Type="http://schemas.openxmlformats.org/officeDocument/2006/relationships/hyperlink" Target="http://www.sec.gov/Archives/edgar/data/1276187/000119312526295529/d109647d8k12b.htm" TargetMode="External"/><Relationship Id="rId15" Type="http://schemas.openxmlformats.org/officeDocument/2006/relationships/hyperlink" Target="http://www.sec.gov/Archives/edgar/data/1276187/000119312526295529/d109647dex31.htm" TargetMode="External"/><Relationship Id="rId16" Type="http://schemas.openxmlformats.org/officeDocument/2006/relationships/hyperlink" Target="http://www.sec.gov/Archives/edgar/data/1276187/000119312526295529/d109647dex32.htm" TargetMode="External"/><Relationship Id="rId17" Type="http://schemas.openxmlformats.org/officeDocument/2006/relationships/hyperlink" Target="http://www.sec.gov/Archives/edgar/data/1276187/000119312524056149/d800027dexfilingfees.htm" TargetMode="External"/><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90</Pages>
  <Words>36040</Words>
  <Characters>190769</Characters>
  <CharactersWithSpaces>227227</CharactersWithSpaces>
  <Paragraphs>1972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