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36819ds8pos.htm"/>
      <w:bookmarkStart w:id="1" w:name="ksd136819ds8pos"/>
      <w:bookmarkEnd w:id="0"/>
      <w:bookmarkEnd w:id="1"/>
      <w:r>
        <w:rPr>
          <w:rFonts w:ascii="Times New Roman" w:hAnsi="Times New Roman"/>
          <w:b/>
          <w:sz w:val="20"/>
        </w:rPr>
        <w:t xml:space="preserve">As filed with the Securities and Exchange Commission on July 17, 2026. </w:t>
      </w:r>
    </w:p>
    <w:p>
      <w:pPr>
        <w:pStyle w:val="TextBody"/>
        <w:bidi w:val="0"/>
        <w:spacing w:before="240" w:after="0"/>
        <w:jc w:val="right"/>
        <w:rPr>
          <w:rFonts w:ascii="Times New Roman" w:hAnsi="Times New Roman"/>
          <w:b/>
          <w:sz w:val="20"/>
        </w:rPr>
      </w:pPr>
      <w:r>
        <w:rPr>
          <w:rFonts w:ascii="Times New Roman" w:hAnsi="Times New Roman"/>
          <w:b/>
          <w:sz w:val="20"/>
        </w:rPr>
        <w:t xml:space="preserve">Registration No. 333-251923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333-261502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333-275904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POST-EFFECTIVE AMENDMENTS TO: </w:t>
      </w:r>
    </w:p>
    <w:p>
      <w:pPr>
        <w:pStyle w:val="TextBody"/>
        <w:bidi w:val="0"/>
        <w:spacing w:before="240" w:after="0"/>
        <w:jc w:val="center"/>
        <w:rPr>
          <w:rFonts w:ascii="Times New Roman" w:hAnsi="Times New Roman"/>
          <w:b/>
          <w:sz w:val="24"/>
        </w:rPr>
      </w:pPr>
      <w:r>
        <w:rPr>
          <w:rFonts w:ascii="Times New Roman" w:hAnsi="Times New Roman"/>
          <w:b/>
          <w:sz w:val="24"/>
        </w:rPr>
        <w:t xml:space="preserve">REGISTRATION STATEMENT ON FORM S-8 No. 333-251923 </w:t>
      </w:r>
    </w:p>
    <w:p>
      <w:pPr>
        <w:pStyle w:val="TextBody"/>
        <w:bidi w:val="0"/>
        <w:spacing w:before="0" w:after="0"/>
        <w:jc w:val="center"/>
        <w:rPr>
          <w:rFonts w:ascii="Times New Roman" w:hAnsi="Times New Roman"/>
          <w:b/>
          <w:sz w:val="24"/>
        </w:rPr>
      </w:pPr>
      <w:r>
        <w:rPr>
          <w:rFonts w:ascii="Times New Roman" w:hAnsi="Times New Roman"/>
          <w:b/>
          <w:sz w:val="24"/>
        </w:rPr>
        <w:t xml:space="preserve">REGISTRATION STATEMENT ON FORM S-8 No. 333-261502 </w:t>
      </w:r>
    </w:p>
    <w:p>
      <w:pPr>
        <w:pStyle w:val="TextBody"/>
        <w:bidi w:val="0"/>
        <w:spacing w:before="0" w:after="0"/>
        <w:jc w:val="center"/>
        <w:rPr>
          <w:rFonts w:ascii="Times New Roman" w:hAnsi="Times New Roman"/>
          <w:b/>
          <w:sz w:val="24"/>
        </w:rPr>
      </w:pPr>
      <w:r>
        <w:rPr>
          <w:rFonts w:ascii="Times New Roman" w:hAnsi="Times New Roman"/>
          <w:b/>
          <w:sz w:val="24"/>
        </w:rPr>
        <w:t xml:space="preserve">REGISTRATION STATEMENT ON FORM S-8 No. 333-275904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8"/>
        <w:gridCol w:w="123"/>
        <w:gridCol w:w="4894"/>
      </w:tblGrid>
      <w:tr>
        <w:trPr/>
        <w:tc>
          <w:tcPr>
            <w:tcW w:w="518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4" w:type="dxa"/>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b/>
              </w:rPr>
            </w:pPr>
            <w:r>
              <w:rPr>
                <w:b/>
              </w:rPr>
              <w:t>Texas</w:t>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bidi w:val="0"/>
              <w:spacing w:before="0" w:after="283"/>
              <w:jc w:val="center"/>
              <w:rPr>
                <w:b/>
              </w:rPr>
            </w:pPr>
            <w:r>
              <w:rPr>
                <w:b/>
              </w:rPr>
              <w:t>30-0108820</w:t>
            </w:r>
          </w:p>
        </w:tc>
      </w:tr>
      <w:tr>
        <w:trPr/>
        <w:tc>
          <w:tcPr>
            <w:tcW w:w="5188"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8111 Westchester Drive, Suite 600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Texas 75225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Energy Transfer LP Long-Term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Dylan A. Bramhall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Vice President and Group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 xml:space="preserve">8111 Westchester Drive, Suite 600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Texas 75225 </w:t>
      </w:r>
    </w:p>
    <w:p>
      <w:pPr>
        <w:pStyle w:val="TextBody"/>
        <w:bidi w:val="0"/>
        <w:spacing w:before="0" w:after="0"/>
        <w:jc w:val="center"/>
        <w:rPr>
          <w:rFonts w:ascii="Times New Roman" w:hAnsi="Times New Roman"/>
          <w:b/>
          <w:sz w:val="20"/>
        </w:rPr>
      </w:pPr>
      <w:r>
        <w:rPr>
          <w:rFonts w:ascii="Times New Roman" w:hAnsi="Times New Roman"/>
          <w:b/>
          <w:sz w:val="20"/>
        </w:rPr>
        <w:t xml:space="preserve">(214) 981-0700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July 6, 2026, Energy Transfer LP (the “Registrant”) changed its state of domicile from the State of Delaware to the State of Texas pursuant to a plan of conversion. This redomiciliation was approved by the board of directors of the general partner in reliance in part on the recommendation and Special Approval (as defined in the Delaware Partnership Agreement (as defined below)) of the Conflicts Committee (as defined in the Delaware Partnership Agreement). As a result of the redomiciliation, among other things, the affairs of the Registrant ceased to be governed by the Delaware Revised Uniform Limited Partnership Act and became subject to the Texas Business Organizations Code (the “TBOC”); the certificate of limited partnership and Fourth Amended and Restated Agreement of Limited Partnership of the Registrant (the “Delaware Partnership Agreement”) that were in effect immediately prior to the redomiciliation were replaced by a new certificate of formation filed with the Secretary of State of the State of Texas and the Agreement of Limited Partnership of the Registrant (the “Texas Partnership Agreement”) approved in connection with the redomiciliation and plan of conversion; and each common unit of the Registrant as a Delaware limited partnership was converted into a common unit of the Registrant as a Texas limited partnership.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414 under the Securities Act of 1933, as amended (the “Securities Act”), on the date hereof the Registrant is filing these Post-Effective Amendments (the “Amendments”) to the following Registration Statements on Form S-8 of the Registrant (collectively, the “Registration Statements”), solely to reflect the change in the Registrant’s state of domicile as a result of the redomiciliation or as necessary to keep the Registration Statements from being misleading in any material respect: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w:t>
            </w:r>
            <w:hyperlink r:id="rId2">
              <w:r>
                <w:rPr>
                  <w:rStyle w:val="InternetLink"/>
                  <w:rFonts w:ascii="Times New Roman" w:hAnsi="Times New Roman"/>
                  <w:sz w:val="20"/>
                </w:rPr>
                <w:t>Form S-8</w:t>
              </w:r>
            </w:hyperlink>
            <w:r>
              <w:rPr>
                <w:rFonts w:ascii="Times New Roman" w:hAnsi="Times New Roman"/>
                <w:sz w:val="20"/>
              </w:rPr>
              <w:t xml:space="preserve"> (No. 333-251923), filed with the Securities and Exchange Commission (the “SEC”) on January 6,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w:t>
            </w:r>
            <w:hyperlink r:id="rId3">
              <w:r>
                <w:rPr>
                  <w:rStyle w:val="InternetLink"/>
                  <w:rFonts w:ascii="Times New Roman" w:hAnsi="Times New Roman"/>
                  <w:sz w:val="20"/>
                </w:rPr>
                <w:t>Form S-8</w:t>
              </w:r>
            </w:hyperlink>
            <w:r>
              <w:rPr>
                <w:rFonts w:ascii="Times New Roman" w:hAnsi="Times New Roman"/>
                <w:sz w:val="20"/>
              </w:rPr>
              <w:t xml:space="preserve"> (No. 333-261502), filed with the SEC on December 6, 2021;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Registration Statement on </w:t>
            </w:r>
            <w:hyperlink r:id="rId4">
              <w:r>
                <w:rPr>
                  <w:rStyle w:val="InternetLink"/>
                  <w:rFonts w:ascii="Times New Roman" w:hAnsi="Times New Roman"/>
                  <w:sz w:val="20"/>
                </w:rPr>
                <w:t>Form S-8</w:t>
              </w:r>
            </w:hyperlink>
            <w:r>
              <w:rPr>
                <w:rFonts w:ascii="Times New Roman" w:hAnsi="Times New Roman"/>
                <w:sz w:val="20"/>
              </w:rPr>
              <w:t xml:space="preserve"> (No. 333-275904), filed with the SEC on December 6,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Rule 414(d), the Registrant expressly adopts the Registration Statements, as modified by these Amendments, as its own for all purposes of the Securities Act and Securities Exchange Act of 1934, as amended (the “Exchange Act”), as a result of the redomiciliation.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specified in Items 1 and 2 of Part I of Form S-8 is omitted from these Amendments in accordance with the provisions of Rule 428 under the Securities Act and the introductory note to Part I of Form S-8. The documents containing the information specified in Part I of Form S-8 have been or will be delivered to the participants in the plan covered by the Registration Statements as adopted by these Amendments as specified by Rule 428(b)(1) under the Securities Act. Such documents are not required to be, and are not, filed with the SEC either as part of these Amendments or as a prospectus or prospectus supplement pursuant to Rule 424 under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3.</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Incorporation of Documents by Reference.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with the SEC by the Registrant are hereby incorporated herein by reference: </w:t>
      </w:r>
    </w:p>
    <w:p>
      <w:pPr>
        <w:pStyle w:val="TextBody"/>
        <w:bidi w:val="0"/>
        <w:spacing w:before="120" w:after="0"/>
        <w:jc w:val="left"/>
        <w:rPr/>
      </w:pPr>
      <w:r>
        <w:rPr>
          <w:rFonts w:ascii="Times New Roman" w:hAnsi="Times New Roman"/>
          <w:sz w:val="20"/>
        </w:rPr>
        <w:t xml:space="preserve">(a) the Registrant’s Annual Report on </w:t>
      </w:r>
      <w:hyperlink r:id="rId5">
        <w:r>
          <w:rPr>
            <w:rStyle w:val="InternetLink"/>
            <w:rFonts w:ascii="Times New Roman" w:hAnsi="Times New Roman"/>
            <w:sz w:val="20"/>
          </w:rPr>
          <w:t>Form 10-K</w:t>
        </w:r>
      </w:hyperlink>
      <w:r>
        <w:rPr>
          <w:rFonts w:ascii="Times New Roman" w:hAnsi="Times New Roman"/>
          <w:sz w:val="20"/>
        </w:rPr>
        <w:t xml:space="preserve"> for the year ended December 31, 2025; </w:t>
      </w:r>
    </w:p>
    <w:p>
      <w:pPr>
        <w:pStyle w:val="TextBody"/>
        <w:bidi w:val="0"/>
        <w:spacing w:before="120" w:after="0"/>
        <w:jc w:val="left"/>
        <w:rPr/>
      </w:pPr>
      <w:r>
        <w:rPr>
          <w:rFonts w:ascii="Times New Roman" w:hAnsi="Times New Roman"/>
          <w:sz w:val="20"/>
        </w:rPr>
        <w:t xml:space="preserve">(b) the Registrant’s Quarterly Report on Form </w:t>
      </w:r>
      <w:hyperlink r:id="rId6">
        <w:r>
          <w:rPr>
            <w:rStyle w:val="InternetLink"/>
            <w:rFonts w:ascii="Times New Roman" w:hAnsi="Times New Roman"/>
            <w:sz w:val="20"/>
          </w:rPr>
          <w:t>10-Q</w:t>
        </w:r>
      </w:hyperlink>
      <w:r>
        <w:rPr>
          <w:rFonts w:ascii="Times New Roman" w:hAnsi="Times New Roman"/>
          <w:sz w:val="20"/>
        </w:rPr>
        <w:t xml:space="preserve"> for the quarter ended March 31, 2026; </w:t>
      </w:r>
    </w:p>
    <w:p>
      <w:pPr>
        <w:pStyle w:val="TextBody"/>
        <w:bidi w:val="0"/>
        <w:spacing w:before="120" w:after="0"/>
        <w:jc w:val="left"/>
        <w:rPr/>
      </w:pPr>
      <w:r>
        <w:rPr>
          <w:rFonts w:ascii="Times New Roman" w:hAnsi="Times New Roman"/>
          <w:sz w:val="20"/>
        </w:rPr>
        <w:t xml:space="preserve">(c) the Registrant’s Current Reports on Form 8-K filed on </w:t>
      </w:r>
      <w:hyperlink r:id="rId7">
        <w:r>
          <w:rPr>
            <w:rStyle w:val="InternetLink"/>
            <w:rFonts w:ascii="Times New Roman" w:hAnsi="Times New Roman"/>
            <w:sz w:val="20"/>
          </w:rPr>
          <w:t>January 13, 2026,</w:t>
        </w:r>
      </w:hyperlink>
      <w:r>
        <w:rPr>
          <w:rFonts w:ascii="Times New Roman" w:hAnsi="Times New Roman"/>
          <w:sz w:val="20"/>
        </w:rPr>
        <w:t xml:space="preserve"> </w:t>
      </w:r>
      <w:hyperlink r:id="rId8">
        <w:r>
          <w:rPr>
            <w:rStyle w:val="InternetLink"/>
            <w:rFonts w:ascii="Times New Roman" w:hAnsi="Times New Roman"/>
            <w:sz w:val="20"/>
          </w:rPr>
          <w:t>January  27, 2026,</w:t>
        </w:r>
      </w:hyperlink>
      <w:r>
        <w:rPr>
          <w:rFonts w:ascii="Times New Roman" w:hAnsi="Times New Roman"/>
          <w:sz w:val="20"/>
        </w:rPr>
        <w:t xml:space="preserve"> </w:t>
      </w:r>
      <w:hyperlink r:id="rId9">
        <w:r>
          <w:rPr>
            <w:rStyle w:val="InternetLink"/>
            <w:rFonts w:ascii="Times New Roman" w:hAnsi="Times New Roman"/>
            <w:sz w:val="20"/>
          </w:rPr>
          <w:t>June  3, 2026,</w:t>
        </w:r>
      </w:hyperlink>
      <w:r>
        <w:rPr>
          <w:rFonts w:ascii="Times New Roman" w:hAnsi="Times New Roman"/>
          <w:sz w:val="20"/>
        </w:rPr>
        <w:t xml:space="preserve"> </w:t>
      </w:r>
      <w:hyperlink r:id="rId10">
        <w:r>
          <w:rPr>
            <w:rStyle w:val="InternetLink"/>
            <w:rFonts w:ascii="Times New Roman" w:hAnsi="Times New Roman"/>
            <w:sz w:val="20"/>
          </w:rPr>
          <w:t>July  6, 2026</w:t>
        </w:r>
      </w:hyperlink>
      <w:r>
        <w:rPr>
          <w:rFonts w:ascii="Times New Roman" w:hAnsi="Times New Roman"/>
          <w:sz w:val="20"/>
        </w:rPr>
        <w:t xml:space="preserve"> and </w:t>
      </w:r>
      <w:hyperlink r:id="rId11">
        <w:r>
          <w:rPr>
            <w:rStyle w:val="InternetLink"/>
            <w:rFonts w:ascii="Times New Roman" w:hAnsi="Times New Roman"/>
            <w:sz w:val="20"/>
          </w:rPr>
          <w:t>July 8, 2026;</w:t>
        </w:r>
      </w:hyperlink>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(d) the descriptions of the Registrant’s securities registered under Section 12 of the Exchange Act contained in Exhibit 4.69 and Exhibit 4.70 to the Registrant’s Annual Report on Form 10-K filed on February 16, 2024, which update the descriptions of the Registrant’s common units and Series I Fixed Rate Perpetual Preferred Units contained in the Registrant’s Registration Statements on Form 8-A filed with the SEC on January 31, 2006 and November 2, 2023, respectively, including all other amendments and reports filed for the purpose of updating such descriptions. </w:t>
      </w:r>
    </w:p>
    <w:p>
      <w:pPr>
        <w:pStyle w:val="TextBody"/>
        <w:bidi w:val="0"/>
        <w:spacing w:before="240" w:after="0"/>
        <w:jc w:val="left"/>
        <w:rPr>
          <w:rFonts w:ascii="Times New Roman" w:hAnsi="Times New Roman"/>
          <w:sz w:val="20"/>
        </w:rPr>
      </w:pPr>
      <w:r>
        <w:rPr>
          <w:rFonts w:ascii="Times New Roman" w:hAnsi="Times New Roman"/>
          <w:sz w:val="20"/>
        </w:rPr>
        <w:t xml:space="preserve">All documents that the Registrant subsequently files pursuant to Sections 13(a), 13(c), 14 and 15(d) of the Exchange Act after the date hereof (except for any portions of the Registrant’s Current Reports on Form 8-K furnished pursuant to Item 2.02 or Item 7.01 thereof and any corresponding exhibits thereto not filed with the SEC) and prior to the filing of a post-effective amendment hereto indicating that all securities offered have been sold or which deregisters all securities then remaining unsold, shall be deemed to be incorporated by reference herein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hereof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4.</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Interests of Named Experts and Counsel.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provided in the Texas Partnership Agreement, which is incorporated herein by reference, the Registrant will generally indemnify its general partner, officers, directors and affiliates of its general partner to the fullest extent permitted by law against all losses, claims, damages or similar events; provided, that the indemnitee will not be indemnified and held harmless if there has been a final and non-appealable judgment entered by a court of competent jurisdiction determining that, in respect of the matter for which the indemnitee is seeking indemnification, the indemnitee acted in bad faith or engaged in fraud, willful misconduct, or in the case of a criminal matter, acted with knowledge that the indemnitee’s conduct was unlawful. To the fullest extent permitted by applicable law, Chapter 8 of the TBOC shall not apply to the Registrant, any partners or any indemnitee.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indemnification provisions of the Texas Partnership Agreement purport to include indemnification for liabilities arising under the Securities Act, in the opinion of the SEC, such indemnification is contrary to public policy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also maintains insurance coverage under a policy insuring its directors and officers against certain liabilities which they may incur in their capacity as such.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7.</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Exemption from Registration Claimed.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8.</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as part of these Amendments: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7"/>
        <w:gridCol w:w="387"/>
        <w:gridCol w:w="9141"/>
      </w:tblGrid>
      <w:tr>
        <w:trPr/>
        <w:tc>
          <w:tcPr>
            <w:tcW w:w="677"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9141" w:type="dxa"/>
            <w:tcBorders/>
            <w:vAlign w:val="center"/>
          </w:tcPr>
          <w:p>
            <w:pPr>
              <w:pStyle w:val="TableContents"/>
              <w:bidi w:val="0"/>
              <w:spacing w:before="0" w:after="283"/>
              <w:jc w:val="left"/>
              <w:rPr>
                <w:sz w:val="4"/>
                <w:szCs w:val="4"/>
              </w:rPr>
            </w:pPr>
            <w:r>
              <w:rPr>
                <w:sz w:val="4"/>
                <w:szCs w:val="4"/>
              </w:rPr>
            </w:r>
          </w:p>
        </w:tc>
      </w:tr>
      <w:tr>
        <w:trPr/>
        <w:tc>
          <w:tcPr>
            <w:tcW w:w="677" w:type="dxa"/>
            <w:tcBorders/>
            <w:vAlign w:val="bottom"/>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Exhibit</w:t>
              <w:br/>
              <w:t>Number</w:t>
            </w:r>
          </w:p>
        </w:tc>
        <w:tc>
          <w:tcPr>
            <w:tcW w:w="387" w:type="dxa"/>
            <w:tcBorders/>
            <w:vAlign w:val="bottom"/>
          </w:tcPr>
          <w:p>
            <w:pPr>
              <w:pStyle w:val="TableContents"/>
              <w:bidi w:val="0"/>
              <w:spacing w:before="0" w:after="283"/>
              <w:jc w:val="left"/>
              <w:rPr/>
            </w:pPr>
            <w:r>
              <w:rPr/>
              <w:t> </w:t>
            </w:r>
          </w:p>
        </w:tc>
        <w:tc>
          <w:tcPr>
            <w:tcW w:w="91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8"/>
              </w:rPr>
            </w:pPr>
            <w:r>
              <w:rPr>
                <w:rFonts w:ascii="Times New Roman" w:hAnsi="Times New Roman"/>
                <w:b/>
                <w:sz w:val="18"/>
              </w:rPr>
              <w:t>Description of Document</w:t>
            </w:r>
          </w:p>
        </w:tc>
      </w:tr>
      <w:tr>
        <w:trPr/>
        <w:tc>
          <w:tcPr>
            <w:tcW w:w="677" w:type="dxa"/>
            <w:tcBorders/>
          </w:tcPr>
          <w:p>
            <w:pPr>
              <w:pStyle w:val="TableContents"/>
              <w:bidi w:val="0"/>
              <w:spacing w:before="0" w:after="283"/>
              <w:jc w:val="left"/>
              <w:rPr/>
            </w:pPr>
            <w:r>
              <w:rPr/>
              <w:t>4.1</w:t>
            </w:r>
          </w:p>
        </w:tc>
        <w:tc>
          <w:tcPr>
            <w:tcW w:w="387" w:type="dxa"/>
            <w:tcBorders/>
            <w:vAlign w:val="bottom"/>
          </w:tcPr>
          <w:p>
            <w:pPr>
              <w:pStyle w:val="TableContents"/>
              <w:bidi w:val="0"/>
              <w:spacing w:before="0" w:after="283"/>
              <w:jc w:val="left"/>
              <w:rPr/>
            </w:pPr>
            <w:r>
              <w:rPr/>
              <w:t> </w:t>
            </w:r>
          </w:p>
        </w:tc>
        <w:tc>
          <w:tcPr>
            <w:tcW w:w="9141" w:type="dxa"/>
            <w:tcBorders/>
          </w:tcPr>
          <w:p>
            <w:pPr>
              <w:pStyle w:val="TableContents"/>
              <w:bidi w:val="0"/>
              <w:spacing w:before="0" w:after="283"/>
              <w:jc w:val="left"/>
              <w:rPr/>
            </w:pPr>
            <w:hyperlink r:id="rId12">
              <w:r>
                <w:rPr>
                  <w:rStyle w:val="InternetLink"/>
                </w:rPr>
                <w:t xml:space="preserve">Certificate of Formation of Energy Transfer LP, dated as of July 6, 2026 (incorporated by reference to Exhibit 3.1 of Form 8-K12B (File No. 1-32740) filed by Energy Transfer LP on July 6, 2026) </w:t>
              </w:r>
            </w:hyperlink>
          </w:p>
        </w:tc>
      </w:tr>
      <w:tr>
        <w:trPr>
          <w:trHeight w:val="120" w:hRule="atLeast"/>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4.2</w:t>
            </w:r>
          </w:p>
        </w:tc>
        <w:tc>
          <w:tcPr>
            <w:tcW w:w="387" w:type="dxa"/>
            <w:tcBorders/>
            <w:vAlign w:val="bottom"/>
          </w:tcPr>
          <w:p>
            <w:pPr>
              <w:pStyle w:val="TableContents"/>
              <w:bidi w:val="0"/>
              <w:spacing w:before="0" w:after="283"/>
              <w:jc w:val="left"/>
              <w:rPr/>
            </w:pPr>
            <w:r>
              <w:rPr/>
              <w:t> </w:t>
            </w:r>
          </w:p>
        </w:tc>
        <w:tc>
          <w:tcPr>
            <w:tcW w:w="9141" w:type="dxa"/>
            <w:tcBorders/>
          </w:tcPr>
          <w:p>
            <w:pPr>
              <w:pStyle w:val="TableContents"/>
              <w:bidi w:val="0"/>
              <w:spacing w:before="0" w:after="283"/>
              <w:jc w:val="left"/>
              <w:rPr/>
            </w:pPr>
            <w:hyperlink r:id="rId13">
              <w:r>
                <w:rPr>
                  <w:rStyle w:val="InternetLink"/>
                </w:rPr>
                <w:t xml:space="preserve">Agreement of Limited Partnership of Energy Transfer LP, dated as of July 6, 2026 (incorporated by reference to Exhibit 3.2 of Form 8-K12B (File No. 1-32740) filed by Energy Transfer LP on July 6, 2026) </w:t>
              </w:r>
            </w:hyperlink>
          </w:p>
        </w:tc>
      </w:tr>
      <w:tr>
        <w:trPr>
          <w:trHeight w:val="120" w:hRule="atLeast"/>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4.3</w:t>
            </w:r>
          </w:p>
        </w:tc>
        <w:tc>
          <w:tcPr>
            <w:tcW w:w="387" w:type="dxa"/>
            <w:tcBorders/>
            <w:vAlign w:val="bottom"/>
          </w:tcPr>
          <w:p>
            <w:pPr>
              <w:pStyle w:val="TableContents"/>
              <w:bidi w:val="0"/>
              <w:spacing w:before="0" w:after="283"/>
              <w:jc w:val="left"/>
              <w:rPr/>
            </w:pPr>
            <w:r>
              <w:rPr/>
              <w:t> </w:t>
            </w:r>
          </w:p>
        </w:tc>
        <w:tc>
          <w:tcPr>
            <w:tcW w:w="9141" w:type="dxa"/>
            <w:tcBorders/>
          </w:tcPr>
          <w:p>
            <w:pPr>
              <w:pStyle w:val="TableContents"/>
              <w:bidi w:val="0"/>
              <w:spacing w:before="0" w:after="283"/>
              <w:jc w:val="left"/>
              <w:rPr/>
            </w:pPr>
            <w:hyperlink r:id="rId14">
              <w:r>
                <w:rPr>
                  <w:rStyle w:val="InternetLink"/>
                </w:rPr>
                <w:t xml:space="preserve">Amended and Restated Energy Transfer LP Long-Term Incentive Plan (formerly the Amended and Restated Energy Transfer Equity, L.P. Long-Term Incentive Plan) (incorporated by reference to Exhibit 10.1 of Energy Transfer LP’s Annual Report on Form 10-K (File No. 1-32740) filed by Energy Transfer LP on February 23, 2018) </w:t>
              </w:r>
            </w:hyperlink>
          </w:p>
        </w:tc>
      </w:tr>
      <w:tr>
        <w:trPr>
          <w:trHeight w:val="120" w:hRule="atLeast"/>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4.4</w:t>
            </w:r>
          </w:p>
        </w:tc>
        <w:tc>
          <w:tcPr>
            <w:tcW w:w="387" w:type="dxa"/>
            <w:tcBorders/>
            <w:vAlign w:val="bottom"/>
          </w:tcPr>
          <w:p>
            <w:pPr>
              <w:pStyle w:val="TableContents"/>
              <w:bidi w:val="0"/>
              <w:spacing w:before="0" w:after="283"/>
              <w:jc w:val="left"/>
              <w:rPr/>
            </w:pPr>
            <w:r>
              <w:rPr/>
              <w:t> </w:t>
            </w:r>
          </w:p>
        </w:tc>
        <w:tc>
          <w:tcPr>
            <w:tcW w:w="9141" w:type="dxa"/>
            <w:tcBorders/>
          </w:tcPr>
          <w:p>
            <w:pPr>
              <w:pStyle w:val="TableContents"/>
              <w:bidi w:val="0"/>
              <w:spacing w:before="0" w:after="283"/>
              <w:jc w:val="left"/>
              <w:rPr/>
            </w:pPr>
            <w:hyperlink r:id="rId15">
              <w:r>
                <w:rPr>
                  <w:rStyle w:val="InternetLink"/>
                </w:rPr>
                <w:t xml:space="preserve">First Amendment to the Amended and Restated Energy Transfer LP Long-Term Incentive Plan (incorporated by reference to Exhibit 99.2 of Energy Transfer LP’s Registration Statement on Form S-8 (File No. 333-251923) filed by Energy Transfer LP on January 6, 2021) </w:t>
              </w:r>
            </w:hyperlink>
          </w:p>
        </w:tc>
      </w:tr>
      <w:tr>
        <w:trPr>
          <w:trHeight w:val="120" w:hRule="atLeast"/>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4.5</w:t>
            </w:r>
          </w:p>
        </w:tc>
        <w:tc>
          <w:tcPr>
            <w:tcW w:w="387" w:type="dxa"/>
            <w:tcBorders/>
            <w:vAlign w:val="bottom"/>
          </w:tcPr>
          <w:p>
            <w:pPr>
              <w:pStyle w:val="TableContents"/>
              <w:bidi w:val="0"/>
              <w:spacing w:before="0" w:after="283"/>
              <w:jc w:val="left"/>
              <w:rPr/>
            </w:pPr>
            <w:r>
              <w:rPr/>
              <w:t> </w:t>
            </w:r>
          </w:p>
        </w:tc>
        <w:tc>
          <w:tcPr>
            <w:tcW w:w="9141" w:type="dxa"/>
            <w:tcBorders/>
          </w:tcPr>
          <w:p>
            <w:pPr>
              <w:pStyle w:val="TableContents"/>
              <w:bidi w:val="0"/>
              <w:spacing w:before="0" w:after="283"/>
              <w:jc w:val="left"/>
              <w:rPr/>
            </w:pPr>
            <w:hyperlink r:id="rId16">
              <w:r>
                <w:rPr>
                  <w:rStyle w:val="InternetLink"/>
                </w:rPr>
                <w:t xml:space="preserve">Second Amendment to the Amended and Restated Energy Transfer LP Long-Term Incentive Plan (incorporated by reference to Exhibit 99.3 of Energy Transfer LP’s Registration Statement on Form S-8 (File No. 333-251923) filed by Energy Transfer LP on January 6, 2021) </w:t>
              </w:r>
            </w:hyperlink>
          </w:p>
        </w:tc>
      </w:tr>
      <w:tr>
        <w:trPr>
          <w:trHeight w:val="120" w:hRule="atLeast"/>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4.6</w:t>
            </w:r>
          </w:p>
        </w:tc>
        <w:tc>
          <w:tcPr>
            <w:tcW w:w="387" w:type="dxa"/>
            <w:tcBorders/>
            <w:vAlign w:val="bottom"/>
          </w:tcPr>
          <w:p>
            <w:pPr>
              <w:pStyle w:val="TableContents"/>
              <w:bidi w:val="0"/>
              <w:spacing w:before="0" w:after="283"/>
              <w:jc w:val="left"/>
              <w:rPr/>
            </w:pPr>
            <w:r>
              <w:rPr/>
              <w:t> </w:t>
            </w:r>
          </w:p>
        </w:tc>
        <w:tc>
          <w:tcPr>
            <w:tcW w:w="9141" w:type="dxa"/>
            <w:tcBorders/>
          </w:tcPr>
          <w:p>
            <w:pPr>
              <w:pStyle w:val="TableContents"/>
              <w:bidi w:val="0"/>
              <w:spacing w:before="0" w:after="283"/>
              <w:jc w:val="left"/>
              <w:rPr/>
            </w:pPr>
            <w:hyperlink r:id="rId17">
              <w:r>
                <w:rPr>
                  <w:rStyle w:val="InternetLink"/>
                </w:rPr>
                <w:t xml:space="preserve">Third Amendment to the Amended and Restated Energy Transfer LP Long-Term Incentive Plan (incorporated by reference to Exhibit 4.4 of Energy Transfer LP’s Registration Statement on Form S-8 (File No. 333-275904) filed by Energy Transfer LP on December 6, 2023) </w:t>
              </w:r>
            </w:hyperlink>
          </w:p>
        </w:tc>
      </w:tr>
      <w:tr>
        <w:trPr>
          <w:trHeight w:val="120" w:hRule="atLeast"/>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5.1*</w:t>
            </w:r>
          </w:p>
        </w:tc>
        <w:tc>
          <w:tcPr>
            <w:tcW w:w="387" w:type="dxa"/>
            <w:tcBorders/>
            <w:vAlign w:val="bottom"/>
          </w:tcPr>
          <w:p>
            <w:pPr>
              <w:pStyle w:val="TableContents"/>
              <w:bidi w:val="0"/>
              <w:spacing w:before="0" w:after="283"/>
              <w:jc w:val="left"/>
              <w:rPr/>
            </w:pPr>
            <w:r>
              <w:rPr/>
              <w:t> </w:t>
            </w:r>
          </w:p>
        </w:tc>
        <w:tc>
          <w:tcPr>
            <w:tcW w:w="9141" w:type="dxa"/>
            <w:tcBorders/>
          </w:tcPr>
          <w:p>
            <w:pPr>
              <w:pStyle w:val="TableContents"/>
              <w:bidi w:val="0"/>
              <w:spacing w:before="0" w:after="283"/>
              <w:jc w:val="left"/>
              <w:rPr/>
            </w:pPr>
            <w:hyperlink w:anchor="d136819dex51.htm">
              <w:r>
                <w:rPr>
                  <w:rStyle w:val="InternetLink"/>
                </w:rPr>
                <w:t xml:space="preserve">Opinion of Vinson &amp; Elkins L.L.P. </w:t>
              </w:r>
            </w:hyperlink>
          </w:p>
        </w:tc>
      </w:tr>
      <w:tr>
        <w:trPr>
          <w:trHeight w:val="120" w:hRule="atLeast"/>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23.1*</w:t>
            </w:r>
          </w:p>
        </w:tc>
        <w:tc>
          <w:tcPr>
            <w:tcW w:w="387" w:type="dxa"/>
            <w:tcBorders/>
            <w:vAlign w:val="bottom"/>
          </w:tcPr>
          <w:p>
            <w:pPr>
              <w:pStyle w:val="TableContents"/>
              <w:bidi w:val="0"/>
              <w:spacing w:before="0" w:after="283"/>
              <w:jc w:val="left"/>
              <w:rPr/>
            </w:pPr>
            <w:r>
              <w:rPr/>
              <w:t> </w:t>
            </w:r>
          </w:p>
        </w:tc>
        <w:tc>
          <w:tcPr>
            <w:tcW w:w="9141" w:type="dxa"/>
            <w:tcBorders/>
          </w:tcPr>
          <w:p>
            <w:pPr>
              <w:pStyle w:val="TableContents"/>
              <w:bidi w:val="0"/>
              <w:spacing w:before="0" w:after="283"/>
              <w:jc w:val="left"/>
              <w:rPr/>
            </w:pPr>
            <w:hyperlink w:anchor="d136819dex231.htm">
              <w:r>
                <w:rPr>
                  <w:rStyle w:val="InternetLink"/>
                </w:rPr>
                <w:t xml:space="preserve">Consent of Grant Thornton LLP, independent registered public accounting firm </w:t>
              </w:r>
            </w:hyperlink>
          </w:p>
        </w:tc>
      </w:tr>
      <w:tr>
        <w:trPr>
          <w:trHeight w:val="120" w:hRule="atLeast"/>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23.2*</w:t>
            </w:r>
          </w:p>
        </w:tc>
        <w:tc>
          <w:tcPr>
            <w:tcW w:w="387" w:type="dxa"/>
            <w:tcBorders/>
            <w:vAlign w:val="bottom"/>
          </w:tcPr>
          <w:p>
            <w:pPr>
              <w:pStyle w:val="TableContents"/>
              <w:bidi w:val="0"/>
              <w:spacing w:before="0" w:after="283"/>
              <w:jc w:val="left"/>
              <w:rPr/>
            </w:pPr>
            <w:r>
              <w:rPr/>
              <w:t> </w:t>
            </w:r>
          </w:p>
        </w:tc>
        <w:tc>
          <w:tcPr>
            <w:tcW w:w="9141" w:type="dxa"/>
            <w:tcBorders/>
          </w:tcPr>
          <w:p>
            <w:pPr>
              <w:pStyle w:val="TableContents"/>
              <w:bidi w:val="0"/>
              <w:spacing w:before="0" w:after="283"/>
              <w:jc w:val="left"/>
              <w:rPr/>
            </w:pPr>
            <w:hyperlink w:anchor="d136819dex51.htm">
              <w:r>
                <w:rPr>
                  <w:rStyle w:val="InternetLink"/>
                </w:rPr>
                <w:t xml:space="preserve">Consent of Vinson &amp; Elkins L.L.P. (included as part of Exhibit 5.1) </w:t>
              </w:r>
            </w:hyperlink>
          </w:p>
        </w:tc>
      </w:tr>
      <w:tr>
        <w:trPr>
          <w:trHeight w:val="120" w:hRule="atLeast"/>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24.1*</w:t>
            </w:r>
          </w:p>
        </w:tc>
        <w:tc>
          <w:tcPr>
            <w:tcW w:w="387" w:type="dxa"/>
            <w:tcBorders/>
            <w:vAlign w:val="bottom"/>
          </w:tcPr>
          <w:p>
            <w:pPr>
              <w:pStyle w:val="TableContents"/>
              <w:bidi w:val="0"/>
              <w:spacing w:before="0" w:after="283"/>
              <w:jc w:val="left"/>
              <w:rPr/>
            </w:pPr>
            <w:r>
              <w:rPr/>
              <w:t> </w:t>
            </w:r>
          </w:p>
        </w:tc>
        <w:tc>
          <w:tcPr>
            <w:tcW w:w="9141" w:type="dxa"/>
            <w:tcBorders/>
          </w:tcPr>
          <w:p>
            <w:pPr>
              <w:pStyle w:val="TableContents"/>
              <w:bidi w:val="0"/>
              <w:spacing w:before="0" w:after="283"/>
              <w:jc w:val="left"/>
              <w:rPr/>
            </w:pPr>
            <w:hyperlink w:anchor="sig">
              <w:r>
                <w:rPr>
                  <w:rStyle w:val="InternetLink"/>
                </w:rPr>
                <w:t xml:space="preserve">Powers of Attorney (incorporated by reference to the signature pages hereto)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9.</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the Registration Statements: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Statements.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under the Securities Act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Statements or any material change to such information in the Registration Statements;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and (a)(1)(ii) above do not apply if the registration statement is on Form S-8,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Statements.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Statements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these Amendments to be signed on its behalf by the undersigned, thereunto duly authorized, in the City of Dallas, State of Texas, on July 17,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ENERGY TRANSFER LP</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LE GP, LLC, its general partner</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Dylan A. Bramhall</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Dylan A. Bramhall</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Executive Vice President and Group Chief Financial Officer</w:t>
            </w:r>
          </w:p>
        </w:tc>
      </w:tr>
    </w:tbl>
    <w:p>
      <w:pPr>
        <w:pStyle w:val="TextBody"/>
        <w:bidi w:val="0"/>
        <w:spacing w:before="48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Thomas E. Long, Dylan A. Bramhall, James M. Wright, Jr. and William J. Healy and each of them, his or her true and lawful attorneys-in-fact and agents with full power of substitution, for him and in his name, place and stead, in any and all capacities, to sign any and all amendments (including post-effective amendments) to these Registration Statements on Form S-8, and to file the same with all exhibits thereto and all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these Amendments have been signed by the following persons in the capacities indicated, which are with LE GP, LLC, the general partner of Energy Transfer LP, on July 17,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63"/>
        <w:gridCol w:w="123"/>
        <w:gridCol w:w="6119"/>
      </w:tblGrid>
      <w:tr>
        <w:trPr/>
        <w:tc>
          <w:tcPr>
            <w:tcW w:w="39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119" w:type="dxa"/>
            <w:tcBorders/>
            <w:vAlign w:val="center"/>
          </w:tcPr>
          <w:p>
            <w:pPr>
              <w:pStyle w:val="TableContents"/>
              <w:bidi w:val="0"/>
              <w:spacing w:before="0" w:after="283"/>
              <w:jc w:val="left"/>
              <w:rPr>
                <w:sz w:val="4"/>
                <w:szCs w:val="4"/>
              </w:rPr>
            </w:pPr>
            <w:r>
              <w:rPr>
                <w:sz w:val="4"/>
                <w:szCs w:val="4"/>
              </w:rPr>
            </w:r>
          </w:p>
        </w:tc>
      </w:tr>
      <w:tr>
        <w:trPr/>
        <w:tc>
          <w:tcPr>
            <w:tcW w:w="39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3" w:type="dxa"/>
            <w:tcBorders/>
            <w:vAlign w:val="bottom"/>
          </w:tcPr>
          <w:p>
            <w:pPr>
              <w:pStyle w:val="TableContents"/>
              <w:bidi w:val="0"/>
              <w:spacing w:before="0" w:after="283"/>
              <w:jc w:val="left"/>
              <w:rPr/>
            </w:pPr>
            <w:r>
              <w:rPr/>
              <w:t>  </w:t>
            </w:r>
          </w:p>
        </w:tc>
        <w:tc>
          <w:tcPr>
            <w:tcW w:w="611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396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Kelcy L. Warren</w:t>
            </w:r>
          </w:p>
        </w:tc>
        <w:tc>
          <w:tcPr>
            <w:tcW w:w="123" w:type="dxa"/>
            <w:tcBorders/>
            <w:vAlign w:val="bottom"/>
          </w:tcPr>
          <w:p>
            <w:pPr>
              <w:pStyle w:val="TableContents"/>
              <w:bidi w:val="0"/>
              <w:spacing w:before="0" w:after="283"/>
              <w:jc w:val="left"/>
              <w:rPr/>
            </w:pPr>
            <w:r>
              <w:rPr/>
              <w:t>  </w:t>
            </w:r>
          </w:p>
        </w:tc>
        <w:tc>
          <w:tcPr>
            <w:tcW w:w="6119" w:type="dxa"/>
            <w:tcBorders/>
          </w:tcPr>
          <w:p>
            <w:pPr>
              <w:pStyle w:val="TableContents"/>
              <w:bidi w:val="0"/>
              <w:spacing w:before="0" w:after="283"/>
              <w:jc w:val="center"/>
              <w:rPr/>
            </w:pPr>
            <w:r>
              <w:rPr/>
              <w:t>Executive Chairman</w:t>
            </w:r>
          </w:p>
        </w:tc>
      </w:tr>
      <w:tr>
        <w:trPr/>
        <w:tc>
          <w:tcPr>
            <w:tcW w:w="3963" w:type="dxa"/>
            <w:tcBorders/>
          </w:tcPr>
          <w:p>
            <w:pPr>
              <w:pStyle w:val="TableContents"/>
              <w:bidi w:val="0"/>
              <w:spacing w:before="0" w:after="283"/>
              <w:jc w:val="center"/>
              <w:rPr/>
            </w:pPr>
            <w:r>
              <w:rPr/>
              <w:t>Kelcy L. Warren</w:t>
            </w:r>
          </w:p>
        </w:tc>
        <w:tc>
          <w:tcPr>
            <w:tcW w:w="123" w:type="dxa"/>
            <w:tcBorders/>
            <w:vAlign w:val="bottom"/>
          </w:tcPr>
          <w:p>
            <w:pPr>
              <w:pStyle w:val="TableContents"/>
              <w:bidi w:val="0"/>
              <w:spacing w:before="0" w:after="283"/>
              <w:jc w:val="left"/>
              <w:rPr/>
            </w:pPr>
            <w:r>
              <w:rPr/>
              <w:t>  </w:t>
            </w:r>
          </w:p>
        </w:tc>
        <w:tc>
          <w:tcPr>
            <w:tcW w:w="6119" w:type="dxa"/>
            <w:tcBorders/>
          </w:tcPr>
          <w:p>
            <w:pPr>
              <w:pStyle w:val="TableContents"/>
              <w:bidi w:val="0"/>
              <w:spacing w:before="0" w:after="283"/>
              <w:jc w:val="left"/>
              <w:rPr>
                <w:sz w:val="4"/>
                <w:szCs w:val="4"/>
              </w:rPr>
            </w:pPr>
            <w:r>
              <w:rPr>
                <w:sz w:val="4"/>
                <w:szCs w:val="4"/>
              </w:rPr>
            </w:r>
          </w:p>
        </w:tc>
      </w:tr>
      <w:tr>
        <w:trPr>
          <w:trHeight w:val="240" w:hRule="atLeast"/>
        </w:trPr>
        <w:tc>
          <w:tcPr>
            <w:tcW w:w="3963" w:type="dxa"/>
            <w:tcBorders/>
            <w:vAlign w:val="center"/>
          </w:tcPr>
          <w:p>
            <w:pPr>
              <w:pStyle w:val="TableContents"/>
              <w:bidi w:val="0"/>
              <w:spacing w:before="0" w:after="283"/>
              <w:jc w:val="left"/>
              <w:rPr>
                <w:sz w:val="4"/>
                <w:szCs w:val="4"/>
              </w:rPr>
            </w:pPr>
            <w:r>
              <w:rPr>
                <w:sz w:val="4"/>
                <w:szCs w:val="4"/>
              </w:rPr>
            </w:r>
          </w:p>
        </w:tc>
        <w:tc>
          <w:tcPr>
            <w:tcW w:w="6242" w:type="dxa"/>
            <w:gridSpan w:val="2"/>
            <w:tcBorders/>
            <w:vAlign w:val="center"/>
          </w:tcPr>
          <w:p>
            <w:pPr>
              <w:pStyle w:val="TableContents"/>
              <w:bidi w:val="0"/>
              <w:spacing w:before="0" w:after="283"/>
              <w:jc w:val="left"/>
              <w:rPr>
                <w:sz w:val="4"/>
                <w:szCs w:val="4"/>
              </w:rPr>
            </w:pPr>
            <w:r>
              <w:rPr>
                <w:sz w:val="4"/>
                <w:szCs w:val="4"/>
              </w:rPr>
            </w:r>
          </w:p>
        </w:tc>
      </w:tr>
      <w:tr>
        <w:trPr/>
        <w:tc>
          <w:tcPr>
            <w:tcW w:w="396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Thomas E. Long</w:t>
            </w:r>
          </w:p>
        </w:tc>
        <w:tc>
          <w:tcPr>
            <w:tcW w:w="123" w:type="dxa"/>
            <w:tcBorders/>
            <w:vAlign w:val="bottom"/>
          </w:tcPr>
          <w:p>
            <w:pPr>
              <w:pStyle w:val="TableContents"/>
              <w:bidi w:val="0"/>
              <w:spacing w:before="0" w:after="283"/>
              <w:jc w:val="left"/>
              <w:rPr/>
            </w:pPr>
            <w:r>
              <w:rPr/>
              <w:t>  </w:t>
            </w:r>
          </w:p>
        </w:tc>
        <w:tc>
          <w:tcPr>
            <w:tcW w:w="6119" w:type="dxa"/>
            <w:tcBorders/>
          </w:tcPr>
          <w:p>
            <w:pPr>
              <w:pStyle w:val="TableContents"/>
              <w:bidi w:val="0"/>
              <w:spacing w:before="0" w:after="283"/>
              <w:jc w:val="center"/>
              <w:rPr/>
            </w:pPr>
            <w:r>
              <w:rPr/>
              <w:t>Co-Chief Executive Officer and Director</w:t>
            </w:r>
          </w:p>
        </w:tc>
      </w:tr>
      <w:tr>
        <w:trPr/>
        <w:tc>
          <w:tcPr>
            <w:tcW w:w="3963" w:type="dxa"/>
            <w:tcBorders/>
          </w:tcPr>
          <w:p>
            <w:pPr>
              <w:pStyle w:val="TableContents"/>
              <w:bidi w:val="0"/>
              <w:spacing w:before="0" w:after="283"/>
              <w:jc w:val="center"/>
              <w:rPr/>
            </w:pPr>
            <w:r>
              <w:rPr/>
              <w:t>Thomas E. Long</w:t>
            </w:r>
          </w:p>
        </w:tc>
        <w:tc>
          <w:tcPr>
            <w:tcW w:w="123" w:type="dxa"/>
            <w:tcBorders/>
            <w:vAlign w:val="bottom"/>
          </w:tcPr>
          <w:p>
            <w:pPr>
              <w:pStyle w:val="TableContents"/>
              <w:bidi w:val="0"/>
              <w:spacing w:before="0" w:after="283"/>
              <w:jc w:val="left"/>
              <w:rPr/>
            </w:pPr>
            <w:r>
              <w:rPr/>
              <w:t>  </w:t>
            </w:r>
          </w:p>
        </w:tc>
        <w:tc>
          <w:tcPr>
            <w:tcW w:w="6119" w:type="dxa"/>
            <w:tcBorders/>
          </w:tcPr>
          <w:p>
            <w:pPr>
              <w:pStyle w:val="TableContents"/>
              <w:bidi w:val="0"/>
              <w:spacing w:before="0" w:after="283"/>
              <w:jc w:val="center"/>
              <w:rPr/>
            </w:pPr>
            <w:r>
              <w:rPr/>
              <w:t>(Co-Principal Executive Officer)</w:t>
            </w:r>
          </w:p>
        </w:tc>
      </w:tr>
      <w:tr>
        <w:trPr>
          <w:trHeight w:val="240" w:hRule="atLeast"/>
        </w:trPr>
        <w:tc>
          <w:tcPr>
            <w:tcW w:w="3963" w:type="dxa"/>
            <w:tcBorders/>
            <w:vAlign w:val="center"/>
          </w:tcPr>
          <w:p>
            <w:pPr>
              <w:pStyle w:val="TableContents"/>
              <w:bidi w:val="0"/>
              <w:spacing w:before="0" w:after="283"/>
              <w:jc w:val="left"/>
              <w:rPr>
                <w:sz w:val="4"/>
                <w:szCs w:val="4"/>
              </w:rPr>
            </w:pPr>
            <w:r>
              <w:rPr>
                <w:sz w:val="4"/>
                <w:szCs w:val="4"/>
              </w:rPr>
            </w:r>
          </w:p>
        </w:tc>
        <w:tc>
          <w:tcPr>
            <w:tcW w:w="6242" w:type="dxa"/>
            <w:gridSpan w:val="2"/>
            <w:tcBorders/>
            <w:vAlign w:val="center"/>
          </w:tcPr>
          <w:p>
            <w:pPr>
              <w:pStyle w:val="TableContents"/>
              <w:bidi w:val="0"/>
              <w:spacing w:before="0" w:after="283"/>
              <w:jc w:val="left"/>
              <w:rPr>
                <w:sz w:val="4"/>
                <w:szCs w:val="4"/>
              </w:rPr>
            </w:pPr>
            <w:r>
              <w:rPr>
                <w:sz w:val="4"/>
                <w:szCs w:val="4"/>
              </w:rPr>
            </w:r>
          </w:p>
        </w:tc>
      </w:tr>
      <w:tr>
        <w:trPr/>
        <w:tc>
          <w:tcPr>
            <w:tcW w:w="396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Marshall S. McCrea, III</w:t>
            </w:r>
          </w:p>
        </w:tc>
        <w:tc>
          <w:tcPr>
            <w:tcW w:w="123" w:type="dxa"/>
            <w:tcBorders/>
            <w:vAlign w:val="bottom"/>
          </w:tcPr>
          <w:p>
            <w:pPr>
              <w:pStyle w:val="TableContents"/>
              <w:bidi w:val="0"/>
              <w:spacing w:before="0" w:after="283"/>
              <w:jc w:val="left"/>
              <w:rPr/>
            </w:pPr>
            <w:r>
              <w:rPr/>
              <w:t>  </w:t>
            </w:r>
          </w:p>
        </w:tc>
        <w:tc>
          <w:tcPr>
            <w:tcW w:w="6119" w:type="dxa"/>
            <w:tcBorders/>
          </w:tcPr>
          <w:p>
            <w:pPr>
              <w:pStyle w:val="TableContents"/>
              <w:bidi w:val="0"/>
              <w:spacing w:before="0" w:after="283"/>
              <w:jc w:val="center"/>
              <w:rPr/>
            </w:pPr>
            <w:r>
              <w:rPr/>
              <w:t>Co-Chief Executive Officer and Director</w:t>
            </w:r>
          </w:p>
        </w:tc>
      </w:tr>
      <w:tr>
        <w:trPr/>
        <w:tc>
          <w:tcPr>
            <w:tcW w:w="3963" w:type="dxa"/>
            <w:tcBorders/>
          </w:tcPr>
          <w:p>
            <w:pPr>
              <w:pStyle w:val="TableContents"/>
              <w:bidi w:val="0"/>
              <w:spacing w:before="0" w:after="283"/>
              <w:jc w:val="center"/>
              <w:rPr/>
            </w:pPr>
            <w:r>
              <w:rPr/>
              <w:t>Marshall S. McCrea, III</w:t>
            </w:r>
          </w:p>
        </w:tc>
        <w:tc>
          <w:tcPr>
            <w:tcW w:w="123" w:type="dxa"/>
            <w:tcBorders/>
            <w:vAlign w:val="bottom"/>
          </w:tcPr>
          <w:p>
            <w:pPr>
              <w:pStyle w:val="TableContents"/>
              <w:bidi w:val="0"/>
              <w:spacing w:before="0" w:after="283"/>
              <w:jc w:val="left"/>
              <w:rPr/>
            </w:pPr>
            <w:r>
              <w:rPr/>
              <w:t>  </w:t>
            </w:r>
          </w:p>
        </w:tc>
        <w:tc>
          <w:tcPr>
            <w:tcW w:w="6119" w:type="dxa"/>
            <w:tcBorders/>
          </w:tcPr>
          <w:p>
            <w:pPr>
              <w:pStyle w:val="TableContents"/>
              <w:bidi w:val="0"/>
              <w:spacing w:before="0" w:after="283"/>
              <w:jc w:val="center"/>
              <w:rPr/>
            </w:pPr>
            <w:r>
              <w:rPr/>
              <w:t>(Co-Principal Executive Officer)</w:t>
            </w:r>
          </w:p>
        </w:tc>
      </w:tr>
      <w:tr>
        <w:trPr>
          <w:trHeight w:val="240" w:hRule="atLeast"/>
        </w:trPr>
        <w:tc>
          <w:tcPr>
            <w:tcW w:w="3963" w:type="dxa"/>
            <w:tcBorders/>
            <w:vAlign w:val="center"/>
          </w:tcPr>
          <w:p>
            <w:pPr>
              <w:pStyle w:val="TableContents"/>
              <w:bidi w:val="0"/>
              <w:spacing w:before="0" w:after="283"/>
              <w:jc w:val="left"/>
              <w:rPr>
                <w:sz w:val="4"/>
                <w:szCs w:val="4"/>
              </w:rPr>
            </w:pPr>
            <w:r>
              <w:rPr>
                <w:sz w:val="4"/>
                <w:szCs w:val="4"/>
              </w:rPr>
            </w:r>
          </w:p>
        </w:tc>
        <w:tc>
          <w:tcPr>
            <w:tcW w:w="6242" w:type="dxa"/>
            <w:gridSpan w:val="2"/>
            <w:tcBorders/>
            <w:vAlign w:val="center"/>
          </w:tcPr>
          <w:p>
            <w:pPr>
              <w:pStyle w:val="TableContents"/>
              <w:bidi w:val="0"/>
              <w:spacing w:before="0" w:after="283"/>
              <w:jc w:val="left"/>
              <w:rPr>
                <w:sz w:val="4"/>
                <w:szCs w:val="4"/>
              </w:rPr>
            </w:pPr>
            <w:r>
              <w:rPr>
                <w:sz w:val="4"/>
                <w:szCs w:val="4"/>
              </w:rPr>
            </w:r>
          </w:p>
        </w:tc>
      </w:tr>
      <w:tr>
        <w:trPr/>
        <w:tc>
          <w:tcPr>
            <w:tcW w:w="3963"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Dylan A. Bramhall</w:t>
            </w:r>
          </w:p>
        </w:tc>
        <w:tc>
          <w:tcPr>
            <w:tcW w:w="123" w:type="dxa"/>
            <w:tcBorders/>
            <w:vAlign w:val="bottom"/>
          </w:tcPr>
          <w:p>
            <w:pPr>
              <w:pStyle w:val="TableContents"/>
              <w:bidi w:val="0"/>
              <w:spacing w:before="0" w:after="283"/>
              <w:jc w:val="left"/>
              <w:rPr/>
            </w:pPr>
            <w:r>
              <w:rPr/>
              <w:t>  </w:t>
            </w:r>
          </w:p>
        </w:tc>
        <w:tc>
          <w:tcPr>
            <w:tcW w:w="6119" w:type="dxa"/>
            <w:tcBorders/>
          </w:tcPr>
          <w:p>
            <w:pPr>
              <w:pStyle w:val="TableContents"/>
              <w:bidi w:val="0"/>
              <w:spacing w:before="0" w:after="0"/>
              <w:jc w:val="center"/>
              <w:rPr>
                <w:rFonts w:ascii="Times New Roman" w:hAnsi="Times New Roman"/>
                <w:sz w:val="20"/>
              </w:rPr>
            </w:pPr>
            <w:r>
              <w:rPr>
                <w:rFonts w:ascii="Times New Roman" w:hAnsi="Times New Roman"/>
                <w:sz w:val="20"/>
              </w:rPr>
              <w:t>Executive Vice President and Group Chief</w:t>
            </w:r>
          </w:p>
          <w:p>
            <w:pPr>
              <w:pStyle w:val="TableContents"/>
              <w:bidi w:val="0"/>
              <w:spacing w:before="0" w:after="20"/>
              <w:jc w:val="center"/>
              <w:rPr>
                <w:rFonts w:ascii="Times New Roman" w:hAnsi="Times New Roman"/>
                <w:sz w:val="20"/>
              </w:rPr>
            </w:pPr>
            <w:r>
              <w:rPr>
                <w:rFonts w:ascii="Times New Roman" w:hAnsi="Times New Roman"/>
                <w:sz w:val="20"/>
              </w:rPr>
              <w:t>Financial Officer</w:t>
            </w:r>
          </w:p>
        </w:tc>
      </w:tr>
      <w:tr>
        <w:trPr/>
        <w:tc>
          <w:tcPr>
            <w:tcW w:w="3963" w:type="dxa"/>
            <w:tcBorders/>
          </w:tcPr>
          <w:p>
            <w:pPr>
              <w:pStyle w:val="TableContents"/>
              <w:bidi w:val="0"/>
              <w:spacing w:before="0" w:after="283"/>
              <w:jc w:val="center"/>
              <w:rPr/>
            </w:pPr>
            <w:r>
              <w:rPr/>
              <w:t>Dylan A. Bramhall</w:t>
            </w:r>
          </w:p>
        </w:tc>
        <w:tc>
          <w:tcPr>
            <w:tcW w:w="123" w:type="dxa"/>
            <w:tcBorders/>
            <w:vAlign w:val="bottom"/>
          </w:tcPr>
          <w:p>
            <w:pPr>
              <w:pStyle w:val="TableContents"/>
              <w:bidi w:val="0"/>
              <w:spacing w:before="0" w:after="283"/>
              <w:jc w:val="left"/>
              <w:rPr/>
            </w:pPr>
            <w:r>
              <w:rPr/>
              <w:t>  </w:t>
            </w:r>
          </w:p>
        </w:tc>
        <w:tc>
          <w:tcPr>
            <w:tcW w:w="6119" w:type="dxa"/>
            <w:tcBorders/>
          </w:tcPr>
          <w:p>
            <w:pPr>
              <w:pStyle w:val="TableContents"/>
              <w:bidi w:val="0"/>
              <w:spacing w:before="0" w:after="283"/>
              <w:jc w:val="center"/>
              <w:rPr/>
            </w:pPr>
            <w:r>
              <w:rPr/>
              <w:t>(Principal Financial Officer)</w:t>
            </w:r>
          </w:p>
        </w:tc>
      </w:tr>
      <w:tr>
        <w:trPr>
          <w:trHeight w:val="240" w:hRule="atLeast"/>
        </w:trPr>
        <w:tc>
          <w:tcPr>
            <w:tcW w:w="3963" w:type="dxa"/>
            <w:tcBorders/>
            <w:vAlign w:val="center"/>
          </w:tcPr>
          <w:p>
            <w:pPr>
              <w:pStyle w:val="TableContents"/>
              <w:bidi w:val="0"/>
              <w:spacing w:before="0" w:after="283"/>
              <w:jc w:val="left"/>
              <w:rPr>
                <w:sz w:val="4"/>
                <w:szCs w:val="4"/>
              </w:rPr>
            </w:pPr>
            <w:r>
              <w:rPr>
                <w:sz w:val="4"/>
                <w:szCs w:val="4"/>
              </w:rPr>
            </w:r>
          </w:p>
        </w:tc>
        <w:tc>
          <w:tcPr>
            <w:tcW w:w="6242" w:type="dxa"/>
            <w:gridSpan w:val="2"/>
            <w:tcBorders/>
            <w:vAlign w:val="center"/>
          </w:tcPr>
          <w:p>
            <w:pPr>
              <w:pStyle w:val="TableContents"/>
              <w:bidi w:val="0"/>
              <w:spacing w:before="0" w:after="283"/>
              <w:jc w:val="left"/>
              <w:rPr>
                <w:sz w:val="4"/>
                <w:szCs w:val="4"/>
              </w:rPr>
            </w:pPr>
            <w:r>
              <w:rPr>
                <w:sz w:val="4"/>
                <w:szCs w:val="4"/>
              </w:rPr>
            </w:r>
          </w:p>
        </w:tc>
      </w:tr>
      <w:tr>
        <w:trPr/>
        <w:tc>
          <w:tcPr>
            <w:tcW w:w="396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 Troy Sturrock</w:t>
            </w:r>
          </w:p>
        </w:tc>
        <w:tc>
          <w:tcPr>
            <w:tcW w:w="123" w:type="dxa"/>
            <w:tcBorders/>
            <w:vAlign w:val="bottom"/>
          </w:tcPr>
          <w:p>
            <w:pPr>
              <w:pStyle w:val="TableContents"/>
              <w:bidi w:val="0"/>
              <w:spacing w:before="0" w:after="283"/>
              <w:jc w:val="left"/>
              <w:rPr/>
            </w:pPr>
            <w:r>
              <w:rPr/>
              <w:t>  </w:t>
            </w:r>
          </w:p>
        </w:tc>
        <w:tc>
          <w:tcPr>
            <w:tcW w:w="6119" w:type="dxa"/>
            <w:tcBorders/>
          </w:tcPr>
          <w:p>
            <w:pPr>
              <w:pStyle w:val="TableContents"/>
              <w:bidi w:val="0"/>
              <w:spacing w:before="0" w:after="283"/>
              <w:jc w:val="center"/>
              <w:rPr/>
            </w:pPr>
            <w:r>
              <w:rPr/>
              <w:t>Group Senior Vice President and Controller</w:t>
            </w:r>
          </w:p>
        </w:tc>
      </w:tr>
      <w:tr>
        <w:trPr/>
        <w:tc>
          <w:tcPr>
            <w:tcW w:w="3963" w:type="dxa"/>
            <w:tcBorders/>
          </w:tcPr>
          <w:p>
            <w:pPr>
              <w:pStyle w:val="TableContents"/>
              <w:bidi w:val="0"/>
              <w:spacing w:before="0" w:after="283"/>
              <w:jc w:val="center"/>
              <w:rPr/>
            </w:pPr>
            <w:r>
              <w:rPr/>
              <w:t>A. Troy Sturrock</w:t>
            </w:r>
          </w:p>
        </w:tc>
        <w:tc>
          <w:tcPr>
            <w:tcW w:w="123" w:type="dxa"/>
            <w:tcBorders/>
            <w:vAlign w:val="bottom"/>
          </w:tcPr>
          <w:p>
            <w:pPr>
              <w:pStyle w:val="TableContents"/>
              <w:bidi w:val="0"/>
              <w:spacing w:before="0" w:after="283"/>
              <w:jc w:val="left"/>
              <w:rPr/>
            </w:pPr>
            <w:r>
              <w:rPr/>
              <w:t>  </w:t>
            </w:r>
          </w:p>
        </w:tc>
        <w:tc>
          <w:tcPr>
            <w:tcW w:w="6119" w:type="dxa"/>
            <w:tcBorders/>
          </w:tcPr>
          <w:p>
            <w:pPr>
              <w:pStyle w:val="TableContents"/>
              <w:bidi w:val="0"/>
              <w:spacing w:before="0" w:after="283"/>
              <w:jc w:val="center"/>
              <w:rPr/>
            </w:pPr>
            <w:r>
              <w:rPr/>
              <w:t>(Principal Accounting Officer)</w:t>
            </w:r>
          </w:p>
        </w:tc>
      </w:tr>
      <w:tr>
        <w:trPr>
          <w:trHeight w:val="240" w:hRule="atLeast"/>
        </w:trPr>
        <w:tc>
          <w:tcPr>
            <w:tcW w:w="3963" w:type="dxa"/>
            <w:tcBorders/>
            <w:vAlign w:val="center"/>
          </w:tcPr>
          <w:p>
            <w:pPr>
              <w:pStyle w:val="TableContents"/>
              <w:bidi w:val="0"/>
              <w:spacing w:before="0" w:after="283"/>
              <w:jc w:val="left"/>
              <w:rPr>
                <w:sz w:val="4"/>
                <w:szCs w:val="4"/>
              </w:rPr>
            </w:pPr>
            <w:r>
              <w:rPr>
                <w:sz w:val="4"/>
                <w:szCs w:val="4"/>
              </w:rPr>
            </w:r>
          </w:p>
        </w:tc>
        <w:tc>
          <w:tcPr>
            <w:tcW w:w="6242" w:type="dxa"/>
            <w:gridSpan w:val="2"/>
            <w:tcBorders/>
            <w:vAlign w:val="center"/>
          </w:tcPr>
          <w:p>
            <w:pPr>
              <w:pStyle w:val="TableContents"/>
              <w:bidi w:val="0"/>
              <w:spacing w:before="0" w:after="283"/>
              <w:jc w:val="left"/>
              <w:rPr>
                <w:sz w:val="4"/>
                <w:szCs w:val="4"/>
              </w:rPr>
            </w:pPr>
            <w:r>
              <w:rPr>
                <w:sz w:val="4"/>
                <w:szCs w:val="4"/>
              </w:rPr>
            </w:r>
          </w:p>
        </w:tc>
      </w:tr>
      <w:tr>
        <w:trPr/>
        <w:tc>
          <w:tcPr>
            <w:tcW w:w="396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Steven R. Anderson</w:t>
            </w:r>
          </w:p>
        </w:tc>
        <w:tc>
          <w:tcPr>
            <w:tcW w:w="123" w:type="dxa"/>
            <w:tcBorders/>
            <w:vAlign w:val="bottom"/>
          </w:tcPr>
          <w:p>
            <w:pPr>
              <w:pStyle w:val="TableContents"/>
              <w:bidi w:val="0"/>
              <w:spacing w:before="0" w:after="283"/>
              <w:jc w:val="left"/>
              <w:rPr/>
            </w:pPr>
            <w:r>
              <w:rPr/>
              <w:t>  </w:t>
            </w:r>
          </w:p>
        </w:tc>
        <w:tc>
          <w:tcPr>
            <w:tcW w:w="6119" w:type="dxa"/>
            <w:tcBorders/>
          </w:tcPr>
          <w:p>
            <w:pPr>
              <w:pStyle w:val="TableContents"/>
              <w:bidi w:val="0"/>
              <w:spacing w:before="0" w:after="283"/>
              <w:jc w:val="center"/>
              <w:rPr/>
            </w:pPr>
            <w:r>
              <w:rPr/>
              <w:t>Director</w:t>
            </w:r>
          </w:p>
        </w:tc>
      </w:tr>
      <w:tr>
        <w:trPr/>
        <w:tc>
          <w:tcPr>
            <w:tcW w:w="3963" w:type="dxa"/>
            <w:tcBorders/>
          </w:tcPr>
          <w:p>
            <w:pPr>
              <w:pStyle w:val="TableContents"/>
              <w:bidi w:val="0"/>
              <w:spacing w:before="0" w:after="283"/>
              <w:jc w:val="center"/>
              <w:rPr/>
            </w:pPr>
            <w:r>
              <w:rPr/>
              <w:t>Steven R. Anderson</w:t>
            </w:r>
          </w:p>
        </w:tc>
        <w:tc>
          <w:tcPr>
            <w:tcW w:w="123" w:type="dxa"/>
            <w:tcBorders/>
            <w:vAlign w:val="bottom"/>
          </w:tcPr>
          <w:p>
            <w:pPr>
              <w:pStyle w:val="TableContents"/>
              <w:bidi w:val="0"/>
              <w:spacing w:before="0" w:after="283"/>
              <w:jc w:val="left"/>
              <w:rPr/>
            </w:pPr>
            <w:r>
              <w:rPr/>
              <w:t>  </w:t>
            </w:r>
          </w:p>
        </w:tc>
        <w:tc>
          <w:tcPr>
            <w:tcW w:w="611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42"/>
        <w:gridCol w:w="124"/>
        <w:gridCol w:w="6039"/>
      </w:tblGrid>
      <w:tr>
        <w:trPr/>
        <w:tc>
          <w:tcPr>
            <w:tcW w:w="404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39" w:type="dxa"/>
            <w:tcBorders/>
            <w:vAlign w:val="center"/>
          </w:tcPr>
          <w:p>
            <w:pPr>
              <w:pStyle w:val="TableContents"/>
              <w:bidi w:val="0"/>
              <w:spacing w:before="0" w:after="283"/>
              <w:jc w:val="left"/>
              <w:rPr>
                <w:sz w:val="4"/>
                <w:szCs w:val="4"/>
              </w:rPr>
            </w:pPr>
            <w:r>
              <w:rPr>
                <w:sz w:val="4"/>
                <w:szCs w:val="4"/>
              </w:rPr>
            </w:r>
          </w:p>
        </w:tc>
      </w:tr>
      <w:tr>
        <w:trPr/>
        <w:tc>
          <w:tcPr>
            <w:tcW w:w="40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4" w:type="dxa"/>
            <w:tcBorders/>
            <w:vAlign w:val="bottom"/>
          </w:tcPr>
          <w:p>
            <w:pPr>
              <w:pStyle w:val="TableContents"/>
              <w:bidi w:val="0"/>
              <w:spacing w:before="0" w:after="283"/>
              <w:jc w:val="left"/>
              <w:rPr/>
            </w:pPr>
            <w:r>
              <w:rPr/>
              <w:t>  </w:t>
            </w:r>
          </w:p>
        </w:tc>
        <w:tc>
          <w:tcPr>
            <w:tcW w:w="60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4042"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Michael K. Grimm</w:t>
            </w:r>
          </w:p>
        </w:tc>
        <w:tc>
          <w:tcPr>
            <w:tcW w:w="124" w:type="dxa"/>
            <w:tcBorders/>
            <w:vAlign w:val="bottom"/>
          </w:tcPr>
          <w:p>
            <w:pPr>
              <w:pStyle w:val="TableContents"/>
              <w:bidi w:val="0"/>
              <w:spacing w:before="0" w:after="283"/>
              <w:jc w:val="left"/>
              <w:rPr/>
            </w:pPr>
            <w:r>
              <w:rPr/>
              <w:t>  </w:t>
            </w:r>
          </w:p>
        </w:tc>
        <w:tc>
          <w:tcPr>
            <w:tcW w:w="6039" w:type="dxa"/>
            <w:tcBorders/>
          </w:tcPr>
          <w:p>
            <w:pPr>
              <w:pStyle w:val="TableContents"/>
              <w:bidi w:val="0"/>
              <w:spacing w:before="0" w:after="283"/>
              <w:jc w:val="center"/>
              <w:rPr/>
            </w:pPr>
            <w:r>
              <w:rPr/>
              <w:t>Director</w:t>
            </w:r>
          </w:p>
        </w:tc>
      </w:tr>
      <w:tr>
        <w:trPr/>
        <w:tc>
          <w:tcPr>
            <w:tcW w:w="4042" w:type="dxa"/>
            <w:tcBorders/>
          </w:tcPr>
          <w:p>
            <w:pPr>
              <w:pStyle w:val="TableContents"/>
              <w:bidi w:val="0"/>
              <w:spacing w:before="0" w:after="283"/>
              <w:jc w:val="center"/>
              <w:rPr/>
            </w:pPr>
            <w:r>
              <w:rPr/>
              <w:t>Michael K. Grimm</w:t>
            </w:r>
          </w:p>
        </w:tc>
        <w:tc>
          <w:tcPr>
            <w:tcW w:w="124" w:type="dxa"/>
            <w:tcBorders/>
            <w:vAlign w:val="bottom"/>
          </w:tcPr>
          <w:p>
            <w:pPr>
              <w:pStyle w:val="TableContents"/>
              <w:bidi w:val="0"/>
              <w:spacing w:before="0" w:after="283"/>
              <w:jc w:val="left"/>
              <w:rPr/>
            </w:pPr>
            <w:r>
              <w:rPr/>
              <w:t>  </w:t>
            </w:r>
          </w:p>
        </w:tc>
        <w:tc>
          <w:tcPr>
            <w:tcW w:w="6039" w:type="dxa"/>
            <w:tcBorders/>
          </w:tcPr>
          <w:p>
            <w:pPr>
              <w:pStyle w:val="TableContents"/>
              <w:bidi w:val="0"/>
              <w:spacing w:before="0" w:after="283"/>
              <w:jc w:val="left"/>
              <w:rPr>
                <w:sz w:val="4"/>
                <w:szCs w:val="4"/>
              </w:rPr>
            </w:pPr>
            <w:r>
              <w:rPr>
                <w:sz w:val="4"/>
                <w:szCs w:val="4"/>
              </w:rPr>
            </w:r>
          </w:p>
        </w:tc>
      </w:tr>
      <w:tr>
        <w:trPr>
          <w:trHeight w:val="240" w:hRule="atLeast"/>
        </w:trPr>
        <w:tc>
          <w:tcPr>
            <w:tcW w:w="4042" w:type="dxa"/>
            <w:tcBorders/>
            <w:vAlign w:val="center"/>
          </w:tcPr>
          <w:p>
            <w:pPr>
              <w:pStyle w:val="TableContents"/>
              <w:bidi w:val="0"/>
              <w:spacing w:before="0" w:after="283"/>
              <w:jc w:val="left"/>
              <w:rPr>
                <w:sz w:val="4"/>
                <w:szCs w:val="4"/>
              </w:rPr>
            </w:pPr>
            <w:r>
              <w:rPr>
                <w:sz w:val="4"/>
                <w:szCs w:val="4"/>
              </w:rPr>
            </w:r>
          </w:p>
        </w:tc>
        <w:tc>
          <w:tcPr>
            <w:tcW w:w="6163" w:type="dxa"/>
            <w:gridSpan w:val="2"/>
            <w:tcBorders/>
            <w:vAlign w:val="center"/>
          </w:tcPr>
          <w:p>
            <w:pPr>
              <w:pStyle w:val="TableContents"/>
              <w:bidi w:val="0"/>
              <w:spacing w:before="0" w:after="283"/>
              <w:jc w:val="left"/>
              <w:rPr>
                <w:sz w:val="4"/>
                <w:szCs w:val="4"/>
              </w:rPr>
            </w:pPr>
            <w:r>
              <w:rPr>
                <w:sz w:val="4"/>
                <w:szCs w:val="4"/>
              </w:rPr>
            </w:r>
          </w:p>
        </w:tc>
      </w:tr>
      <w:tr>
        <w:trPr/>
        <w:tc>
          <w:tcPr>
            <w:tcW w:w="4042"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John W. McReynolds</w:t>
            </w:r>
          </w:p>
        </w:tc>
        <w:tc>
          <w:tcPr>
            <w:tcW w:w="124" w:type="dxa"/>
            <w:tcBorders/>
            <w:vAlign w:val="bottom"/>
          </w:tcPr>
          <w:p>
            <w:pPr>
              <w:pStyle w:val="TableContents"/>
              <w:bidi w:val="0"/>
              <w:spacing w:before="0" w:after="283"/>
              <w:jc w:val="left"/>
              <w:rPr/>
            </w:pPr>
            <w:r>
              <w:rPr/>
              <w:t>  </w:t>
            </w:r>
          </w:p>
        </w:tc>
        <w:tc>
          <w:tcPr>
            <w:tcW w:w="6039" w:type="dxa"/>
            <w:tcBorders/>
          </w:tcPr>
          <w:p>
            <w:pPr>
              <w:pStyle w:val="TableContents"/>
              <w:bidi w:val="0"/>
              <w:spacing w:before="0" w:after="283"/>
              <w:jc w:val="center"/>
              <w:rPr/>
            </w:pPr>
            <w:r>
              <w:rPr/>
              <w:t>Director</w:t>
            </w:r>
          </w:p>
        </w:tc>
      </w:tr>
      <w:tr>
        <w:trPr/>
        <w:tc>
          <w:tcPr>
            <w:tcW w:w="4042" w:type="dxa"/>
            <w:tcBorders/>
          </w:tcPr>
          <w:p>
            <w:pPr>
              <w:pStyle w:val="TableContents"/>
              <w:bidi w:val="0"/>
              <w:spacing w:before="0" w:after="283"/>
              <w:jc w:val="center"/>
              <w:rPr/>
            </w:pPr>
            <w:r>
              <w:rPr/>
              <w:t>John W. McReynolds</w:t>
            </w:r>
          </w:p>
        </w:tc>
        <w:tc>
          <w:tcPr>
            <w:tcW w:w="124" w:type="dxa"/>
            <w:tcBorders/>
            <w:vAlign w:val="bottom"/>
          </w:tcPr>
          <w:p>
            <w:pPr>
              <w:pStyle w:val="TableContents"/>
              <w:bidi w:val="0"/>
              <w:spacing w:before="0" w:after="283"/>
              <w:jc w:val="left"/>
              <w:rPr/>
            </w:pPr>
            <w:r>
              <w:rPr/>
              <w:t>  </w:t>
            </w:r>
          </w:p>
        </w:tc>
        <w:tc>
          <w:tcPr>
            <w:tcW w:w="6039" w:type="dxa"/>
            <w:tcBorders/>
          </w:tcPr>
          <w:p>
            <w:pPr>
              <w:pStyle w:val="TableContents"/>
              <w:bidi w:val="0"/>
              <w:spacing w:before="0" w:after="283"/>
              <w:jc w:val="left"/>
              <w:rPr>
                <w:sz w:val="4"/>
                <w:szCs w:val="4"/>
              </w:rPr>
            </w:pPr>
            <w:r>
              <w:rPr>
                <w:sz w:val="4"/>
                <w:szCs w:val="4"/>
              </w:rPr>
            </w:r>
          </w:p>
        </w:tc>
      </w:tr>
      <w:tr>
        <w:trPr>
          <w:trHeight w:val="240" w:hRule="atLeast"/>
        </w:trPr>
        <w:tc>
          <w:tcPr>
            <w:tcW w:w="4042" w:type="dxa"/>
            <w:tcBorders/>
            <w:vAlign w:val="center"/>
          </w:tcPr>
          <w:p>
            <w:pPr>
              <w:pStyle w:val="TableContents"/>
              <w:bidi w:val="0"/>
              <w:spacing w:before="0" w:after="283"/>
              <w:jc w:val="left"/>
              <w:rPr>
                <w:sz w:val="4"/>
                <w:szCs w:val="4"/>
              </w:rPr>
            </w:pPr>
            <w:r>
              <w:rPr>
                <w:sz w:val="4"/>
                <w:szCs w:val="4"/>
              </w:rPr>
            </w:r>
          </w:p>
        </w:tc>
        <w:tc>
          <w:tcPr>
            <w:tcW w:w="6163" w:type="dxa"/>
            <w:gridSpan w:val="2"/>
            <w:tcBorders/>
            <w:vAlign w:val="center"/>
          </w:tcPr>
          <w:p>
            <w:pPr>
              <w:pStyle w:val="TableContents"/>
              <w:bidi w:val="0"/>
              <w:spacing w:before="0" w:after="283"/>
              <w:jc w:val="left"/>
              <w:rPr>
                <w:sz w:val="4"/>
                <w:szCs w:val="4"/>
              </w:rPr>
            </w:pPr>
            <w:r>
              <w:rPr>
                <w:sz w:val="4"/>
                <w:szCs w:val="4"/>
              </w:rPr>
            </w:r>
          </w:p>
        </w:tc>
      </w:tr>
      <w:tr>
        <w:trPr/>
        <w:tc>
          <w:tcPr>
            <w:tcW w:w="4042"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James R. Perry</w:t>
            </w:r>
          </w:p>
        </w:tc>
        <w:tc>
          <w:tcPr>
            <w:tcW w:w="124" w:type="dxa"/>
            <w:tcBorders/>
            <w:vAlign w:val="bottom"/>
          </w:tcPr>
          <w:p>
            <w:pPr>
              <w:pStyle w:val="TableContents"/>
              <w:bidi w:val="0"/>
              <w:spacing w:before="0" w:after="283"/>
              <w:jc w:val="left"/>
              <w:rPr/>
            </w:pPr>
            <w:r>
              <w:rPr/>
              <w:t>  </w:t>
            </w:r>
          </w:p>
        </w:tc>
        <w:tc>
          <w:tcPr>
            <w:tcW w:w="6039" w:type="dxa"/>
            <w:tcBorders/>
          </w:tcPr>
          <w:p>
            <w:pPr>
              <w:pStyle w:val="TableContents"/>
              <w:bidi w:val="0"/>
              <w:spacing w:before="0" w:after="283"/>
              <w:jc w:val="center"/>
              <w:rPr/>
            </w:pPr>
            <w:r>
              <w:rPr/>
              <w:t>Director</w:t>
            </w:r>
          </w:p>
        </w:tc>
      </w:tr>
      <w:tr>
        <w:trPr/>
        <w:tc>
          <w:tcPr>
            <w:tcW w:w="4042" w:type="dxa"/>
            <w:tcBorders/>
          </w:tcPr>
          <w:p>
            <w:pPr>
              <w:pStyle w:val="TableContents"/>
              <w:bidi w:val="0"/>
              <w:spacing w:before="0" w:after="283"/>
              <w:jc w:val="center"/>
              <w:rPr/>
            </w:pPr>
            <w:r>
              <w:rPr/>
              <w:t>James R. Perry</w:t>
            </w:r>
          </w:p>
        </w:tc>
        <w:tc>
          <w:tcPr>
            <w:tcW w:w="124" w:type="dxa"/>
            <w:tcBorders/>
            <w:vAlign w:val="bottom"/>
          </w:tcPr>
          <w:p>
            <w:pPr>
              <w:pStyle w:val="TableContents"/>
              <w:bidi w:val="0"/>
              <w:spacing w:before="0" w:after="283"/>
              <w:jc w:val="left"/>
              <w:rPr/>
            </w:pPr>
            <w:r>
              <w:rPr/>
              <w:t>  </w:t>
            </w:r>
          </w:p>
        </w:tc>
        <w:tc>
          <w:tcPr>
            <w:tcW w:w="6039" w:type="dxa"/>
            <w:tcBorders/>
          </w:tcPr>
          <w:p>
            <w:pPr>
              <w:pStyle w:val="TableContents"/>
              <w:bidi w:val="0"/>
              <w:spacing w:before="0" w:after="283"/>
              <w:jc w:val="left"/>
              <w:rPr>
                <w:sz w:val="4"/>
                <w:szCs w:val="4"/>
              </w:rPr>
            </w:pPr>
            <w:r>
              <w:rPr>
                <w:sz w:val="4"/>
                <w:szCs w:val="4"/>
              </w:rPr>
            </w:r>
          </w:p>
        </w:tc>
      </w:tr>
      <w:tr>
        <w:trPr>
          <w:trHeight w:val="240" w:hRule="atLeast"/>
        </w:trPr>
        <w:tc>
          <w:tcPr>
            <w:tcW w:w="4042" w:type="dxa"/>
            <w:tcBorders/>
            <w:vAlign w:val="center"/>
          </w:tcPr>
          <w:p>
            <w:pPr>
              <w:pStyle w:val="TableContents"/>
              <w:bidi w:val="0"/>
              <w:spacing w:before="0" w:after="283"/>
              <w:jc w:val="left"/>
              <w:rPr>
                <w:sz w:val="4"/>
                <w:szCs w:val="4"/>
              </w:rPr>
            </w:pPr>
            <w:r>
              <w:rPr>
                <w:sz w:val="4"/>
                <w:szCs w:val="4"/>
              </w:rPr>
            </w:r>
          </w:p>
        </w:tc>
        <w:tc>
          <w:tcPr>
            <w:tcW w:w="6163" w:type="dxa"/>
            <w:gridSpan w:val="2"/>
            <w:tcBorders/>
            <w:vAlign w:val="center"/>
          </w:tcPr>
          <w:p>
            <w:pPr>
              <w:pStyle w:val="TableContents"/>
              <w:bidi w:val="0"/>
              <w:spacing w:before="0" w:after="283"/>
              <w:jc w:val="left"/>
              <w:rPr>
                <w:sz w:val="4"/>
                <w:szCs w:val="4"/>
              </w:rPr>
            </w:pPr>
            <w:r>
              <w:rPr>
                <w:sz w:val="4"/>
                <w:szCs w:val="4"/>
              </w:rPr>
            </w:r>
          </w:p>
        </w:tc>
      </w:tr>
      <w:tr>
        <w:trPr/>
        <w:tc>
          <w:tcPr>
            <w:tcW w:w="4042"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Matthew S. Ramsey</w:t>
            </w:r>
          </w:p>
        </w:tc>
        <w:tc>
          <w:tcPr>
            <w:tcW w:w="124" w:type="dxa"/>
            <w:tcBorders/>
            <w:vAlign w:val="bottom"/>
          </w:tcPr>
          <w:p>
            <w:pPr>
              <w:pStyle w:val="TableContents"/>
              <w:bidi w:val="0"/>
              <w:spacing w:before="0" w:after="283"/>
              <w:jc w:val="left"/>
              <w:rPr/>
            </w:pPr>
            <w:r>
              <w:rPr/>
              <w:t>  </w:t>
            </w:r>
          </w:p>
        </w:tc>
        <w:tc>
          <w:tcPr>
            <w:tcW w:w="6039" w:type="dxa"/>
            <w:tcBorders/>
          </w:tcPr>
          <w:p>
            <w:pPr>
              <w:pStyle w:val="TableContents"/>
              <w:bidi w:val="0"/>
              <w:spacing w:before="0" w:after="283"/>
              <w:jc w:val="center"/>
              <w:rPr/>
            </w:pPr>
            <w:r>
              <w:rPr/>
              <w:t>Director</w:t>
            </w:r>
          </w:p>
        </w:tc>
      </w:tr>
      <w:tr>
        <w:trPr/>
        <w:tc>
          <w:tcPr>
            <w:tcW w:w="4042" w:type="dxa"/>
            <w:tcBorders/>
          </w:tcPr>
          <w:p>
            <w:pPr>
              <w:pStyle w:val="TableContents"/>
              <w:bidi w:val="0"/>
              <w:spacing w:before="0" w:after="283"/>
              <w:jc w:val="center"/>
              <w:rPr/>
            </w:pPr>
            <w:r>
              <w:rPr/>
              <w:t>Matthew S. Ramsey</w:t>
            </w:r>
          </w:p>
        </w:tc>
        <w:tc>
          <w:tcPr>
            <w:tcW w:w="124" w:type="dxa"/>
            <w:tcBorders/>
            <w:vAlign w:val="bottom"/>
          </w:tcPr>
          <w:p>
            <w:pPr>
              <w:pStyle w:val="TableContents"/>
              <w:bidi w:val="0"/>
              <w:spacing w:before="0" w:after="283"/>
              <w:jc w:val="left"/>
              <w:rPr/>
            </w:pPr>
            <w:r>
              <w:rPr/>
              <w:t>  </w:t>
            </w:r>
          </w:p>
        </w:tc>
        <w:tc>
          <w:tcPr>
            <w:tcW w:w="603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right"/>
        <w:rPr>
          <w:rFonts w:ascii="Times New Roman" w:hAnsi="Times New Roman"/>
          <w:b/>
          <w:sz w:val="20"/>
        </w:rPr>
      </w:pPr>
      <w:bookmarkStart w:id="3" w:name="d136819dex51.htm"/>
      <w:bookmarkStart w:id="4" w:name="ksd136819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92405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1924050" cy="4095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July 17, 2026 </w:t>
      </w:r>
    </w:p>
    <w:p>
      <w:pPr>
        <w:pStyle w:val="TextBody"/>
        <w:bidi w:val="0"/>
        <w:spacing w:before="240" w:after="0"/>
        <w:jc w:val="left"/>
        <w:rPr>
          <w:rFonts w:ascii="Times New Roman" w:hAnsi="Times New Roman"/>
          <w:sz w:val="20"/>
        </w:rPr>
      </w:pPr>
      <w:r>
        <w:rPr>
          <w:rFonts w:ascii="Times New Roman" w:hAnsi="Times New Roman"/>
          <w:sz w:val="20"/>
        </w:rPr>
        <w:t xml:space="preserve">Energy Transfer LP </w:t>
      </w:r>
    </w:p>
    <w:p>
      <w:pPr>
        <w:pStyle w:val="TextBody"/>
        <w:bidi w:val="0"/>
        <w:spacing w:before="0" w:after="0"/>
        <w:jc w:val="left"/>
        <w:rPr>
          <w:rFonts w:ascii="Times New Roman" w:hAnsi="Times New Roman"/>
          <w:sz w:val="20"/>
        </w:rPr>
      </w:pPr>
      <w:r>
        <w:rPr>
          <w:rFonts w:ascii="Times New Roman" w:hAnsi="Times New Roman"/>
          <w:sz w:val="20"/>
        </w:rPr>
        <w:t xml:space="preserve">8111 Westchester Drive, Suite 600 </w:t>
      </w:r>
    </w:p>
    <w:p>
      <w:pPr>
        <w:pStyle w:val="TextBody"/>
        <w:bidi w:val="0"/>
        <w:spacing w:before="0" w:after="0"/>
        <w:jc w:val="left"/>
        <w:rPr>
          <w:rFonts w:ascii="Times New Roman" w:hAnsi="Times New Roman"/>
          <w:sz w:val="20"/>
        </w:rPr>
      </w:pPr>
      <w:r>
        <w:rPr>
          <w:rFonts w:ascii="Times New Roman" w:hAnsi="Times New Roman"/>
          <w:sz w:val="20"/>
        </w:rPr>
        <w:t>Dallas, Texas 75225</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for Energy Transfer LP, a Texas limited partnership (the “Company”), as successor to Energy Transfer LP, a Delaware limited partnership (the “Delaware Partnership”), in connection with the Post-Effective Amendments to the following registration statements on Form S-8 previously filed with the Securities and Exchange Commission by the Delaware Partnership (collectively, the “Registration Statements”): (i) File No. 333-251923, (ii) File No. 333-261502, and (iii) File No. 333-275904 under the Securities Act of 1933, as amended (the “Act”). The Registration Statements relate to the registration under the Act of the Company’s common units (the “Units”), issuable in respect of awards under the Incentive Plan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On July 6, 2026, the Company changed its state of domicile from the State of Delaware to the State of Texas pursuant to a Plan of Conversion (the “Redomiciliation”). As part of the Redomiciliation, all compensation or benefit plans of the Delaware Partnership in effect immediately prior to the Redomiciliation continue to be compensation or benefit plans of the Company following the Redomiciliation, including the Amended and Restated Energy Transfer LP Long-Term Incentive Plan (including any schedules or appendices thereto, as amended from time to time, the “Incentive Plan”). Additionally, each equity-based award relating to the common units of the Delaware Partnership granted by the Delaware Partnership pursuant to the Incentive Plan (collectively, the “Delaware Partnership Incentive Awards”) that was outstanding immediately prior to the Redomiciliation converted to an equivalent award of the Company (collectively, the “Company Incentive Awards”) pursuant to the Incentive Plan. The Company Incentive Awards are subject to substantially the same terms and conditions as the Delaware Partnership Incentive Awards. </w:t>
      </w:r>
    </w:p>
    <w:p>
      <w:pPr>
        <w:pStyle w:val="TextBody"/>
        <w:bidi w:val="0"/>
        <w:spacing w:before="240" w:after="0"/>
        <w:jc w:val="left"/>
        <w:rPr>
          <w:rFonts w:ascii="Times New Roman" w:hAnsi="Times New Roman"/>
          <w:sz w:val="20"/>
        </w:rPr>
      </w:pPr>
      <w:r>
        <w:rPr>
          <w:rFonts w:ascii="Times New Roman" w:hAnsi="Times New Roman"/>
          <w:sz w:val="20"/>
        </w:rPr>
        <w:t xml:space="preserve">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Statements; (ii) certain resolutions adopted by the board of directors of the Company; (iii) the Incentive Plan; and (iv) such other certificates, instruments, and documents as we have considered necessary for purposes of this opinion letter. As to any facts material to our opinions, we have made no independent investigation or verification of such facts and have relied, to the extent that we deem such reliance proper, upon certificates of public officials and officers or other representatives of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46"/>
        <w:gridCol w:w="123"/>
        <w:gridCol w:w="4336"/>
      </w:tblGrid>
      <w:tr>
        <w:trPr/>
        <w:tc>
          <w:tcPr>
            <w:tcW w:w="574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5746" w:type="dxa"/>
            <w:tcBorders/>
          </w:tcPr>
          <w:p>
            <w:pPr>
              <w:pStyle w:val="TableContents"/>
              <w:bidi w:val="0"/>
              <w:spacing w:before="0" w:after="283"/>
              <w:jc w:val="left"/>
              <w:rPr>
                <w:b/>
              </w:rPr>
            </w:pPr>
            <w:r>
              <w:rPr>
                <w:b/>
              </w:rPr>
              <w:t>Vinson &amp; Elkins LLP Attorneys at Law</w:t>
            </w:r>
          </w:p>
        </w:tc>
        <w:tc>
          <w:tcPr>
            <w:tcW w:w="123" w:type="dxa"/>
            <w:tcBorders/>
            <w:vAlign w:val="bottom"/>
          </w:tcPr>
          <w:p>
            <w:pPr>
              <w:pStyle w:val="TableContents"/>
              <w:bidi w:val="0"/>
              <w:spacing w:before="0" w:after="283"/>
              <w:jc w:val="left"/>
              <w:rPr/>
            </w:pPr>
            <w:r>
              <w:rPr/>
              <w:t>  </w:t>
            </w:r>
          </w:p>
        </w:tc>
        <w:tc>
          <w:tcPr>
            <w:tcW w:w="4336" w:type="dxa"/>
            <w:tcBorders/>
          </w:tcPr>
          <w:p>
            <w:pPr>
              <w:pStyle w:val="TableContents"/>
              <w:bidi w:val="0"/>
              <w:spacing w:before="0" w:after="283"/>
              <w:jc w:val="left"/>
              <w:rPr/>
            </w:pPr>
            <w:r>
              <w:rPr/>
              <w:t>Texas Tower, 845 Texas Avenue, Suite 4700</w:t>
            </w:r>
          </w:p>
        </w:tc>
      </w:tr>
      <w:tr>
        <w:trPr>
          <w:trHeight w:val="120" w:hRule="atLeast"/>
        </w:trPr>
        <w:tc>
          <w:tcPr>
            <w:tcW w:w="5746" w:type="dxa"/>
            <w:tcBorders/>
            <w:vAlign w:val="center"/>
          </w:tcPr>
          <w:p>
            <w:pPr>
              <w:pStyle w:val="TableContents"/>
              <w:bidi w:val="0"/>
              <w:spacing w:before="0" w:after="283"/>
              <w:jc w:val="left"/>
              <w:rPr>
                <w:sz w:val="4"/>
                <w:szCs w:val="4"/>
              </w:rPr>
            </w:pPr>
            <w:r>
              <w:rPr>
                <w:sz w:val="4"/>
                <w:szCs w:val="4"/>
              </w:rPr>
            </w:r>
          </w:p>
        </w:tc>
        <w:tc>
          <w:tcPr>
            <w:tcW w:w="4459" w:type="dxa"/>
            <w:gridSpan w:val="2"/>
            <w:tcBorders/>
            <w:vAlign w:val="center"/>
          </w:tcPr>
          <w:p>
            <w:pPr>
              <w:pStyle w:val="TableContents"/>
              <w:bidi w:val="0"/>
              <w:spacing w:before="0" w:after="283"/>
              <w:jc w:val="left"/>
              <w:rPr>
                <w:sz w:val="4"/>
                <w:szCs w:val="4"/>
              </w:rPr>
            </w:pPr>
            <w:r>
              <w:rPr>
                <w:sz w:val="4"/>
                <w:szCs w:val="4"/>
              </w:rPr>
            </w:r>
          </w:p>
        </w:tc>
      </w:tr>
      <w:tr>
        <w:trPr/>
        <w:tc>
          <w:tcPr>
            <w:tcW w:w="5746" w:type="dxa"/>
            <w:tcBorders/>
          </w:tcPr>
          <w:p>
            <w:pPr>
              <w:pStyle w:val="TableContents"/>
              <w:bidi w:val="0"/>
              <w:spacing w:before="0" w:after="283"/>
              <w:jc w:val="left"/>
              <w:rPr/>
            </w:pPr>
            <w:r>
              <w:rPr/>
              <w:t>Austin Brussels Dallas Denver Dubai Dublin Houston London</w:t>
            </w:r>
          </w:p>
        </w:tc>
        <w:tc>
          <w:tcPr>
            <w:tcW w:w="123" w:type="dxa"/>
            <w:tcBorders/>
            <w:vAlign w:val="bottom"/>
          </w:tcPr>
          <w:p>
            <w:pPr>
              <w:pStyle w:val="TableContents"/>
              <w:bidi w:val="0"/>
              <w:spacing w:before="0" w:after="283"/>
              <w:jc w:val="left"/>
              <w:rPr/>
            </w:pPr>
            <w:r>
              <w:rPr/>
              <w:t>  </w:t>
            </w:r>
          </w:p>
        </w:tc>
        <w:tc>
          <w:tcPr>
            <w:tcW w:w="4336" w:type="dxa"/>
            <w:tcBorders/>
          </w:tcPr>
          <w:p>
            <w:pPr>
              <w:pStyle w:val="TableContents"/>
              <w:bidi w:val="0"/>
              <w:spacing w:before="0" w:after="283"/>
              <w:jc w:val="left"/>
              <w:rPr/>
            </w:pPr>
            <w:r>
              <w:rPr/>
              <w:t>Houston, TX 77002</w:t>
            </w:r>
          </w:p>
        </w:tc>
      </w:tr>
      <w:tr>
        <w:trPr>
          <w:trHeight w:val="120" w:hRule="atLeast"/>
        </w:trPr>
        <w:tc>
          <w:tcPr>
            <w:tcW w:w="5746" w:type="dxa"/>
            <w:tcBorders/>
            <w:vAlign w:val="center"/>
          </w:tcPr>
          <w:p>
            <w:pPr>
              <w:pStyle w:val="TableContents"/>
              <w:bidi w:val="0"/>
              <w:spacing w:before="0" w:after="283"/>
              <w:jc w:val="left"/>
              <w:rPr>
                <w:sz w:val="4"/>
                <w:szCs w:val="4"/>
              </w:rPr>
            </w:pPr>
            <w:r>
              <w:rPr>
                <w:sz w:val="4"/>
                <w:szCs w:val="4"/>
              </w:rPr>
            </w:r>
          </w:p>
        </w:tc>
        <w:tc>
          <w:tcPr>
            <w:tcW w:w="4459" w:type="dxa"/>
            <w:gridSpan w:val="2"/>
            <w:tcBorders/>
            <w:vAlign w:val="center"/>
          </w:tcPr>
          <w:p>
            <w:pPr>
              <w:pStyle w:val="TableContents"/>
              <w:bidi w:val="0"/>
              <w:spacing w:before="0" w:after="283"/>
              <w:jc w:val="left"/>
              <w:rPr>
                <w:sz w:val="4"/>
                <w:szCs w:val="4"/>
              </w:rPr>
            </w:pPr>
            <w:r>
              <w:rPr>
                <w:sz w:val="4"/>
                <w:szCs w:val="4"/>
              </w:rPr>
            </w:r>
          </w:p>
        </w:tc>
      </w:tr>
      <w:tr>
        <w:trPr/>
        <w:tc>
          <w:tcPr>
            <w:tcW w:w="5746" w:type="dxa"/>
            <w:tcBorders/>
          </w:tcPr>
          <w:p>
            <w:pPr>
              <w:pStyle w:val="TableContents"/>
              <w:bidi w:val="0"/>
              <w:spacing w:before="0" w:after="283"/>
              <w:jc w:val="left"/>
              <w:rPr/>
            </w:pPr>
            <w:r>
              <w:rPr/>
              <w:t>Los Angeles New York Richmond San Francisco Tokyo Washington</w:t>
            </w:r>
          </w:p>
        </w:tc>
        <w:tc>
          <w:tcPr>
            <w:tcW w:w="123" w:type="dxa"/>
            <w:tcBorders/>
            <w:vAlign w:val="bottom"/>
          </w:tcPr>
          <w:p>
            <w:pPr>
              <w:pStyle w:val="TableContents"/>
              <w:bidi w:val="0"/>
              <w:spacing w:before="0" w:after="283"/>
              <w:jc w:val="left"/>
              <w:rPr/>
            </w:pPr>
            <w:r>
              <w:rPr/>
              <w:t>  </w:t>
            </w:r>
          </w:p>
        </w:tc>
        <w:tc>
          <w:tcPr>
            <w:tcW w:w="4336" w:type="dxa"/>
            <w:tcBorders/>
          </w:tcPr>
          <w:p>
            <w:pPr>
              <w:pStyle w:val="TableContents"/>
              <w:bidi w:val="0"/>
              <w:spacing w:before="0" w:after="283"/>
              <w:jc w:val="left"/>
              <w:rPr/>
            </w:pPr>
            <w:r>
              <w:rPr>
                <w:b/>
              </w:rPr>
              <w:t>Tel</w:t>
            </w:r>
            <w:r>
              <w:rPr/>
              <w:t xml:space="preserve"> +1.713.758.2222 </w:t>
            </w:r>
            <w:r>
              <w:rPr>
                <w:b/>
              </w:rPr>
              <w:t>Fax</w:t>
            </w:r>
            <w:r>
              <w:rPr/>
              <w:t xml:space="preserve"> +1.713.758.2346 velaw.com</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93"/>
        <w:gridCol w:w="124"/>
        <w:gridCol w:w="4888"/>
      </w:tblGrid>
      <w:tr>
        <w:trPr/>
        <w:tc>
          <w:tcPr>
            <w:tcW w:w="519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88" w:type="dxa"/>
            <w:tcBorders/>
            <w:vAlign w:val="center"/>
          </w:tcPr>
          <w:p>
            <w:pPr>
              <w:pStyle w:val="TableContents"/>
              <w:bidi w:val="0"/>
              <w:spacing w:before="0" w:after="283"/>
              <w:jc w:val="left"/>
              <w:rPr>
                <w:sz w:val="4"/>
                <w:szCs w:val="4"/>
              </w:rPr>
            </w:pPr>
            <w:r>
              <w:rPr>
                <w:sz w:val="4"/>
                <w:szCs w:val="4"/>
              </w:rPr>
            </w:r>
          </w:p>
        </w:tc>
      </w:tr>
      <w:tr>
        <w:trPr/>
        <w:tc>
          <w:tcPr>
            <w:tcW w:w="5193" w:type="dxa"/>
            <w:tcBorders/>
          </w:tcPr>
          <w:p>
            <w:pPr>
              <w:pStyle w:val="TableContents"/>
              <w:bidi w:val="0"/>
              <w:spacing w:before="0" w:after="283"/>
              <w:jc w:val="left"/>
              <w:rPr/>
            </w:pPr>
            <w:r>
              <w:rPr/>
              <w:drawing>
                <wp:inline distT="0" distB="0" distL="0" distR="0">
                  <wp:extent cx="62865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628650" cy="342900"/>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right"/>
              <w:rPr/>
            </w:pPr>
            <w:r>
              <w:rPr>
                <w:b/>
              </w:rPr>
              <w:t>Energy Transfer LP</w:t>
            </w:r>
            <w:r>
              <w:rPr/>
              <w:t xml:space="preserve"> July 17, 2026 Page 2</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(vi) that all information contained in all documents reviewed by us is true, correct and complete; and (vii) that the Units will be issued in accordance with the terms of the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limitations set forth herein, and having due regard for the legal considerations we deem relevant, we are of the opinion that the Units have been duly authorized and, when the Units are issued by the Company in accordance with the terms of the Incentive Plan and the instruments executed pursuant to the Incentive Plan, as applicable, that govern the awards to which any Units relate, the Units will be validly issued and, under the Texas Business Organizations Code (the “TBOC”), the holders of such Units will have no obligation to make further payments for ownership of such Units or contributions to the Company solely by reason of their ownership of Units or their status as limited partners of the Company, and no personal liability for the debts, obligations and liabilities of the Company, whether arising in contract, tort or otherwise, solely by reason of being limited partners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in all respects to the TBOC. We express no opinion as to any other law or any matter other than as expressly set forth above, and no opinion as to any other law or matter may be inferred or implied herefrom. The opinions expressed herein are rendered as of the date hereof and we expressly disclaim any obligation to update this letter or advise you of any change in any matter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may be filed as an exhibit to the Registration Statements. In giving this consent, we do not thereby admit that we come within the category of persons whose consent is required under Section 7 of the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Vinson &amp; Elkins L.L.P.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Vinson &amp; Elkins L.L.P.</w:t>
            </w:r>
          </w:p>
        </w:tc>
      </w:tr>
    </w:tbl>
    <w:p>
      <w:pPr>
        <w:pStyle w:val="TextBody"/>
        <w:bidi w:val="0"/>
        <w:spacing w:before="0" w:after="0"/>
        <w:jc w:val="right"/>
        <w:rPr>
          <w:rFonts w:ascii="Times New Roman" w:hAnsi="Times New Roman"/>
          <w:b/>
          <w:sz w:val="20"/>
        </w:rPr>
      </w:pPr>
      <w:bookmarkStart w:id="5" w:name="d136819dex231.htm"/>
      <w:bookmarkStart w:id="6" w:name="ksd136819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issued our reports dated February 19, 2026, with respect to the consolidated financial statements and internal control over financial reporting of Energy Transfer LP included in the Annual Report on Form 10-K for the year ended December 31, 2025, which are incorporated by reference in these Registration Statements. We consent to the incorporation by reference of the aforementioned reports in these Registration Statements. </w:t>
      </w:r>
    </w:p>
    <w:p>
      <w:pPr>
        <w:pStyle w:val="TextBody"/>
        <w:bidi w:val="0"/>
        <w:spacing w:before="240" w:after="0"/>
        <w:jc w:val="left"/>
        <w:rPr>
          <w:rFonts w:ascii="Times New Roman" w:hAnsi="Times New Roman"/>
          <w:sz w:val="20"/>
        </w:rPr>
      </w:pPr>
      <w:r>
        <w:rPr>
          <w:rFonts w:ascii="Times New Roman" w:hAnsi="Times New Roman"/>
          <w:sz w:val="20"/>
        </w:rPr>
        <w:t xml:space="preserve">/s/ GRANT THORNTON LLP </w:t>
      </w:r>
    </w:p>
    <w:p>
      <w:pPr>
        <w:pStyle w:val="TextBody"/>
        <w:bidi w:val="0"/>
        <w:spacing w:before="240" w:after="0"/>
        <w:jc w:val="left"/>
        <w:rPr>
          <w:rFonts w:ascii="Times New Roman" w:hAnsi="Times New Roman"/>
          <w:sz w:val="20"/>
        </w:rPr>
      </w:pPr>
      <w:r>
        <w:rPr>
          <w:rFonts w:ascii="Times New Roman" w:hAnsi="Times New Roman"/>
          <w:sz w:val="20"/>
        </w:rPr>
        <w:t xml:space="preserve">Dallas, Texas </w:t>
      </w:r>
    </w:p>
    <w:p>
      <w:pPr>
        <w:pStyle w:val="TextBody"/>
        <w:bidi w:val="0"/>
        <w:spacing w:before="0" w:after="0"/>
        <w:jc w:val="left"/>
        <w:rPr>
          <w:rFonts w:ascii="Times New Roman" w:hAnsi="Times New Roman"/>
          <w:sz w:val="20"/>
        </w:rPr>
      </w:pPr>
      <w:r>
        <w:rPr>
          <w:rFonts w:ascii="Times New Roman" w:hAnsi="Times New Roman"/>
          <w:sz w:val="20"/>
        </w:rPr>
        <w:t xml:space="preserve">July 17,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76187/000119312521003299/d102108ds8.htm" TargetMode="External"/><Relationship Id="rId3" Type="http://schemas.openxmlformats.org/officeDocument/2006/relationships/hyperlink" Target="http://www.sec.gov/Archives/edgar/data/1276187/000119312521348047/d275565ds8.htm" TargetMode="External"/><Relationship Id="rId4" Type="http://schemas.openxmlformats.org/officeDocument/2006/relationships/hyperlink" Target="http://www.sec.gov/Archives/edgar/data/1276187/000119312523289312/d627703ds8.htm" TargetMode="External"/><Relationship Id="rId5" Type="http://schemas.openxmlformats.org/officeDocument/2006/relationships/hyperlink" Target="http://www.sec.gov/Archives/edgar/data/../../../ix?doc=/Archives/edgar/data/1276187/000127618726000013/et-20251231.htm" TargetMode="External"/><Relationship Id="rId6" Type="http://schemas.openxmlformats.org/officeDocument/2006/relationships/hyperlink" Target="http://www.sec.gov/Archives/edgar/data/../../../ix?doc=/Archives/edgar/data/1276187/000127618726000026/et-20260331.htm" TargetMode="External"/><Relationship Id="rId7" Type="http://schemas.openxmlformats.org/officeDocument/2006/relationships/hyperlink" Target="http://www.sec.gov/Archives/edgar/data/../../../ix?doc=/Archives/edgar/data/1276187/000119312526011876/d91877d8k.htm" TargetMode="External"/><Relationship Id="rId8" Type="http://schemas.openxmlformats.org/officeDocument/2006/relationships/hyperlink" Target="http://www.sec.gov/Archives/edgar/data/../../../ix?doc=/Archives/edgar/data/1276187/000119312526024378/d64050d8k.htm" TargetMode="External"/><Relationship Id="rId9" Type="http://schemas.openxmlformats.org/officeDocument/2006/relationships/hyperlink" Target="http://www.sec.gov/Archives/edgar/data/../../../ix?doc=/Archives/edgar/data/1276187/000127618726000030/et-20260601.htm" TargetMode="External"/><Relationship Id="rId10" Type="http://schemas.openxmlformats.org/officeDocument/2006/relationships/hyperlink" Target="http://www.sec.gov/Archives/edgar/data/1276187/000119312526295529/d109647d8k12b.htm" TargetMode="External"/><Relationship Id="rId11" Type="http://schemas.openxmlformats.org/officeDocument/2006/relationships/hyperlink" Target="http://www.sec.gov/Archives/edgar/data/../../../ix?doc=/Archives/edgar/data/1276187/000119312526298149/d86030d8k.htm" TargetMode="External"/><Relationship Id="rId12" Type="http://schemas.openxmlformats.org/officeDocument/2006/relationships/hyperlink" Target="http://www.sec.gov/Archives/edgar/data/1276187/000119312526295529/d109647dex31.htm" TargetMode="External"/><Relationship Id="rId13" Type="http://schemas.openxmlformats.org/officeDocument/2006/relationships/hyperlink" Target="http://www.sec.gov/Archives/edgar/data/1276187/000119312526295529/d109647dex32.htm" TargetMode="External"/><Relationship Id="rId14" Type="http://schemas.openxmlformats.org/officeDocument/2006/relationships/hyperlink" Target="http://www.sec.gov/Archives/edgar/data/1276187/000127618718000011/eteex101ltip.htm" TargetMode="External"/><Relationship Id="rId15" Type="http://schemas.openxmlformats.org/officeDocument/2006/relationships/hyperlink" Target="http://www.sec.gov/Archives/edgar/data/1276187/000119312521003299/d102108dex992.htm" TargetMode="External"/><Relationship Id="rId16" Type="http://schemas.openxmlformats.org/officeDocument/2006/relationships/hyperlink" Target="http://www.sec.gov/Archives/edgar/data/1276187/000119312521003299/d102108dex993.htm" TargetMode="External"/><Relationship Id="rId17" Type="http://schemas.openxmlformats.org/officeDocument/2006/relationships/hyperlink" Target="http://www.sec.gov/Archives/edgar/data/1276187/000119312523289312/d627703dex44.htm" TargetMode="External"/><Relationship Id="rId18" Type="http://schemas.openxmlformats.org/officeDocument/2006/relationships/image" Target="media/image1.jpeg"/><Relationship Id="rId19" Type="http://schemas.openxmlformats.org/officeDocument/2006/relationships/image" Target="media/image2.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3687</Words>
  <Characters>19758</Characters>
  <CharactersWithSpaces>23484</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