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Washington, D. C. 20549</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36"/>
        </w:rPr>
      </w:pPr>
      <w:r>
        <w:rPr>
          <w:rFonts w:ascii="Times New Roman;serif" w:hAnsi="Times New Roman;serif"/>
          <w:b/>
          <w:color w:val="000000"/>
          <w:sz w:val="36"/>
        </w:rPr>
        <w:t>FORM 25</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NOTIFICATION OF REMOVAL FROM LISTING AND/OR REGISTRATION UNDER SECTION 12(b) OF THE SECURITIES EXCHANGE ACT OF 1934.</w:t>
      </w:r>
    </w:p>
    <w:p>
      <w:pPr>
        <w:pStyle w:val="TextBody"/>
        <w:bidi w:val="0"/>
        <w:spacing w:before="0" w:after="0"/>
        <w:jc w:val="center"/>
        <w:rPr/>
      </w:pPr>
      <w:r>
        <w:rPr/>
      </w:r>
    </w:p>
    <w:tbl>
      <w:tblPr>
        <w:tblW w:w="9252" w:type="dxa"/>
        <w:jc w:val="center"/>
        <w:tblInd w:w="0" w:type="dxa"/>
        <w:tblLayout w:type="fixed"/>
        <w:tblCellMar>
          <w:top w:w="28" w:type="dxa"/>
          <w:left w:w="28" w:type="dxa"/>
          <w:bottom w:w="28" w:type="dxa"/>
          <w:right w:w="28" w:type="dxa"/>
        </w:tblCellMar>
      </w:tblPr>
      <w:tblGrid>
        <w:gridCol w:w="341"/>
        <w:gridCol w:w="300"/>
        <w:gridCol w:w="300"/>
        <w:gridCol w:w="1997"/>
        <w:gridCol w:w="1997"/>
        <w:gridCol w:w="2002"/>
        <w:gridCol w:w="678"/>
        <w:gridCol w:w="678"/>
        <w:gridCol w:w="959"/>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1-32740</w:t>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ENERGY TRANSFER LP</w:t>
            </w:r>
          </w:p>
        </w:tc>
      </w:tr>
      <w:tr>
        <w:trPr/>
        <w:tc>
          <w:tcPr>
            <w:tcW w:w="92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92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Issuer as specified in its charter, and name of Exchange where security is listed and/or registered)</w:t>
            </w:r>
          </w:p>
        </w:tc>
      </w:tr>
      <w:tr>
        <w:trPr/>
        <w:tc>
          <w:tcPr>
            <w:tcW w:w="925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8111 Westchester Drive, Suite 600</w:t>
            </w:r>
          </w:p>
        </w:tc>
      </w:tr>
      <w:tr>
        <w:trPr/>
        <w:tc>
          <w:tcPr>
            <w:tcW w:w="9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Dallas, Texas 75225</w:t>
            </w:r>
          </w:p>
        </w:tc>
      </w:tr>
      <w:tr>
        <w:trPr/>
        <w:tc>
          <w:tcPr>
            <w:tcW w:w="92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(214) 981-0700</w:t>
            </w:r>
          </w:p>
        </w:tc>
      </w:tr>
      <w:tr>
        <w:trPr/>
        <w:tc>
          <w:tcPr>
            <w:tcW w:w="92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Issuer’s principal executive offices)</w:t>
            </w:r>
          </w:p>
        </w:tc>
      </w:tr>
      <w:tr>
        <w:trPr/>
        <w:tc>
          <w:tcPr>
            <w:tcW w:w="925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Units</w:t>
            </w:r>
          </w:p>
        </w:tc>
      </w:tr>
      <w:tr>
        <w:trPr/>
        <w:tc>
          <w:tcPr>
            <w:tcW w:w="92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9.250% Series I Fixed Rate Perpetual Preferred Units</w:t>
            </w:r>
          </w:p>
        </w:tc>
      </w:tr>
      <w:tr>
        <w:trPr/>
        <w:tc>
          <w:tcPr>
            <w:tcW w:w="92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 of class of securities)</w:t>
            </w:r>
          </w:p>
        </w:tc>
      </w:tr>
      <w:tr>
        <w:trPr/>
        <w:tc>
          <w:tcPr>
            <w:tcW w:w="925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Please place an X in the box to designate the rule provision relied upon to strike the class of securities from listing and registration: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66"/>
        <w:gridCol w:w="2853"/>
        <w:gridCol w:w="4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17 CFR 240.12d2-2(a)(1)</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17 CFR 240.12d2-2(a)(2)</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17 CFR 240.12d2-2(a)(3)</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17 CFR 240.12d2-2(a)(4)</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9"/>
              </w:rPr>
              <w:t>Pursuant to 17 CFR 240.12d2-2(b), the Exchange has complied with its rules to strike the class of securities from listing and/or withdraw registration on the Exchange.</w:t>
            </w:r>
            <w:r>
              <w:rPr>
                <w:rFonts w:ascii="Times New Roman;serif" w:hAnsi="Times New Roman;serif"/>
                <w:b w:val="false"/>
                <w:color w:val="000000"/>
                <w:sz w:val="12"/>
              </w:rPr>
              <w:t>1</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ingdings 2;sans-serif" w:hAnsi="Wingdings 2;sans-serif"/>
                <w:b w:val="false"/>
                <w:color w:val="000000"/>
                <w:sz w:val="24"/>
              </w:rPr>
            </w:pPr>
            <w:r>
              <w:rPr>
                <w:rFonts w:ascii="Wingdings 2;sans-serif" w:hAnsi="Wingdings 2;sans-serif"/>
                <w:b w:val="false"/>
                <w:color w:val="000000"/>
                <w:sz w:val="24"/>
              </w:rPr>
              <w:t>Q</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Pursuant to 17 CFR 240.12d2-2(c), the Issuer has complied with the rules of the Exchange and the requirements of 17 CFR 240.12d2-2(c) governing the voluntary withdrawal of the class of securities from listing and registration on the Exchange.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Energy Transfer LP certifies that it has reasonable grounds to believe that it meets all of the requirements for filing the Form 25 and has caused this notification to be signed on its behalf by the undersigned duly authorized person.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072515"/>
                <wp:effectExtent l="0" t="0" r="0" b="0"/>
                <wp:wrapNone/>
                <wp:docPr id="1" name="Frame1"/>
                <a:graphic xmlns:a="http://schemas.openxmlformats.org/drawingml/2006/main">
                  <a:graphicData uri="http://schemas.microsoft.com/office/word/2010/wordprocessingShape">
                    <wps:wsp>
                      <wps:cNvSpPr txBox="1"/>
                      <wps:spPr>
                        <a:xfrm>
                          <a:off x="0" y="0"/>
                          <a:ext cx="6480175" cy="1072515"/>
                        </a:xfrm>
                        <a:prstGeom prst="rect"/>
                        <a:solidFill>
                          <a:srgbClr val="FFFFFF"/>
                        </a:solidFill>
                      </wps:spPr>
                      <wps:txbx>
                        <w:txbxContent>
                          <w:p>
                            <w:pPr>
                              <w:pStyle w:val="TextBody"/>
                              <w:bidi w:val="0"/>
                              <w:spacing w:before="120" w:after="283"/>
                              <w:jc w:val="left"/>
                              <w:rPr/>
                            </w:pPr>
                            <w:r>
                              <w:rPr/>
                            </w:r>
                            <w:r>
                              <w:br w:type="page"/>
                            </w:r>
                          </w:p>
                          <w:p>
                            <w:pPr>
                              <w:pStyle w:val="TextBody"/>
                              <w:bidi w:val="0"/>
                              <w:spacing w:lineRule="auto" w:line="288" w:before="1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7"/>
                              </w:rPr>
                              <w:t>Form 25 and attached Notice will be considered compliance with the provisions of 17 CFR 240.19d-1 as applicable. See General Instructions.</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7"/>
                        </w:rPr>
                        <w:t>Form 25 and attached Notice will be considered compliance with the provisions of 17 CFR 240.19d-1 as applicable. See General Instructions.</w:t>
                      </w:r>
                    </w:p>
                    <w:p>
                      <w:pPr>
                        <w:pStyle w:val="TextBody"/>
                        <w:bidi w:val="0"/>
                        <w:spacing w:before="0" w:after="0"/>
                        <w:jc w:val="left"/>
                        <w:rPr/>
                      </w:pPr>
                      <w:r>
                        <w:rPr/>
                      </w:r>
                    </w:p>
                  </w:txbxContent>
                </v:textbox>
                <w10:wrap type="none"/>
              </v:rect>
            </w:pict>
          </mc:Fallback>
        </mc:AlternateContent>
      </w:r>
    </w:p>
    <w:tbl>
      <w:tblPr>
        <w:tblW w:w="8369"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365"/>
        <w:gridCol w:w="365"/>
        <w:gridCol w:w="365"/>
        <w:gridCol w:w="1449"/>
        <w:gridCol w:w="1449"/>
        <w:gridCol w:w="209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 TRANSFER 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 GP, LLC, its general partner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September 28, 2026</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Dylan A. Bramhall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Dylan A. Bramhall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Group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307</Words>
  <Characters>1649</Characters>
  <CharactersWithSpaces>1916</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