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4, 2022</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PANHANDLE EASTERN PIPE LINE COMPANY, LP</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981" w:right="339" w:bottom="1440" w:gutter="0" w:footer="0" w:header="0"/>
        </w:sectPr>
      </w:pPr>
    </w:p>
    <w:p>
      <w:pPr>
        <w:spacing w:after="0" w:line="259"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1-2921</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44-0382470</w:t>
      </w:r>
    </w:p>
    <w:p>
      <w:pPr>
        <w:spacing w:after="0" w:line="48" w:lineRule="exact"/>
        <w:rPr>
          <w:sz w:val="24"/>
          <w:szCs w:val="24"/>
          <w:color w:val="auto"/>
        </w:rPr>
      </w:pPr>
    </w:p>
    <w:p>
      <w:pPr>
        <w:sectPr>
          <w:pgSz w:w="11900" w:h="16838" w:orient="portrait"/>
          <w:cols w:equalWidth="0" w:num="3">
            <w:col w:w="4660" w:space="720"/>
            <w:col w:w="2380" w:space="720"/>
            <w:col w:w="2760"/>
          </w:cols>
          <w:pgMar w:left="320" w:top="981" w:right="339" w:bottom="1440" w:gutter="0" w:footer="0" w:header="0"/>
          <w:type w:val="continuous"/>
        </w:sectPr>
      </w:pPr>
    </w:p>
    <w:p>
      <w:pPr>
        <w:jc w:val="center"/>
        <w:ind w:left="7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320" w:space="720"/>
            <w:col w:w="3560"/>
          </w:cols>
          <w:pgMar w:left="320" w:top="981" w:right="339" w:bottom="1440" w:gutter="0" w:footer="0" w:header="0"/>
          <w:type w:val="continuous"/>
        </w:sect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93" w:lineRule="exact"/>
        <w:rPr>
          <w:sz w:val="24"/>
          <w:szCs w:val="24"/>
          <w:color w:val="auto"/>
        </w:rPr>
      </w:pPr>
    </w:p>
    <w:p>
      <w:pPr>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5" w:lineRule="exact"/>
        <w:rPr>
          <w:rFonts w:ascii="MS PGothic" w:cs="MS PGothic" w:eastAsia="MS PGothic" w:hAnsi="MS PGothic"/>
          <w:sz w:val="18"/>
          <w:szCs w:val="18"/>
          <w:color w:val="auto"/>
        </w:rPr>
      </w:pPr>
    </w:p>
    <w:p>
      <w:pPr>
        <w:ind w:left="560" w:hanging="55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58"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3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4, 2022, Energy Transfer LP (the "Partnership"), which owns 100% of Energy Transfer Interstate Holdings, LLC, which indirectly owns 100% of the equity interests of Panhandle Eastern Pipe Line Company, LP (the “Company”), issued a press release announcing the financial and operating results of Energy Transfer LP, including certain financial results of the Company, for the first fiscal quarter ended March 31, 2022. A copy of the Partnership's press release is furnished as Exhibit 99.1 to this report and is incorporated herein by reference.</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99.1 is deemed to be “furnished” and shall not be deemed to be “filed” for purposes of Section 18 of the Exchange Act.</w:t>
      </w:r>
    </w:p>
    <w:p>
      <w:pPr>
        <w:spacing w:after="0" w:line="1"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325" w:lineRule="exact"/>
        <w:rPr>
          <w:sz w:val="20"/>
          <w:szCs w:val="20"/>
          <w:color w:val="auto"/>
        </w:rPr>
      </w:pPr>
    </w:p>
    <w:p>
      <w:pPr>
        <w:ind w:firstLine="6"/>
        <w:spacing w:after="0" w:line="269" w:lineRule="auto"/>
        <w:tabs>
          <w:tab w:leader="none" w:pos="2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In accordance with General Instruction B.2 of Form 8-K, the information set forth in the attached Exhibit 99.1 is deemed to be “furnished”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be “filed” for purposes of Section 18 of the Exchange Act.</w:t>
      </w: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w w:val="89"/>
              </w:rPr>
              <w:t>Exhibit</w:t>
            </w:r>
          </w:p>
        </w:tc>
        <w:tc>
          <w:tcPr>
            <w:tcW w:w="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640" w:type="dxa"/>
            <w:vAlign w:val="bottom"/>
          </w:tcPr>
          <w:p>
            <w:pPr>
              <w:spacing w:after="0"/>
              <w:rPr>
                <w:sz w:val="16"/>
                <w:szCs w:val="16"/>
                <w:color w:val="auto"/>
              </w:rPr>
            </w:pPr>
          </w:p>
        </w:tc>
      </w:tr>
      <w:tr>
        <w:trPr>
          <w:trHeight w:val="153"/>
        </w:trPr>
        <w:tc>
          <w:tcPr>
            <w:tcW w:w="660" w:type="dxa"/>
            <w:vAlign w:val="bottom"/>
          </w:tcPr>
          <w:p>
            <w:pPr>
              <w:spacing w:after="0"/>
              <w:rPr>
                <w:sz w:val="13"/>
                <w:szCs w:val="13"/>
                <w:color w:val="auto"/>
              </w:rPr>
            </w:pPr>
          </w:p>
        </w:tc>
        <w:tc>
          <w:tcPr>
            <w:tcW w:w="640" w:type="dxa"/>
            <w:vAlign w:val="bottom"/>
            <w:tcBorders>
              <w:bottom w:val="single" w:sz="8" w:color="auto"/>
            </w:tcBorders>
          </w:tcPr>
          <w:p>
            <w:pPr>
              <w:spacing w:after="0" w:line="153"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960" w:type="dxa"/>
            <w:vAlign w:val="bottom"/>
            <w:tcBorders>
              <w:bottom w:val="single" w:sz="8" w:color="auto"/>
            </w:tcBorders>
          </w:tcPr>
          <w:p>
            <w:pPr>
              <w:spacing w:after="0" w:line="153" w:lineRule="exact"/>
              <w:rPr>
                <w:sz w:val="20"/>
                <w:szCs w:val="20"/>
                <w:color w:val="auto"/>
              </w:rPr>
            </w:pPr>
            <w:r>
              <w:rPr>
                <w:rFonts w:ascii="Arial" w:cs="Arial" w:eastAsia="Arial" w:hAnsi="Arial"/>
                <w:sz w:val="17"/>
                <w:szCs w:val="17"/>
                <w:b w:val="1"/>
                <w:bCs w:val="1"/>
                <w:color w:val="auto"/>
                <w:w w:val="94"/>
              </w:rPr>
              <w:t>Description of the Exhibit</w:t>
            </w:r>
          </w:p>
        </w:tc>
        <w:tc>
          <w:tcPr>
            <w:tcW w:w="6460" w:type="dxa"/>
            <w:vAlign w:val="bottom"/>
            <w:gridSpan w:val="2"/>
          </w:tcPr>
          <w:p>
            <w:pPr>
              <w:spacing w:after="0"/>
              <w:rPr>
                <w:sz w:val="13"/>
                <w:szCs w:val="13"/>
                <w:color w:val="auto"/>
              </w:rPr>
            </w:pPr>
          </w:p>
        </w:tc>
      </w:tr>
      <w:tr>
        <w:trPr>
          <w:trHeight w:val="206"/>
        </w:trPr>
        <w:tc>
          <w:tcPr>
            <w:tcW w:w="1860" w:type="dxa"/>
            <w:vAlign w:val="bottom"/>
            <w:gridSpan w:val="4"/>
          </w:tcPr>
          <w:p>
            <w:pPr>
              <w:ind w:left="1300"/>
              <w:spacing w:after="0"/>
              <w:rPr>
                <w:sz w:val="20"/>
                <w:szCs w:val="20"/>
                <w:color w:val="auto"/>
              </w:rPr>
            </w:pPr>
            <w:r>
              <w:rPr>
                <w:rFonts w:ascii="Arial" w:cs="Arial" w:eastAsia="Arial" w:hAnsi="Arial"/>
                <w:sz w:val="18"/>
                <w:szCs w:val="18"/>
                <w:color w:val="auto"/>
              </w:rPr>
              <w:t>99.1</w:t>
            </w:r>
          </w:p>
        </w:tc>
        <w:tc>
          <w:tcPr>
            <w:tcW w:w="960" w:type="dxa"/>
            <w:vAlign w:val="bottom"/>
          </w:tcPr>
          <w:p>
            <w:pPr>
              <w:spacing w:after="0"/>
              <w:rPr>
                <w:sz w:val="17"/>
                <w:szCs w:val="17"/>
                <w:color w:val="auto"/>
              </w:rPr>
            </w:pPr>
          </w:p>
        </w:tc>
        <w:tc>
          <w:tcPr>
            <w:tcW w:w="84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Energy Transfer LP Press Release dated May 4, 2022</w:t>
              </w:r>
            </w:hyperlink>
          </w:p>
        </w:tc>
      </w:tr>
      <w:tr>
        <w:trPr>
          <w:trHeight w:val="20"/>
        </w:trPr>
        <w:tc>
          <w:tcPr>
            <w:tcW w:w="18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45"/>
        </w:trPr>
        <w:tc>
          <w:tcPr>
            <w:tcW w:w="1860" w:type="dxa"/>
            <w:vAlign w:val="bottom"/>
            <w:gridSpan w:val="4"/>
          </w:tcPr>
          <w:p>
            <w:pPr>
              <w:ind w:left="1300"/>
              <w:spacing w:after="0"/>
              <w:rPr>
                <w:sz w:val="20"/>
                <w:szCs w:val="20"/>
                <w:color w:val="auto"/>
              </w:rPr>
            </w:pPr>
            <w:r>
              <w:rPr>
                <w:rFonts w:ascii="Arial" w:cs="Arial" w:eastAsia="Arial" w:hAnsi="Arial"/>
                <w:sz w:val="18"/>
                <w:szCs w:val="18"/>
                <w:color w:val="auto"/>
              </w:rPr>
              <w:t>104</w:t>
            </w:r>
          </w:p>
        </w:tc>
        <w:tc>
          <w:tcPr>
            <w:tcW w:w="960" w:type="dxa"/>
            <w:vAlign w:val="bottom"/>
          </w:tcPr>
          <w:p>
            <w:pPr>
              <w:spacing w:after="0"/>
              <w:rPr>
                <w:sz w:val="21"/>
                <w:szCs w:val="21"/>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0"/>
        </w:trPr>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PANHANDLE EASTERN PIPE LINE COMPANY, LP</w:t>
            </w:r>
          </w:p>
        </w:tc>
      </w:tr>
      <w:tr>
        <w:trPr>
          <w:trHeight w:val="245"/>
        </w:trPr>
        <w:tc>
          <w:tcPr>
            <w:tcW w:w="4400" w:type="dxa"/>
            <w:vAlign w:val="bottom"/>
          </w:tcPr>
          <w:p>
            <w:pPr>
              <w:spacing w:after="0"/>
              <w:rPr>
                <w:sz w:val="21"/>
                <w:szCs w:val="21"/>
                <w:color w:val="auto"/>
              </w:rPr>
            </w:pPr>
          </w:p>
        </w:tc>
        <w:tc>
          <w:tcPr>
            <w:tcW w:w="4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660" w:type="dxa"/>
            <w:vAlign w:val="bottom"/>
          </w:tcPr>
          <w:p>
            <w:pPr>
              <w:spacing w:after="0"/>
              <w:rPr>
                <w:sz w:val="21"/>
                <w:szCs w:val="21"/>
                <w:color w:val="auto"/>
              </w:rPr>
            </w:pPr>
          </w:p>
        </w:tc>
      </w:tr>
      <w:tr>
        <w:trPr>
          <w:trHeight w:val="227"/>
        </w:trPr>
        <w:tc>
          <w:tcPr>
            <w:tcW w:w="4400" w:type="dxa"/>
            <w:vAlign w:val="bottom"/>
          </w:tcPr>
          <w:p>
            <w:pPr>
              <w:spacing w:after="0"/>
              <w:rPr>
                <w:sz w:val="20"/>
                <w:szCs w:val="20"/>
                <w:color w:val="auto"/>
              </w:rPr>
            </w:pPr>
            <w:r>
              <w:rPr>
                <w:rFonts w:ascii="Arial" w:cs="Arial" w:eastAsia="Arial" w:hAnsi="Arial"/>
                <w:sz w:val="18"/>
                <w:szCs w:val="18"/>
                <w:color w:val="auto"/>
              </w:rPr>
              <w:t>May 4, 2022</w:t>
            </w:r>
          </w:p>
        </w:tc>
        <w:tc>
          <w:tcPr>
            <w:tcW w:w="1020" w:type="dxa"/>
            <w:vAlign w:val="bottom"/>
          </w:tcPr>
          <w:p>
            <w:pPr>
              <w:spacing w:after="0"/>
              <w:rPr>
                <w:sz w:val="19"/>
                <w:szCs w:val="19"/>
                <w:color w:val="auto"/>
              </w:rPr>
            </w:pP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Bradford D. Whitehurst</w:t>
            </w:r>
          </w:p>
        </w:tc>
      </w:tr>
      <w:tr>
        <w:trPr>
          <w:trHeight w:val="219"/>
        </w:trPr>
        <w:tc>
          <w:tcPr>
            <w:tcW w:w="4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Bradford D. Whitehurst</w:t>
            </w:r>
          </w:p>
        </w:tc>
      </w:tr>
    </w:tbl>
    <w:p>
      <w:pPr>
        <w:ind w:left="5440"/>
        <w:spacing w:after="0" w:line="219" w:lineRule="auto"/>
        <w:rPr>
          <w:sz w:val="20"/>
          <w:szCs w:val="20"/>
          <w:color w:val="auto"/>
        </w:rPr>
      </w:pPr>
      <w:r>
        <w:rPr>
          <w:rFonts w:ascii="Arial" w:cs="Arial" w:eastAsia="Arial" w:hAnsi="Arial"/>
          <w:sz w:val="18"/>
          <w:szCs w:val="18"/>
          <w:color w:val="auto"/>
        </w:rPr>
        <w:t>Chief Financial Officer (duly authorized to sign on behalf of the</w:t>
      </w:r>
    </w:p>
    <w:p>
      <w:pPr>
        <w:ind w:left="544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100"/>
          </w:cols>
          <w:pgMar w:left="320" w:top="879" w:right="4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2621915</wp:posOffset>
            </wp:positionH>
            <wp:positionV relativeFrom="page">
              <wp:posOffset>671195</wp:posOffset>
            </wp:positionV>
            <wp:extent cx="2305050" cy="675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05050" cy="67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ENERGY TRANSFER REPORTS STRONG FIRST QUARTER 2022 RESULTS AND INCREASES 2022 GUIDANCE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Dallas - May 4, 2022 - Energy Transfer LP (NYSE:ET) </w:t>
      </w:r>
      <w:r>
        <w:rPr>
          <w:rFonts w:ascii="Arial" w:cs="Arial" w:eastAsia="Arial" w:hAnsi="Arial"/>
          <w:sz w:val="18"/>
          <w:szCs w:val="18"/>
          <w:color w:val="auto"/>
        </w:rPr>
        <w:t>(“Energy Transfer” or the “Partnership”) today reported financial results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2022.</w:t>
      </w:r>
    </w:p>
    <w:p>
      <w:pPr>
        <w:spacing w:after="0" w:line="1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Energy Transfer reported net income attributable to partners for the three months ended March 31, 2022 of $1.27 billion. For the three months ended March 31, 2022, net income per limited partner unit (basic) was $0.38 per unit.</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for the three months ended March 31, 2022 was $3.34 billion compared to $5.04 billion for the three months ended March 31, 2021. First quarter 2021 results were favorably impacted by earnings from the historic Winter Storm Uri. Excluding this contribution, Adjusted EBITDA would have increased over the prior period.</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Distributable Cash Flow attributable to partners, as adjusted, for the three months ended March 31, 2022 was $2.08 billion compared to $3.91 billion for the three months ended March 31, 2021. The decrease from the prior period was primarily driven by the favorable impact on the first quarter 2021 Adjusted EBITDA from Winter Storm Uri discussed above.</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first quarter 2022, Energy Transfer had higher transportation volumes across all of its segments and a full quarter contribution from the Enable Midstream assets that were acquired in December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accomplishments and recent developments: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w:t>
      </w:r>
    </w:p>
    <w:p>
      <w:pPr>
        <w:spacing w:after="0" w:line="118"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first quarter 2022:</w:t>
      </w:r>
    </w:p>
    <w:p>
      <w:pPr>
        <w:spacing w:after="0" w:line="112" w:lineRule="exact"/>
        <w:rPr>
          <w:rFonts w:ascii="Arial" w:cs="Arial" w:eastAsia="Arial" w:hAnsi="Arial"/>
          <w:sz w:val="18"/>
          <w:szCs w:val="18"/>
          <w:color w:val="auto"/>
        </w:rPr>
      </w:pPr>
    </w:p>
    <w:p>
      <w:pPr>
        <w:ind w:left="640" w:hanging="315"/>
        <w:spacing w:after="0" w:line="266" w:lineRule="auto"/>
        <w:tabs>
          <w:tab w:leader="none" w:pos="65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Energy Transfer started construction on the new 200 MMcf per day Grey Wolf high-recovery cryogenic processing plant in response to increased customer demand for growing natural gas volumes in the Permian Basin.</w:t>
      </w:r>
    </w:p>
    <w:p>
      <w:pPr>
        <w:spacing w:after="0" w:line="73" w:lineRule="exact"/>
        <w:rPr>
          <w:rFonts w:ascii="Arial" w:cs="Arial" w:eastAsia="Arial" w:hAnsi="Arial"/>
          <w:sz w:val="18"/>
          <w:szCs w:val="18"/>
          <w:color w:val="auto"/>
        </w:rPr>
      </w:pPr>
    </w:p>
    <w:p>
      <w:pPr>
        <w:ind w:left="640" w:hanging="315"/>
        <w:spacing w:after="0" w:line="296" w:lineRule="auto"/>
        <w:tabs>
          <w:tab w:leader="none" w:pos="636" w:val="left"/>
        </w:tabs>
        <w:numPr>
          <w:ilvl w:val="1"/>
          <w:numId w:val="3"/>
        </w:numPr>
        <w:rPr>
          <w:rFonts w:ascii="Arial" w:cs="Arial" w:eastAsia="Arial" w:hAnsi="Arial"/>
          <w:sz w:val="17"/>
          <w:szCs w:val="17"/>
          <w:color w:val="auto"/>
        </w:rPr>
      </w:pPr>
      <w:r>
        <w:rPr>
          <w:rFonts w:ascii="Arial" w:cs="Arial" w:eastAsia="Arial" w:hAnsi="Arial"/>
          <w:sz w:val="17"/>
          <w:szCs w:val="17"/>
          <w:color w:val="auto"/>
        </w:rPr>
        <w:t>Construction began on the Gulf Run Pipeline project. The 42-inch pipeline with 1.65 Bcf per day of capacity is expected to be completed by year-end and will provide natural gas transportation between the prolific Haynesville Shale Basin and the U.S. Gulf Coast.</w:t>
      </w:r>
    </w:p>
    <w:p>
      <w:pPr>
        <w:spacing w:after="0" w:line="49" w:lineRule="exact"/>
        <w:rPr>
          <w:rFonts w:ascii="Arial" w:cs="Arial" w:eastAsia="Arial" w:hAnsi="Arial"/>
          <w:sz w:val="17"/>
          <w:szCs w:val="17"/>
          <w:color w:val="auto"/>
        </w:rPr>
      </w:pPr>
    </w:p>
    <w:p>
      <w:pPr>
        <w:ind w:left="640" w:hanging="315"/>
        <w:spacing w:after="0" w:line="266" w:lineRule="auto"/>
        <w:tabs>
          <w:tab w:leader="none" w:pos="65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Construction of the final phase of the Mariner East project was completed, bringing Energy Transfer’s total NGL capacity on the Mariner East pipeline system to more than 365,000 barrels per day, including ethane.</w:t>
      </w:r>
    </w:p>
    <w:p>
      <w:pPr>
        <w:spacing w:after="0" w:line="73" w:lineRule="exact"/>
        <w:rPr>
          <w:rFonts w:ascii="Arial" w:cs="Arial" w:eastAsia="Arial" w:hAnsi="Arial"/>
          <w:sz w:val="18"/>
          <w:szCs w:val="18"/>
          <w:color w:val="auto"/>
        </w:rPr>
      </w:pPr>
    </w:p>
    <w:p>
      <w:pPr>
        <w:jc w:val="both"/>
        <w:ind w:left="640" w:hanging="315"/>
        <w:spacing w:after="0" w:line="256" w:lineRule="auto"/>
        <w:tabs>
          <w:tab w:leader="none" w:pos="636" w:val="left"/>
        </w:tabs>
        <w:numPr>
          <w:ilvl w:val="1"/>
          <w:numId w:val="3"/>
        </w:numPr>
        <w:rPr>
          <w:rFonts w:ascii="Arial" w:cs="Arial" w:eastAsia="Arial" w:hAnsi="Arial"/>
          <w:sz w:val="18"/>
          <w:szCs w:val="18"/>
          <w:color w:val="auto"/>
        </w:rPr>
      </w:pPr>
      <w:r>
        <w:rPr>
          <w:rFonts w:ascii="Arial" w:cs="Arial" w:eastAsia="Arial" w:hAnsi="Arial"/>
          <w:sz w:val="18"/>
          <w:szCs w:val="18"/>
          <w:color w:val="auto"/>
        </w:rPr>
        <w:t>Energy Transfer completed capacity expansions on its Cushing South crude oil pipeline that provides transportation service from the Partnership’s Cushing Terminal to its Nederland Terminal, as well as on its Permian Bridge Project, which connects the Partnership’s gathering and processing assets in the Delaware and Midland Basins.</w:t>
      </w:r>
    </w:p>
    <w:p>
      <w:pPr>
        <w:spacing w:after="0" w:line="82"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2022, Energy Transfer placed the Ted Collins Link into service providing additional connectivity for its Houston Terminal to the U.S. Gulf Coast pipeline network and the Houston Ship Channel. Energy Transfer completed its inaugural shipment of oil from its Houston Terminal for export utilizing this system in April.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w:t>
      </w:r>
    </w:p>
    <w:p>
      <w:pPr>
        <w:spacing w:after="0" w:line="118" w:lineRule="exact"/>
        <w:rPr>
          <w:sz w:val="20"/>
          <w:szCs w:val="20"/>
          <w:color w:val="auto"/>
        </w:rPr>
      </w:pPr>
    </w:p>
    <w:p>
      <w:pPr>
        <w:jc w:val="both"/>
        <w:ind w:left="320" w:hanging="314"/>
        <w:spacing w:after="0" w:line="364" w:lineRule="auto"/>
        <w:tabs>
          <w:tab w:leader="none" w:pos="3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March 2022, the Partnership announced a definitive agreement to sell its 51% interest in Energy Transfer Canada. The sale is expected to result in cash proceeds to Energy Transfer of approximately $272 million (based on the March 31, 2022 exchange rate), subject to certain purchase price adjustments, and to reduce the Partnership’s consolidated debt by approximately $450 million. The transaction is expected to close by the third quarter of 2022.</w:t>
      </w:r>
    </w:p>
    <w:p>
      <w:pPr>
        <w:spacing w:after="0" w:line="12" w:lineRule="exact"/>
        <w:rPr>
          <w:rFonts w:ascii="Arial" w:cs="Arial" w:eastAsia="Arial" w:hAnsi="Arial"/>
          <w:sz w:val="14"/>
          <w:szCs w:val="14"/>
          <w:color w:val="auto"/>
        </w:rPr>
      </w:pPr>
    </w:p>
    <w:p>
      <w:pPr>
        <w:jc w:val="both"/>
        <w:ind w:left="320" w:hanging="314"/>
        <w:spacing w:after="0" w:line="253" w:lineRule="auto"/>
        <w:tabs>
          <w:tab w:leader="none" w:pos="3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date in 2022, the Partnership has entered into four long-term LNG Sale and Purchase Agreements (“SPAs”). Under these SPAs, Energy Transfer LNG Export, LLC is expected to supply a total of 4.7 million tonnes of LNG per annum over 20 years, plus another 0.4 million tonnes per annum over 18 years, with first deliveries expected to commence as early as 2026. The execution of these SPAs represents a significant step in moving the Lake Charles LNG export project towards a positive final investment decision.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ind w:left="320" w:hanging="314"/>
        <w:spacing w:after="0" w:line="269"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Partnership continues to pursue a natural gas pipeline project from the Permian Basin to address the growing need for additional natural gas takeaway from the region. The project would include the construction of a new intrastate pipeline paralleling existing right of way from the Midland Basin to interconnnect with Energy Transfer’s extensive pipeline network south of Dallas/Ft. Worth, Texas. From that point, Energy Transfer’s vast pipeline systems provide significant flexibility to deliver natural gas to premier markets along the Texas Gulf Coast including Katy, Beaumont, and the Houston Ship Channel, as well as to Carthage, with potential deliveries to most major U.S. trading hubs and markets.</w:t>
      </w:r>
    </w:p>
    <w:p>
      <w:pPr>
        <w:spacing w:after="0" w:line="74" w:lineRule="exact"/>
        <w:rPr>
          <w:rFonts w:ascii="Arial" w:cs="Arial" w:eastAsia="Arial" w:hAnsi="Arial"/>
          <w:sz w:val="17"/>
          <w:szCs w:val="17"/>
          <w:color w:val="auto"/>
        </w:rPr>
      </w:pPr>
    </w:p>
    <w:p>
      <w:pPr>
        <w:jc w:val="both"/>
        <w:ind w:left="320" w:hanging="314"/>
        <w:spacing w:after="0" w:line="256" w:lineRule="auto"/>
        <w:tabs>
          <w:tab w:leader="none" w:pos="316"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first quarter 2022, Energy Transfer continued integration of the recently acquired Enable Midstream Partners (the “Enable Acquisition”) business with the majority of back office integration now complete. This early step, along with further improved efficiencies, is expected to generate run-rate cost savings of more than $100 million per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w:t>
      </w:r>
    </w:p>
    <w:p>
      <w:pPr>
        <w:spacing w:after="0" w:line="118" w:lineRule="exact"/>
        <w:rPr>
          <w:sz w:val="20"/>
          <w:szCs w:val="20"/>
          <w:color w:val="auto"/>
        </w:rPr>
      </w:pPr>
    </w:p>
    <w:p>
      <w:pPr>
        <w:jc w:val="both"/>
        <w:ind w:left="320" w:hanging="314"/>
        <w:spacing w:after="0" w:line="294" w:lineRule="auto"/>
        <w:tabs>
          <w:tab w:leader="none" w:pos="316"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April 2022, Energy Transfer announced a more than 30% increase in its quarterly distribution on common units compared to the first quarter of 2021. For the quarter ended March 31, 2022, Energy Transfer will pay a quarterly distribution of $0.20 per common unit ($0.80 annualized). Future increases to the distribution level will continue to be evaluated quarterly with the ultimate goal of returning distributions to the previous level of $0.305 per common unit per quarter ($1.22 annualized) while balancing the Partnership’s leverage target, growth opportunities and unit buybacks.</w:t>
      </w:r>
    </w:p>
    <w:p>
      <w:pPr>
        <w:spacing w:after="0" w:line="55" w:lineRule="exact"/>
        <w:rPr>
          <w:rFonts w:ascii="Arial" w:cs="Arial" w:eastAsia="Arial" w:hAnsi="Arial"/>
          <w:sz w:val="16"/>
          <w:szCs w:val="16"/>
          <w:color w:val="auto"/>
        </w:rPr>
      </w:pPr>
    </w:p>
    <w:p>
      <w:pPr>
        <w:jc w:val="both"/>
        <w:ind w:left="320" w:hanging="314"/>
        <w:spacing w:after="0" w:line="256" w:lineRule="auto"/>
        <w:tabs>
          <w:tab w:leader="none" w:pos="3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2022, the Partnership amended its revolving credit facility to extend the maturity to April 2027, with two optional one-year extensions. As of March 31, 2022, the Partnership’s revolving credit facility had $2.02 billion of available capacity, and the leverage ratio, as defined by the credit agreement, was 3.55x.</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March 31, 2022, the Partnership invested approximately $388 million on growth capital expenditures.</w:t>
      </w:r>
    </w:p>
    <w:p>
      <w:pPr>
        <w:spacing w:after="0" w:line="112" w:lineRule="exact"/>
        <w:rPr>
          <w:rFonts w:ascii="Arial" w:cs="Arial" w:eastAsia="Arial" w:hAnsi="Arial"/>
          <w:sz w:val="18"/>
          <w:szCs w:val="18"/>
          <w:color w:val="auto"/>
        </w:rPr>
      </w:pPr>
    </w:p>
    <w:p>
      <w:pPr>
        <w:jc w:val="both"/>
        <w:ind w:left="320" w:hanging="314"/>
        <w:spacing w:after="0" w:line="278" w:lineRule="auto"/>
        <w:tabs>
          <w:tab w:leader="none" w:pos="316" w:val="left"/>
        </w:tabs>
        <w:numPr>
          <w:ilvl w:val="0"/>
          <w:numId w:val="6"/>
        </w:numPr>
        <w:rPr>
          <w:rFonts w:ascii="Arial" w:cs="Arial" w:eastAsia="Arial" w:hAnsi="Arial"/>
          <w:sz w:val="17"/>
          <w:szCs w:val="17"/>
          <w:color w:val="auto"/>
        </w:rPr>
      </w:pPr>
      <w:r>
        <w:rPr>
          <w:rFonts w:ascii="Arial" w:cs="Arial" w:eastAsia="Arial" w:hAnsi="Arial"/>
          <w:sz w:val="17"/>
          <w:szCs w:val="17"/>
          <w:color w:val="auto"/>
        </w:rPr>
        <w:t>Given Energy Transfer’s strong performance in the first quarter, as well as continued increasing demand, the Partnership expects Adjusted EBITDA for the full year 2022 to be between $12.2 billion and $12.6 billion (previously $11.8 billion to $12.2 billion). The Partnership also expects its 2022 growth capital expenditures to be between $1.8 billion and $2.1 billion (previously $1.6 billion to $1.9 billion).</w:t>
      </w:r>
    </w:p>
    <w:p>
      <w:pPr>
        <w:spacing w:after="0" w:line="11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Energy Transfer benefits from a portfolio of assets with exceptional product and geographic diversity. The Partnership’s multiple segments generate high-quality, balanced earnings with no single segment contributing more than 25% of the Partnership’s consolidated Adjusted EBITDA for the three months ended March 31, 2022. The vast majority of the Partnership’s segment margins are fee-based and therefore have limited commodity price sensitivity.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Partnership has scheduled a conference call for 3:30 p.m. Central Time/4:30 p.m. Eastern Time on Wednesday, May 4, 2022 to discuss its first quarter 2022 results and provide an update on the Partnership. The conference call will be broadcast live via an internet webcast, which can be accessed through </w:t>
      </w:r>
      <w:r>
        <w:rPr>
          <w:rFonts w:ascii="Arial" w:cs="Arial" w:eastAsia="Arial" w:hAnsi="Arial"/>
          <w:sz w:val="18"/>
          <w:szCs w:val="18"/>
          <w:u w:val="single" w:color="auto"/>
          <w:color w:val="0000FF"/>
        </w:rPr>
        <w:t>www.energytransfer.com</w:t>
      </w:r>
      <w:r>
        <w:rPr>
          <w:rFonts w:ascii="Arial" w:cs="Arial" w:eastAsia="Arial" w:hAnsi="Arial"/>
          <w:sz w:val="18"/>
          <w:szCs w:val="18"/>
          <w:color w:val="0000FF"/>
        </w:rPr>
        <w:t xml:space="preserve"> </w:t>
      </w:r>
      <w:r>
        <w:rPr>
          <w:rFonts w:ascii="Arial" w:cs="Arial" w:eastAsia="Arial" w:hAnsi="Arial"/>
          <w:sz w:val="18"/>
          <w:szCs w:val="18"/>
          <w:color w:val="000000"/>
        </w:rPr>
        <w:t>and will also be available for replay on the Partnership’s website for a limited time.</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Energy Transfer LP (NYSE: ET) </w:t>
      </w:r>
      <w:r>
        <w:rPr>
          <w:rFonts w:ascii="Arial" w:cs="Arial" w:eastAsia="Arial" w:hAnsi="Arial"/>
          <w:sz w:val="16"/>
          <w:szCs w:val="16"/>
          <w:color w:val="auto"/>
        </w:rPr>
        <w:t>owns and operates one of the largest and most diversified portfolios of energy assets in the North America, with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strategic footprint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Lake Charles LNG Company, as well as the general partner interests, the incentive distribution rights and 28.5 million common units of Sunoco LP (NYSE: SUN), and the general partner interests and 46.1 million common units of USA Compression Partners, LP (NYSE: USAC). For more information, visit the Energy Transfer LP website at </w:t>
      </w:r>
      <w:r>
        <w:rPr>
          <w:rFonts w:ascii="Arial" w:cs="Arial" w:eastAsia="Arial" w:hAnsi="Arial"/>
          <w:sz w:val="16"/>
          <w:szCs w:val="16"/>
          <w:u w:val="single" w:color="auto"/>
          <w:color w:val="0000FF"/>
        </w:rPr>
        <w:t>www.energytransfer.com</w:t>
      </w:r>
      <w:r>
        <w:rPr>
          <w:rFonts w:ascii="Arial" w:cs="Arial" w:eastAsia="Arial" w:hAnsi="Arial"/>
          <w:sz w:val="16"/>
          <w:szCs w:val="16"/>
          <w:color w:val="auto"/>
        </w:rPr>
        <w:t>.</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Sunoco LP (NYSE: SUN) </w:t>
      </w:r>
      <w:r>
        <w:rPr>
          <w:rFonts w:ascii="Arial" w:cs="Arial" w:eastAsia="Arial" w:hAnsi="Arial"/>
          <w:sz w:val="18"/>
          <w:szCs w:val="18"/>
          <w:color w:val="auto"/>
        </w:rPr>
        <w:t>is a master limited partnership with core operations that include the distribution of motor fuel to approximately 10,000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convenience stores, independent dealers, commercial customers and distributors located in more than 40 U.S. states and territories, as well as refined product transportation and terminalling assets. SUN’s general partner is owned by Energy Transfer LP (NYSE: ET). For more information, visit the Sunoco LP website at </w:t>
      </w:r>
      <w:r>
        <w:rPr>
          <w:rFonts w:ascii="Arial" w:cs="Arial" w:eastAsia="Arial" w:hAnsi="Arial"/>
          <w:sz w:val="18"/>
          <w:szCs w:val="18"/>
          <w:u w:val="single" w:color="auto"/>
          <w:color w:val="0000FF"/>
        </w:rPr>
        <w:t>www.sunocolp.com</w:t>
      </w:r>
      <w:r>
        <w:rPr>
          <w:rFonts w:ascii="Arial" w:cs="Arial" w:eastAsia="Arial" w:hAnsi="Arial"/>
          <w:sz w:val="18"/>
          <w:szCs w:val="18"/>
          <w:color w:val="auto"/>
        </w:rPr>
        <w: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USA Compression Partners, LP (NYSE: USAC) </w:t>
      </w:r>
      <w:r>
        <w:rPr>
          <w:rFonts w:ascii="Arial" w:cs="Arial" w:eastAsia="Arial" w:hAnsi="Arial"/>
          <w:sz w:val="18"/>
          <w:szCs w:val="18"/>
          <w:color w:val="auto"/>
        </w:rPr>
        <w:t>is a growth-oriented Delaware limited partnership that is one of the nation’s largest independent providers</w:t>
      </w:r>
      <w:r>
        <w:rPr>
          <w:rFonts w:ascii="Arial" w:cs="Arial" w:eastAsia="Arial" w:hAnsi="Arial"/>
          <w:sz w:val="18"/>
          <w:szCs w:val="18"/>
          <w:b w:val="1"/>
          <w:bCs w:val="1"/>
          <w:color w:val="auto"/>
        </w:rPr>
        <w:t xml:space="preserve"> </w:t>
      </w:r>
      <w:r>
        <w:rPr>
          <w:rFonts w:ascii="Arial" w:cs="Arial" w:eastAsia="Arial" w:hAnsi="Arial"/>
          <w:sz w:val="18"/>
          <w:szCs w:val="18"/>
          <w:color w:val="auto"/>
        </w:rPr>
        <w:t>of natural gas compression services in terms of total compression fleet horsepower. USAC partners with a broad customer base composed of producers, processors, gatherers and transporters of natural gas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1" w:right="339" w:bottom="1440" w:gutter="0" w:footer="0" w:header="0"/>
        </w:sectPr>
      </w:pPr>
    </w:p>
    <w:bookmarkStart w:id="5" w:name="page6"/>
    <w:bookmarkEnd w:id="5"/>
    <w:p>
      <w:pPr>
        <w:jc w:val="both"/>
        <w:spacing w:after="0" w:line="266" w:lineRule="auto"/>
        <w:rPr>
          <w:sz w:val="20"/>
          <w:szCs w:val="20"/>
          <w:color w:val="auto"/>
        </w:rPr>
      </w:pPr>
      <w:r>
        <w:rPr>
          <w:rFonts w:ascii="Arial" w:cs="Arial" w:eastAsia="Arial" w:hAnsi="Arial"/>
          <w:sz w:val="18"/>
          <w:szCs w:val="18"/>
          <w:color w:val="auto"/>
        </w:rPr>
        <w:t xml:space="preserve">and crude oil. USAC focuses on providing compression services to infrastructure applications primarily in high-volume gathering systems, processing facilities and transportation applications. For more information, visit the USAC website at </w:t>
      </w:r>
      <w:r>
        <w:rPr>
          <w:rFonts w:ascii="Arial" w:cs="Arial" w:eastAsia="Arial" w:hAnsi="Arial"/>
          <w:sz w:val="18"/>
          <w:szCs w:val="18"/>
          <w:u w:val="single" w:color="auto"/>
          <w:color w:val="0000FF"/>
        </w:rPr>
        <w:t>www.usacompression.com</w:t>
      </w:r>
      <w:r>
        <w:rPr>
          <w:rFonts w:ascii="Arial" w:cs="Arial" w:eastAsia="Arial" w:hAnsi="Arial"/>
          <w:sz w:val="18"/>
          <w:szCs w:val="18"/>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including future distribution levels and leverage ratio, are discussed in the Partnership’s Annual Report on Form 10-K and other documents filed from time to time with the Securities and Exchange Commission. In addition to the risks and uncertainties previously disclosed, the Partnership has also been, or may in the future be, impacted by new or heightened risks related to the COVID-19 pandemic, and we cannot predict the length and ultimate impact of those risks. The Partnership undertakes no obligation to update or revise any forward-looking statement to reflect new information or events.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contained in this press release is available on our website at </w:t>
      </w:r>
      <w:r>
        <w:rPr>
          <w:rFonts w:ascii="Arial" w:cs="Arial" w:eastAsia="Arial" w:hAnsi="Arial"/>
          <w:sz w:val="18"/>
          <w:szCs w:val="18"/>
          <w:u w:val="single" w:color="auto"/>
          <w:color w:val="0000FF"/>
        </w:rPr>
        <w:t>www.energytransfer.com</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Energy Transfer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Bill Baerg, Brent Ratliff, Lyndsay Hannah, 214-981-0795</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Vicki Granado, 214-840-5820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5"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CONDENSED CONSOLIDATED BALANCE SHEETS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March 31, 2022</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206"/>
        </w:trPr>
        <w:tc>
          <w:tcPr>
            <w:tcW w:w="82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81,607</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Lease right-of-use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109,192</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40" w:type="dxa"/>
            <w:vAlign w:val="bottom"/>
            <w:shd w:val="clear" w:color="auto" w:fill="CCEEFF"/>
          </w:tcPr>
          <w:p>
            <w:pPr>
              <w:ind w:left="2980"/>
              <w:spacing w:after="0" w:line="193" w:lineRule="exact"/>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Current liabilities </w:t>
            </w:r>
            <w:r>
              <w:rPr>
                <w:rFonts w:ascii="Arial" w:cs="Arial" w:eastAsia="Arial" w:hAnsi="Arial"/>
                <w:sz w:val="23"/>
                <w:szCs w:val="23"/>
                <w:color w:val="auto"/>
                <w:vertAlign w:val="superscript"/>
              </w:rPr>
              <w:t>(1)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10,835</w:t>
            </w:r>
          </w:p>
        </w:tc>
        <w:tc>
          <w:tcPr>
            <w:tcW w:w="0" w:type="dxa"/>
            <w:vAlign w:val="bottom"/>
          </w:tcPr>
          <w:p>
            <w:pPr>
              <w:spacing w:after="0"/>
              <w:rPr>
                <w:sz w:val="1"/>
                <w:szCs w:val="1"/>
                <w:color w:val="auto"/>
              </w:rPr>
            </w:pPr>
          </w:p>
        </w:tc>
      </w:tr>
      <w:tr>
        <w:trPr>
          <w:trHeight w:val="253"/>
        </w:trPr>
        <w:tc>
          <w:tcPr>
            <w:tcW w:w="8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48,826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49,022</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derivative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53"/>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53"/>
        </w:trPr>
        <w:tc>
          <w:tcPr>
            <w:tcW w:w="8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Limited Partners: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Unitholders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25"/>
        </w:trPr>
        <w:tc>
          <w:tcPr>
            <w:tcW w:w="8240" w:type="dxa"/>
            <w:vAlign w:val="bottom"/>
          </w:tcPr>
          <w:p>
            <w:pPr>
              <w:ind w:left="340"/>
              <w:spacing w:after="0"/>
              <w:rPr>
                <w:sz w:val="20"/>
                <w:szCs w:val="20"/>
                <w:color w:val="auto"/>
              </w:rPr>
            </w:pPr>
            <w:r>
              <w:rPr>
                <w:rFonts w:ascii="Arial" w:cs="Arial" w:eastAsia="Arial" w:hAnsi="Arial"/>
                <w:sz w:val="18"/>
                <w:szCs w:val="18"/>
                <w:color w:val="auto"/>
              </w:rPr>
              <w:t>Common Unitholders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25,881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25,230</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Partner</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partners’ capital</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39,345</w:t>
            </w:r>
          </w:p>
        </w:tc>
        <w:tc>
          <w:tcPr>
            <w:tcW w:w="0" w:type="dxa"/>
            <w:vAlign w:val="bottom"/>
          </w:tcPr>
          <w:p>
            <w:pPr>
              <w:spacing w:after="0"/>
              <w:rPr>
                <w:sz w:val="1"/>
                <w:szCs w:val="1"/>
                <w:color w:val="auto"/>
              </w:rPr>
            </w:pPr>
          </w:p>
        </w:tc>
      </w:tr>
      <w:tr>
        <w:trPr>
          <w:trHeight w:val="220"/>
        </w:trPr>
        <w:tc>
          <w:tcPr>
            <w:tcW w:w="824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109,192</w:t>
            </w:r>
          </w:p>
        </w:tc>
        <w:tc>
          <w:tcPr>
            <w:tcW w:w="100" w:type="dxa"/>
            <w:vAlign w:val="bottom"/>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105,963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right="20" w:hanging="314"/>
        <w:spacing w:after="0" w:line="222" w:lineRule="auto"/>
        <w:tabs>
          <w:tab w:leader="none" w:pos="277"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As of March 31, 2022, current assets include $1.68 billion of current assets held for sale and current liabilities include $1.03 billion of current liabilities held for sale, related to the Partnership’s pending sale of its interest in Energy Transfer Canada.</w:t>
      </w:r>
    </w:p>
    <w:p>
      <w:pPr>
        <w:spacing w:after="0" w:line="95" w:lineRule="exact"/>
        <w:rPr>
          <w:rFonts w:ascii="Arial" w:cs="Arial" w:eastAsia="Arial" w:hAnsi="Arial"/>
          <w:sz w:val="23"/>
          <w:szCs w:val="23"/>
          <w:color w:val="auto"/>
          <w:vertAlign w:val="superscript"/>
        </w:rPr>
      </w:pPr>
    </w:p>
    <w:p>
      <w:pPr>
        <w:ind w:left="320" w:hanging="314"/>
        <w:spacing w:after="0" w:line="254" w:lineRule="auto"/>
        <w:tabs>
          <w:tab w:leader="none" w:pos="26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As of March 31, 2022, current liabilities include $652 million of current maturities of long-term debt. This total includes all of the $650 million of senior notes due in April 2022 from the Bakken Pipeline entities, for which our proportional ownership is 36.4%. These notes were repaid in April 2022.</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unit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p>
      <w:pPr>
        <w:jc w:val="center"/>
        <w:ind w:left="8240"/>
        <w:spacing w:after="0"/>
        <w:rPr>
          <w:sz w:val="20"/>
          <w:szCs w:val="20"/>
          <w:color w:val="auto"/>
        </w:rPr>
      </w:pPr>
      <w:r>
        <w:rPr>
          <w:rFonts w:ascii="Arial" w:cs="Arial" w:eastAsia="Arial" w:hAnsi="Arial"/>
          <w:sz w:val="18"/>
          <w:szCs w:val="18"/>
          <w:color w:val="auto"/>
        </w:rPr>
        <w:t>Three Months Ended</w:t>
      </w:r>
    </w:p>
    <w:p>
      <w:pPr>
        <w:jc w:val="center"/>
        <w:ind w:left="8240"/>
        <w:spacing w:after="0"/>
        <w:rPr>
          <w:sz w:val="20"/>
          <w:szCs w:val="20"/>
          <w:color w:val="auto"/>
        </w:rPr>
      </w:pPr>
      <w:r>
        <w:rPr>
          <w:rFonts w:ascii="Arial" w:cs="Arial" w:eastAsia="Arial" w:hAnsi="Arial"/>
          <w:sz w:val="18"/>
          <w:szCs w:val="18"/>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20" w:type="dxa"/>
            <w:vAlign w:val="bottom"/>
            <w:tcBorders>
              <w:bottom w:val="single" w:sz="8" w:color="CCEEFF"/>
            </w:tcBorders>
          </w:tcPr>
          <w:p>
            <w:pPr>
              <w:spacing w:after="0"/>
              <w:rPr>
                <w:sz w:val="19"/>
                <w:szCs w:val="19"/>
                <w:color w:val="auto"/>
              </w:rPr>
            </w:pPr>
          </w:p>
        </w:tc>
        <w:tc>
          <w:tcPr>
            <w:tcW w:w="29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25"/>
        </w:trPr>
        <w:tc>
          <w:tcPr>
            <w:tcW w:w="532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5"/>
        </w:trPr>
        <w:tc>
          <w:tcPr>
            <w:tcW w:w="53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2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 and expenses</w:t>
            </w:r>
          </w:p>
        </w:tc>
        <w:tc>
          <w:tcPr>
            <w:tcW w:w="2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5"/>
        </w:trPr>
        <w:tc>
          <w:tcPr>
            <w:tcW w:w="53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extinguishments of debt</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5320" w:type="dxa"/>
            <w:vAlign w:val="bottom"/>
          </w:tcPr>
          <w:p>
            <w:pPr>
              <w:ind w:left="180"/>
              <w:spacing w:after="0"/>
              <w:rPr>
                <w:sz w:val="20"/>
                <w:szCs w:val="20"/>
                <w:color w:val="auto"/>
              </w:rPr>
            </w:pPr>
            <w:r>
              <w:rPr>
                <w:rFonts w:ascii="Arial" w:cs="Arial" w:eastAsia="Arial" w:hAnsi="Arial"/>
                <w:sz w:val="18"/>
                <w:szCs w:val="18"/>
                <w:color w:val="auto"/>
              </w:rPr>
              <w:t>Gains on interest rate derivatives</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9"/>
        </w:trPr>
        <w:tc>
          <w:tcPr>
            <w:tcW w:w="5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4"/>
              </w:rPr>
              <w:t>Less: Net income attributable to redeemable noncontrolling interests</w:t>
            </w:r>
          </w:p>
        </w:tc>
        <w:tc>
          <w:tcPr>
            <w:tcW w:w="29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PARTNERS</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5"/>
        </w:trPr>
        <w:tc>
          <w:tcPr>
            <w:tcW w:w="5320" w:type="dxa"/>
            <w:vAlign w:val="bottom"/>
          </w:tcPr>
          <w:p>
            <w:pPr>
              <w:ind w:left="20"/>
              <w:spacing w:after="0"/>
              <w:rPr>
                <w:sz w:val="20"/>
                <w:szCs w:val="20"/>
                <w:color w:val="auto"/>
              </w:rPr>
            </w:pPr>
            <w:r>
              <w:rPr>
                <w:rFonts w:ascii="Arial" w:cs="Arial" w:eastAsia="Arial" w:hAnsi="Arial"/>
                <w:sz w:val="18"/>
                <w:szCs w:val="18"/>
                <w:color w:val="auto"/>
              </w:rPr>
              <w:t>General Partner’s interest in net income</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Unitholders’ interest in net income</w:t>
            </w:r>
          </w:p>
        </w:tc>
        <w:tc>
          <w:tcPr>
            <w:tcW w:w="29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5320" w:type="dxa"/>
            <w:vAlign w:val="bottom"/>
          </w:tcPr>
          <w:p>
            <w:pPr>
              <w:ind w:left="20"/>
              <w:spacing w:after="0" w:line="193" w:lineRule="exact"/>
              <w:rPr>
                <w:sz w:val="20"/>
                <w:szCs w:val="20"/>
                <w:color w:val="auto"/>
              </w:rPr>
            </w:pPr>
            <w:r>
              <w:rPr>
                <w:rFonts w:ascii="Arial" w:cs="Arial" w:eastAsia="Arial" w:hAnsi="Arial"/>
                <w:sz w:val="18"/>
                <w:szCs w:val="18"/>
                <w:color w:val="auto"/>
              </w:rPr>
              <w:t>Limited Partners’ interest in net income</w:t>
            </w:r>
          </w:p>
        </w:tc>
        <w:tc>
          <w:tcPr>
            <w:tcW w:w="3260" w:type="dxa"/>
            <w:vAlign w:val="bottom"/>
            <w:gridSpan w:val="2"/>
          </w:tcPr>
          <w:p>
            <w:pPr>
              <w:jc w:val="right"/>
              <w:ind w:right="220"/>
              <w:spacing w:after="0" w:line="19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3" w:lineRule="exact"/>
              <w:rPr>
                <w:sz w:val="20"/>
                <w:szCs w:val="20"/>
                <w:color w:val="auto"/>
              </w:rPr>
            </w:pPr>
            <w:r>
              <w:rPr>
                <w:rFonts w:ascii="Arial" w:cs="Arial" w:eastAsia="Arial" w:hAnsi="Arial"/>
                <w:sz w:val="18"/>
                <w:szCs w:val="18"/>
                <w:color w:val="auto"/>
              </w:rPr>
              <w:t>1,162</w:t>
            </w:r>
          </w:p>
        </w:tc>
        <w:tc>
          <w:tcPr>
            <w:tcW w:w="100" w:type="dxa"/>
            <w:vAlign w:val="bottom"/>
          </w:tcPr>
          <w:p>
            <w:pPr>
              <w:spacing w:after="0"/>
              <w:rPr>
                <w:sz w:val="16"/>
                <w:szCs w:val="16"/>
                <w:color w:val="auto"/>
              </w:rPr>
            </w:pPr>
          </w:p>
        </w:tc>
        <w:tc>
          <w:tcPr>
            <w:tcW w:w="320" w:type="dxa"/>
            <w:vAlign w:val="bottom"/>
          </w:tcPr>
          <w:p>
            <w:pPr>
              <w:jc w:val="right"/>
              <w:ind w:right="111"/>
              <w:spacing w:after="0" w:line="193" w:lineRule="exact"/>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line="193" w:lineRule="exact"/>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32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NET INCOME PER COMMON UNIT:</w:t>
            </w:r>
          </w:p>
        </w:tc>
        <w:tc>
          <w:tcPr>
            <w:tcW w:w="2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320" w:type="dxa"/>
            <w:vAlign w:val="bottom"/>
          </w:tcPr>
          <w:p>
            <w:pPr>
              <w:ind w:left="180"/>
              <w:spacing w:after="0"/>
              <w:rPr>
                <w:sz w:val="20"/>
                <w:szCs w:val="20"/>
                <w:color w:val="auto"/>
              </w:rPr>
            </w:pPr>
            <w:r>
              <w:rPr>
                <w:rFonts w:ascii="Arial" w:cs="Arial" w:eastAsia="Arial" w:hAnsi="Arial"/>
                <w:sz w:val="18"/>
                <w:szCs w:val="18"/>
                <w:color w:val="auto"/>
              </w:rPr>
              <w:t>Basic</w:t>
            </w:r>
          </w:p>
        </w:tc>
        <w:tc>
          <w:tcPr>
            <w:tcW w:w="3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NUMBER OF UNITS OUTSTANDING:</w:t>
            </w:r>
          </w:p>
        </w:tc>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2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2,702.8</w:t>
            </w:r>
          </w:p>
        </w:tc>
        <w:tc>
          <w:tcPr>
            <w:tcW w:w="0" w:type="dxa"/>
            <w:vAlign w:val="bottom"/>
          </w:tcPr>
          <w:p>
            <w:pPr>
              <w:spacing w:after="0"/>
              <w:rPr>
                <w:sz w:val="1"/>
                <w:szCs w:val="1"/>
                <w:color w:val="auto"/>
              </w:rPr>
            </w:pPr>
          </w:p>
        </w:tc>
      </w:tr>
      <w:tr>
        <w:trPr>
          <w:trHeight w:val="225"/>
        </w:trPr>
        <w:tc>
          <w:tcPr>
            <w:tcW w:w="5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851"/>
        </w:trPr>
        <w:tc>
          <w:tcPr>
            <w:tcW w:w="5320" w:type="dxa"/>
            <w:vAlign w:val="bottom"/>
          </w:tcPr>
          <w:p>
            <w:pPr>
              <w:spacing w:after="0"/>
              <w:rPr>
                <w:sz w:val="24"/>
                <w:szCs w:val="24"/>
                <w:color w:val="auto"/>
              </w:rPr>
            </w:pPr>
          </w:p>
        </w:tc>
        <w:tc>
          <w:tcPr>
            <w:tcW w:w="2940" w:type="dxa"/>
            <w:vAlign w:val="bottom"/>
          </w:tcPr>
          <w:p>
            <w:pPr>
              <w:jc w:val="right"/>
              <w:ind w:right="2511"/>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and units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680"/>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07"/>
        </w:trPr>
        <w:tc>
          <w:tcPr>
            <w:tcW w:w="8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0"/>
              <w:spacing w:after="0" w:line="208" w:lineRule="exact"/>
              <w:rPr>
                <w:sz w:val="20"/>
                <w:szCs w:val="20"/>
                <w:color w:val="auto"/>
              </w:rPr>
            </w:pPr>
            <w:r>
              <w:rPr>
                <w:rFonts w:ascii="Arial" w:cs="Arial" w:eastAsia="Arial" w:hAnsi="Arial"/>
                <w:sz w:val="16"/>
                <w:szCs w:val="16"/>
                <w:color w:val="auto"/>
                <w:w w:val="96"/>
              </w:rPr>
              <w:t>2021</w:t>
            </w:r>
            <w:r>
              <w:rPr>
                <w:rFonts w:ascii="Arial" w:cs="Arial" w:eastAsia="Arial" w:hAnsi="Arial"/>
                <w:sz w:val="20"/>
                <w:szCs w:val="20"/>
                <w:color w:val="auto"/>
                <w:w w:val="96"/>
                <w:vertAlign w:val="superscript"/>
              </w:rPr>
              <w:t>(a)</w:t>
            </w:r>
          </w:p>
        </w:tc>
        <w:tc>
          <w:tcPr>
            <w:tcW w:w="0" w:type="dxa"/>
            <w:vAlign w:val="bottom"/>
          </w:tcPr>
          <w:p>
            <w:pPr>
              <w:spacing w:after="0"/>
              <w:rPr>
                <w:sz w:val="1"/>
                <w:szCs w:val="1"/>
                <w:color w:val="auto"/>
              </w:rPr>
            </w:pPr>
          </w:p>
        </w:tc>
      </w:tr>
      <w:tr>
        <w:trPr>
          <w:trHeight w:val="193"/>
        </w:trPr>
        <w:tc>
          <w:tcPr>
            <w:tcW w:w="8360" w:type="dxa"/>
            <w:vAlign w:val="bottom"/>
          </w:tcPr>
          <w:p>
            <w:pPr>
              <w:ind w:left="20"/>
              <w:spacing w:after="0" w:line="193" w:lineRule="exact"/>
              <w:rPr>
                <w:sz w:val="20"/>
                <w:szCs w:val="20"/>
                <w:color w:val="auto"/>
              </w:rPr>
            </w:pPr>
            <w:r>
              <w:rPr>
                <w:rFonts w:ascii="Arial" w:cs="Arial" w:eastAsia="Arial" w:hAnsi="Arial"/>
                <w:sz w:val="16"/>
                <w:szCs w:val="16"/>
                <w:b w:val="1"/>
                <w:bCs w:val="1"/>
                <w:color w:val="auto"/>
              </w:rPr>
              <w:t>Reconciliation of net income to Adjusted EBITDA and Distributable Cash Flow</w:t>
            </w:r>
            <w:r>
              <w:rPr>
                <w:rFonts w:ascii="Arial" w:cs="Arial" w:eastAsia="Arial" w:hAnsi="Arial"/>
                <w:sz w:val="20"/>
                <w:szCs w:val="20"/>
                <w:b w:val="1"/>
                <w:bCs w:val="1"/>
                <w:color w:val="auto"/>
                <w:vertAlign w:val="superscript"/>
              </w:rPr>
              <w:t>(b)</w:t>
            </w: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Non-cash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on interest rate derivatives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Unrealized (gains) losses on commodity risk management activities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 on extinguishments of debt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Inventory valuation adjustments (Sunoco LP)</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 earnings of unconsolidated affiliates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8360" w:type="dxa"/>
            <w:vAlign w:val="bottom"/>
          </w:tcPr>
          <w:p>
            <w:pPr>
              <w:ind w:left="340"/>
              <w:spacing w:after="0"/>
              <w:rPr>
                <w:sz w:val="20"/>
                <w:szCs w:val="20"/>
                <w:color w:val="auto"/>
              </w:rPr>
            </w:pPr>
            <w:r>
              <w:rPr>
                <w:rFonts w:ascii="Arial" w:cs="Arial" w:eastAsia="Arial" w:hAnsi="Arial"/>
                <w:sz w:val="16"/>
                <w:szCs w:val="16"/>
                <w:color w:val="auto"/>
              </w:rPr>
              <w:t>Adjusted EBITDA (consolidated)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3,340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5,040</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 related to unconsolidated affiliates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Distributable cash flow from unconsolidated affiliates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 net of interest capitalized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Preferred unitholders’ distributions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income tax (expense) benefit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8360" w:type="dxa"/>
            <w:vAlign w:val="bottom"/>
          </w:tcPr>
          <w:p>
            <w:pPr>
              <w:ind w:left="180"/>
              <w:spacing w:after="0" w:line="213" w:lineRule="exact"/>
              <w:rPr>
                <w:sz w:val="20"/>
                <w:szCs w:val="20"/>
                <w:color w:val="auto"/>
              </w:rPr>
            </w:pPr>
            <w:r>
              <w:rPr>
                <w:rFonts w:ascii="Arial" w:cs="Arial" w:eastAsia="Arial" w:hAnsi="Arial"/>
                <w:sz w:val="16"/>
                <w:szCs w:val="16"/>
                <w:color w:val="auto"/>
              </w:rPr>
              <w:t>Transaction-related income taxes</w:t>
            </w:r>
            <w:r>
              <w:rPr>
                <w:rFonts w:ascii="Arial" w:cs="Arial" w:eastAsia="Arial" w:hAnsi="Arial"/>
                <w:sz w:val="20"/>
                <w:szCs w:val="20"/>
                <w:color w:val="auto"/>
                <w:vertAlign w:val="superscript"/>
              </w:rPr>
              <w:t>(c)</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Maintenance capital expenditures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(consolidated)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Sunoco LP (100%)</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Sunoco LP</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6"/>
                <w:szCs w:val="16"/>
                <w:color w:val="auto"/>
              </w:rPr>
              <w:t>Distributable Cash Flow attributable to USAC (100%)</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from USAC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Distributable Cash Flow attributable to noncontrolling interests in other non-wholly-owned consolidated subsidiaries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Distributable Cash Flow attributable to the partners of Energy Transfer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Transaction-related adjustments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Distributable Cash Flow attributable to the partners of Energy Transfer, as adjusted</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b w:val="1"/>
                <w:bCs w:val="1"/>
                <w:color w:val="auto"/>
              </w:rPr>
              <w:t>Distributions to partners: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Limited Partners</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General Partner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distributions to be paid to partners</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60" w:type="dxa"/>
            <w:vAlign w:val="bottom"/>
          </w:tcPr>
          <w:p>
            <w:pPr>
              <w:ind w:left="180"/>
              <w:spacing w:after="0"/>
              <w:rPr>
                <w:sz w:val="20"/>
                <w:szCs w:val="20"/>
                <w:color w:val="auto"/>
              </w:rPr>
            </w:pPr>
            <w:r>
              <w:rPr>
                <w:rFonts w:ascii="Arial" w:cs="Arial" w:eastAsia="Arial" w:hAnsi="Arial"/>
                <w:sz w:val="16"/>
                <w:szCs w:val="16"/>
                <w:color w:val="auto"/>
              </w:rPr>
              <w:t>Common Units outstanding – end of period</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3,084.7</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2,703.5</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 coverage ratio</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3.36x</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9.50x</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320" w:hanging="314"/>
        <w:spacing w:after="0" w:line="256" w:lineRule="auto"/>
        <w:tabs>
          <w:tab w:leader="none" w:pos="317" w:val="left"/>
        </w:tabs>
        <w:numPr>
          <w:ilvl w:val="0"/>
          <w:numId w:val="8"/>
        </w:numPr>
        <w:rPr>
          <w:rFonts w:ascii="Arial" w:cs="Arial" w:eastAsia="Arial" w:hAnsi="Arial"/>
          <w:sz w:val="18"/>
          <w:szCs w:val="18"/>
          <w:color w:val="auto"/>
        </w:rPr>
      </w:pPr>
      <w:r>
        <w:rPr>
          <w:rFonts w:ascii="Arial" w:cs="Arial" w:eastAsia="Arial" w:hAnsi="Arial"/>
          <w:sz w:val="18"/>
          <w:szCs w:val="18"/>
          <w:color w:val="auto"/>
        </w:rPr>
        <w:t>Winter Storm Uri, which occurred in February 2021, resulted in one-time impacts to the Partnership’s consolidated net income, Adjusted EBITDA and Distributable Cash Flow. Please see additional discussion of these impacts, as well as the potential impacts to future periods, included in the “Summary Analysis of Quarterly Results by Segment” below.</w:t>
      </w:r>
    </w:p>
    <w:p>
      <w:pPr>
        <w:spacing w:after="0" w:line="82" w:lineRule="exact"/>
        <w:rPr>
          <w:rFonts w:ascii="Arial" w:cs="Arial" w:eastAsia="Arial" w:hAnsi="Arial"/>
          <w:sz w:val="18"/>
          <w:szCs w:val="18"/>
          <w:color w:val="auto"/>
        </w:rPr>
      </w:pPr>
    </w:p>
    <w:p>
      <w:pPr>
        <w:jc w:val="both"/>
        <w:ind w:left="320" w:hanging="314"/>
        <w:spacing w:after="0" w:line="303" w:lineRule="auto"/>
        <w:tabs>
          <w:tab w:leader="none" w:pos="314"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Distributable Cash Flow and distribution coverage ratio are non-GAAP financial measures used by industry analysts, investors, lenders and rating agencies to assess the financial performance and the operating results of Energy Transfer’s fundamental business activities and should not be considered in isolation or as a substitute for net income, income from operations, cash flows from operating activities or other GAAP measures.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9" w:right="339" w:bottom="1440" w:gutter="0" w:footer="0" w:header="0"/>
        </w:sectPr>
      </w:pPr>
    </w:p>
    <w:bookmarkStart w:id="9" w:name="page10"/>
    <w:bookmarkEnd w:id="9"/>
    <w:p>
      <w:pPr>
        <w:jc w:val="both"/>
        <w:spacing w:after="0" w:line="250" w:lineRule="auto"/>
        <w:rPr>
          <w:sz w:val="20"/>
          <w:szCs w:val="20"/>
          <w:color w:val="auto"/>
        </w:rPr>
      </w:pPr>
      <w:r>
        <w:rPr>
          <w:rFonts w:ascii="Arial" w:cs="Arial" w:eastAsia="Arial" w:hAnsi="Arial"/>
          <w:sz w:val="18"/>
          <w:szCs w:val="18"/>
          <w:color w:val="auto"/>
        </w:rPr>
        <w:t>There are material limitations to using measures such as Adjusted EBITDA, Distributable Cash Flow and distribution coverage ratio, including the difficulty associated with using any such measure as the sole measure to compare the results of one company to another, and the inability to analyze certain significant items that directly affect a company’s net income or loss or cash flows. In addition, our calculations of Adjusted EBITDA, Distributable Cash Flow and distribution coverage ratio may not be consistent with similarly titled measures of other companies and should be viewed in conjunction with measurements that are computed in accordance with GAAP, such as operating income, net income and cash flow from operating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Adjusted EBITDA</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Inventory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Distributable Cash Flow</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1" w:lineRule="exact"/>
        <w:rPr>
          <w:sz w:val="20"/>
          <w:szCs w:val="20"/>
          <w:color w:val="auto"/>
        </w:rPr>
      </w:pPr>
    </w:p>
    <w:p>
      <w:pPr>
        <w:jc w:val="both"/>
        <w:ind w:left="320" w:hanging="315"/>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82" w:lineRule="exact"/>
        <w:rPr>
          <w:rFonts w:ascii="Arial" w:cs="Arial" w:eastAsia="Arial" w:hAnsi="Arial"/>
          <w:sz w:val="18"/>
          <w:szCs w:val="18"/>
          <w:color w:val="auto"/>
        </w:rPr>
      </w:pPr>
    </w:p>
    <w:p>
      <w:pPr>
        <w:jc w:val="both"/>
        <w:ind w:left="320" w:hanging="315"/>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consolidated joint ventures or similar entities, where the noncontrolling interest is not publicly traded, Distributable Cash Flow (consolidated) includes 100% of Distributable Cash Flow attributable to such subsidiaries, but Distributable Cash Flow attributable to partners reflects only the amount of Distributable Cash Flow of such subsidiaries that is attributable to our ownership interest.</w:t>
      </w:r>
    </w:p>
    <w:p>
      <w:pPr>
        <w:spacing w:after="0" w:line="200" w:lineRule="exact"/>
        <w:rPr>
          <w:sz w:val="20"/>
          <w:szCs w:val="20"/>
          <w:color w:val="auto"/>
        </w:rPr>
      </w:pPr>
    </w:p>
    <w:p>
      <w:pPr>
        <w:spacing w:after="0" w:line="32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640" w:top="1045" w:right="339" w:bottom="1440" w:gutter="0" w:footer="0" w:header="0"/>
        </w:sectPr>
      </w:pPr>
    </w:p>
    <w:bookmarkStart w:id="10" w:name="page11"/>
    <w:bookmarkEnd w:id="10"/>
    <w:p>
      <w:pPr>
        <w:ind w:left="320"/>
        <w:spacing w:after="0" w:line="266" w:lineRule="auto"/>
        <w:rPr>
          <w:sz w:val="20"/>
          <w:szCs w:val="20"/>
          <w:color w:val="auto"/>
        </w:rPr>
      </w:pPr>
      <w:r>
        <w:rPr>
          <w:rFonts w:ascii="Arial" w:cs="Arial" w:eastAsia="Arial" w:hAnsi="Arial"/>
          <w:sz w:val="18"/>
          <w:szCs w:val="18"/>
          <w:color w:val="auto"/>
        </w:rPr>
        <w:t>For Distributable Cash Flow attributable to partners, as adjusted, certain transaction-related adjustments and non-recurring expenses that are included in net income are excluded.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Distribution Coverage Ratio</w:t>
      </w:r>
    </w:p>
    <w:p>
      <w:pPr>
        <w:spacing w:after="0" w:line="165" w:lineRule="exact"/>
        <w:rPr>
          <w:sz w:val="20"/>
          <w:szCs w:val="20"/>
          <w:color w:val="auto"/>
        </w:rPr>
      </w:pPr>
    </w:p>
    <w:p>
      <w:pPr>
        <w:ind w:left="320"/>
        <w:spacing w:after="0" w:line="266" w:lineRule="auto"/>
        <w:rPr>
          <w:sz w:val="20"/>
          <w:szCs w:val="20"/>
          <w:color w:val="auto"/>
        </w:rPr>
      </w:pPr>
      <w:r>
        <w:rPr>
          <w:rFonts w:ascii="Arial" w:cs="Arial" w:eastAsia="Arial" w:hAnsi="Arial"/>
          <w:sz w:val="18"/>
          <w:szCs w:val="18"/>
          <w:color w:val="auto"/>
        </w:rPr>
        <w:t>Distribution coverage ratio for a period is calculated as Distributable Cash Flow attributable to partners, as adjusted, divided by distributions expected to be paid to the partners of Energy Transfer in respect of such period.</w:t>
      </w:r>
    </w:p>
    <w:p>
      <w:pPr>
        <w:spacing w:after="0" w:line="73" w:lineRule="exact"/>
        <w:rPr>
          <w:sz w:val="20"/>
          <w:szCs w:val="20"/>
          <w:color w:val="auto"/>
        </w:rPr>
      </w:pPr>
    </w:p>
    <w:p>
      <w:pPr>
        <w:ind w:left="320" w:hanging="314"/>
        <w:spacing w:after="0" w:line="266" w:lineRule="auto"/>
        <w:tabs>
          <w:tab w:leader="none" w:pos="3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three months ended March 31, 2022, the amount reflected for transaction-related income taxes was related to an amended return from a previous transaction.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4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SUMMARY ANALYSIS OF QUARTERLY RESULTS BY SEGMENT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in millions)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4"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82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5"/>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Intrastate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Withdrawals from storage natural gas inventory (BBtu)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19,045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Transported volumes increased primarily due to the acquisition of the Enable Oklahoma Intrastate Transmission system, as well as increased production in the Permian and Haynesville.</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intrastate transportation segment decreased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$1.50 billion in realized storage margin primarily due to higher physical storage margin from withdrawals during Winter Storm Uri in the prior period;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$862 million in realized natural gas sales and other primarily due to natural gas sales at prevailing market prices during Winter Storm Uri in the prior period;</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$61 million in retained fuel revenues related to natural gas prices during Winter Storm Uri in the prior period;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$4 million in selling, general and administrative expenses primarily due to higher allocated overhead costs from the addition of the Enable assets and higher corporate expenses; partially offset by</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$35 million in transportation fees primarily due to fees on the recently acquired Enable Oklahoma Intrastate Transmission system; and</w:t>
      </w:r>
    </w:p>
    <w:p>
      <w:pPr>
        <w:spacing w:after="0" w:line="135" w:lineRule="exact"/>
        <w:rPr>
          <w:rFonts w:ascii="Arial" w:cs="Arial" w:eastAsia="Arial" w:hAnsi="Arial"/>
          <w:sz w:val="16"/>
          <w:szCs w:val="16"/>
          <w:color w:val="auto"/>
        </w:rPr>
      </w:pPr>
    </w:p>
    <w:p>
      <w:pPr>
        <w:ind w:left="320" w:hanging="314"/>
        <w:spacing w:after="0" w:line="296" w:lineRule="auto"/>
        <w:tabs>
          <w:tab w:leader="none" w:pos="3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 of $17 million in operating expenses primarily due to a $16 million decrease in cost of fuel consumption and a $9 million decrease in utilities expenses, partially offset by $6 million of additional expenses from the Enable assets and a $2 million increase in ad valorem taxes.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74"/>
        </w:trPr>
        <w:tc>
          <w:tcPr>
            <w:tcW w:w="82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5"/>
              </w:rPr>
              <w:t>Selling, general and administrative expenses, excluding non-cash compensation, amortization and accretion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right="20"/>
        <w:spacing w:after="0" w:line="329" w:lineRule="auto"/>
        <w:rPr>
          <w:sz w:val="20"/>
          <w:szCs w:val="20"/>
          <w:color w:val="auto"/>
        </w:rPr>
      </w:pPr>
      <w:r>
        <w:rPr>
          <w:rFonts w:ascii="Arial" w:cs="Arial" w:eastAsia="Arial" w:hAnsi="Arial"/>
          <w:sz w:val="16"/>
          <w:szCs w:val="16"/>
          <w:color w:val="auto"/>
        </w:rPr>
        <w:t>Transported volumes increased primarily due to the impact of the Enable Acquisition, higher utilization on our Tiger system due to increased production in the Haynesville Shale, higher volumes on our Transwestern system and increased short-term firm and interruptible utilization on our Rover system.</w:t>
      </w:r>
    </w:p>
    <w:p>
      <w:pPr>
        <w:spacing w:after="0" w:line="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interstate transportation and storage segment was unchanged due to the net impacts of the following:</w:t>
      </w:r>
    </w:p>
    <w:p>
      <w:pPr>
        <w:spacing w:after="0" w:line="73" w:lineRule="exact"/>
        <w:rPr>
          <w:sz w:val="20"/>
          <w:szCs w:val="20"/>
          <w:color w:val="auto"/>
        </w:rPr>
      </w:pPr>
    </w:p>
    <w:p>
      <w:pPr>
        <w:jc w:val="both"/>
        <w:ind w:left="320" w:hanging="314"/>
        <w:spacing w:after="0" w:line="269" w:lineRule="auto"/>
        <w:tabs>
          <w:tab w:leader="none" w:pos="3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$22 million in segment margin primarily due to a $110 million increase resulting from the inclusion of interstate assets acquired in the Enable Acquisition and a $24 million increase in transportation revenue from our Transwestern, Rover and Trunkline Gas systems due to increased rates and higher utilization. These increases were partially offset by an $84 million decrease due to Winter Storm Uri related operational gas sale gains recorded in the prior period, a $19 million decrease resulting from shipper contract expirations and a shipper bankruptcy on our Tiger system in the prior period, and a $9 million decrease on our Panhandle system due to lower rates on capacity sold;</w:t>
      </w:r>
    </w:p>
    <w:p>
      <w:pPr>
        <w:spacing w:after="0" w:line="74"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$22 million in other primarily due to the realization in the current period of certain amounts related to a shipper bankruptcy that occurred in a prior period; and</w:t>
      </w:r>
    </w:p>
    <w:p>
      <w:pPr>
        <w:spacing w:after="0" w:line="73" w:lineRule="exact"/>
        <w:rPr>
          <w:rFonts w:ascii="Arial" w:cs="Arial" w:eastAsia="Arial" w:hAnsi="Arial"/>
          <w:sz w:val="18"/>
          <w:szCs w:val="18"/>
          <w:color w:val="auto"/>
        </w:rPr>
      </w:pPr>
    </w:p>
    <w:p>
      <w:pPr>
        <w:ind w:left="320" w:hanging="314"/>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$3 million in Adjusted EBITDA related to unconsolidated affiliates primarily due to the Enable Acquisition in December 2021; offset by</w:t>
      </w:r>
    </w:p>
    <w:p>
      <w:pPr>
        <w:spacing w:after="0" w:line="135" w:lineRule="exact"/>
        <w:rPr>
          <w:rFonts w:ascii="Arial" w:cs="Arial" w:eastAsia="Arial" w:hAnsi="Arial"/>
          <w:sz w:val="16"/>
          <w:szCs w:val="16"/>
          <w:color w:val="auto"/>
        </w:rPr>
      </w:pPr>
    </w:p>
    <w:p>
      <w:pPr>
        <w:jc w:val="both"/>
        <w:ind w:left="320" w:hanging="314"/>
        <w:spacing w:after="0" w:line="25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$37 million in operating expenses, which included a $36 million increase from the impact of the Enable Acquisition, a $4 million increase in maintenance project costs, a $3 million increase in electricity expense and a $2 million increase in ad valorem taxes. These increases were partially offset by a $7 million decrease due to lower utilization of third-party transportation services; and</w:t>
      </w:r>
    </w:p>
    <w:p>
      <w:pPr>
        <w:spacing w:after="0" w:line="8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in selling, general and administrative expenses primarily due to a $5 million increase from the impact of the Enable Acquisition and a $4 million increase resulting from higher employee costs.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gridSpan w:val="4"/>
          </w:tcPr>
          <w:p>
            <w:pPr>
              <w:jc w:val="right"/>
              <w:ind w:right="651"/>
              <w:spacing w:after="0"/>
              <w:rPr>
                <w:sz w:val="20"/>
                <w:szCs w:val="20"/>
                <w:color w:val="auto"/>
              </w:rPr>
            </w:pPr>
            <w:r>
              <w:rPr>
                <w:rFonts w:ascii="Arial" w:cs="Arial" w:eastAsia="Arial" w:hAnsi="Arial"/>
                <w:sz w:val="18"/>
                <w:szCs w:val="18"/>
                <w:color w:val="auto"/>
              </w:rPr>
              <w:t>Three Months Ended</w:t>
            </w:r>
          </w:p>
        </w:tc>
      </w:tr>
      <w:tr>
        <w:trPr>
          <w:trHeight w:val="225"/>
        </w:trPr>
        <w:tc>
          <w:tcPr>
            <w:tcW w:w="8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r>
      <w:tr>
        <w:trPr>
          <w:trHeight w:val="219"/>
        </w:trPr>
        <w:tc>
          <w:tcPr>
            <w:tcW w:w="824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Gathered volumes and NGL production increased compared to the same period last year due to increased production in South Texas, additional gathering capacity from the Permian Bridge Pipeline and new volumes from the Enable Acquisition in December 2021.</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midstream segment increased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$106 million in non-fee-based margin due to favorable natural gas prices of $34 million and NGL prices of $72 million;</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$143 million in non-fee-based margin due to the impacts of Winter Storm Uri in the prior period;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$101 million in non-fee-based margin due to the Enable Acquisition in December 2021;</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$20 million in non-fee-based margin due to increased production in the Permian and South Texas regions;</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$171 million in fee-based margin due to the Enable Acquisition in December 2021;</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$28 million in fee-based margin due to increased production in the Permian and South Texas regions; and</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$38 million in other primarily due to the realization in the current period of certain amounts related to a shipper bankruptcy that occurred in a prior period; partially offset by</w:t>
      </w:r>
    </w:p>
    <w:p>
      <w:pPr>
        <w:spacing w:after="0" w:line="73" w:lineRule="exact"/>
        <w:rPr>
          <w:rFonts w:ascii="Arial" w:cs="Arial" w:eastAsia="Arial" w:hAnsi="Arial"/>
          <w:sz w:val="18"/>
          <w:szCs w:val="18"/>
          <w:color w:val="auto"/>
        </w:rPr>
      </w:pPr>
    </w:p>
    <w:p>
      <w:pPr>
        <w:ind w:left="320" w:hanging="314"/>
        <w:spacing w:after="0" w:line="296" w:lineRule="auto"/>
        <w:tabs>
          <w:tab w:leader="none" w:pos="3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of $70 million in operating expenses due to $41 million in incremental operating expenses related to the Enable assets acquired in December 2021 and an increase of $29 million due to higher outside services, materials, employee costs and ad valorem taxes; and</w:t>
      </w:r>
    </w:p>
    <w:p>
      <w:pPr>
        <w:spacing w:after="0" w:line="49" w:lineRule="exact"/>
        <w:rPr>
          <w:rFonts w:ascii="Arial" w:cs="Arial" w:eastAsia="Arial" w:hAnsi="Arial"/>
          <w:sz w:val="17"/>
          <w:szCs w:val="17"/>
          <w:color w:val="auto"/>
        </w:rPr>
      </w:pPr>
    </w:p>
    <w:p>
      <w:pPr>
        <w:ind w:left="320" w:hanging="314"/>
        <w:spacing w:after="0" w:line="266"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$19 million in selling, general and administrative expenses due to an increase in allocated overhead costs driven by the Enable Acquisition in December 2021.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6,277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3,990</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5,356</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3,141</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NGL transportation volumes increased primarily due to higher volumes from the Permian and Eagle Ford regions and the ramp-up in volumes on our propane and ethane export pipelines into our Nederland Terminal.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Refined products transportation volumes increased due to recovery from COVID-19 related demand reduction in the prior period.</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NGL and refined products terminal volumes increased primarily due to the ramp-up in volumes on our propane and ethane export pipelines and refined product demand recovery.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three months ended March 31, 2022 compared to the same period last year, Segment Adjusted EBITDA related to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NGL and refined products transportation and services segment increased due to the net impacts of the following:</w:t>
      </w:r>
    </w:p>
    <w:p>
      <w:pPr>
        <w:spacing w:after="0" w:line="101" w:lineRule="exact"/>
        <w:rPr>
          <w:sz w:val="20"/>
          <w:szCs w:val="20"/>
          <w:color w:val="auto"/>
        </w:rPr>
      </w:pPr>
    </w:p>
    <w:p>
      <w:pPr>
        <w:jc w:val="both"/>
        <w:ind w:left="320" w:hanging="314"/>
        <w:spacing w:after="0" w:line="253"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$48 million in marketing margin primarily due to intrasegment charges of $44 million, which are fully offset within our transportation margin, and an increase of $28 million from our northeast blending and optimization activities. These increases were partially offset by a $24 million decrease due to lower gains from the optimization of NGL component products from our Gulf Coast NGL activities, primarily due to gains realized during the prior period due to market volatility;</w:t>
      </w:r>
    </w:p>
    <w:p>
      <w:pPr>
        <w:spacing w:after="0" w:line="84"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$40 million in fractionators and refinery services margin primarily due to a $27 million increase from higher volumes and increased utilization of our ethane optimization strategy in the first quarter of 2022 and a $15 million intrasegment charge related to cavern withdrawals, which is fully offset in our transportation margin;</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$10 million in terminal services margin primarily due to increased export volumes loaded at our Nederland Terminal;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 million in storage margin primarily due to increased volumes exported from our Nederland Terminal; partially offset by</w:t>
      </w:r>
    </w:p>
    <w:p>
      <w:pPr>
        <w:spacing w:after="0" w:line="112"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$30 million in operating expenses primarily due to a $19 million increase in utilities costs resulting from higher power and gas prices, a $6 million increase in ad valorem taxes and a $3 million increase in employee related costs;</w:t>
      </w:r>
    </w:p>
    <w:p>
      <w:pPr>
        <w:spacing w:after="0" w:line="73" w:lineRule="exact"/>
        <w:rPr>
          <w:rFonts w:ascii="Arial" w:cs="Arial" w:eastAsia="Arial" w:hAnsi="Arial"/>
          <w:sz w:val="18"/>
          <w:szCs w:val="18"/>
          <w:color w:val="auto"/>
        </w:rPr>
      </w:pPr>
    </w:p>
    <w:p>
      <w:pPr>
        <w:jc w:val="both"/>
        <w:ind w:left="320" w:hanging="314"/>
        <w:spacing w:after="0" w:line="294" w:lineRule="auto"/>
        <w:tabs>
          <w:tab w:leader="none" w:pos="3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decrease of $13 million in transportation margin primarily due to intrasegment charges of $44 million, which are fully offset within our marketing margin, a $15 million intrasegment charge related to cavern withdrawals, which is offset in our fractionators margin, and a $4 million decrease resulting from lower throughput on our Mariner West pipeline. These decreases were partially offset by a $42 million increase resulting from increased y-grade throughput on our Texas pipeline system, and an $8 million increase from higher exported volumes feeding into our Nederland Terminal; and</w:t>
      </w:r>
    </w:p>
    <w:p>
      <w:pPr>
        <w:spacing w:after="0" w:line="55"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$7 million in selling, general and administrative expenses primarily due to a $4 million increase in information technology costs and a $3 million increase in employee related costs.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4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4,216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3,537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Crude terminal volumes (MBbls/d)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2,765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2,358</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5,179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2,838</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Crude transportation volumes were higher on our Texas pipeline system and Bakken pipeline, driven by the continued recovery in crude oil production in these regions as a result of higher crude oil prices, higher refinery demand, and Winter Storm Uri impacting crude oil production in the prior period. Additionally, volumes benefited from higher demand on our Bayou Bridge pipeline, the initiation of service on our Cushing South pipeline in 2021, and contributions from assets acquired in the Enable Acquisition. Crude terminal volumes were higher due to increased refinery and export activity at our Gulf Coast terminals.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crude oil transportation and services segment increased due to the net impacts of the following:</w:t>
      </w:r>
    </w:p>
    <w:p>
      <w:pPr>
        <w:spacing w:after="0" w:line="73" w:lineRule="exact"/>
        <w:rPr>
          <w:sz w:val="20"/>
          <w:szCs w:val="20"/>
          <w:color w:val="auto"/>
        </w:rPr>
      </w:pPr>
    </w:p>
    <w:p>
      <w:pPr>
        <w:jc w:val="both"/>
        <w:ind w:left="320" w:hanging="314"/>
        <w:spacing w:after="0" w:line="290" w:lineRule="auto"/>
        <w:tabs>
          <w:tab w:leader="none" w:pos="3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$101 million in segment margin (excluding unrealized gains and losses on commodity risk management activities) primarily due to an $83 million increase due to higher volumes on our Bakken Pipeline, a $16 million increase due to the Enable Acquisition in December 2021, an $11 million increase from our Texas crude pipeline system due to higher volumes transported, a $6 million increase due to higher volumes on our Bayou Bridge pipeline, and a $5 million increase in throughput at our Gulf Coast terminals, partly offset by a $20 million decrease from our crude oil acquisition and marketing business primarily due to increased tariffs paid to our affiliate pipeline and terminal businesses; partially offset by</w:t>
      </w:r>
    </w:p>
    <w:p>
      <w:pPr>
        <w:spacing w:after="0" w:line="58" w:lineRule="exact"/>
        <w:rPr>
          <w:rFonts w:ascii="Arial" w:cs="Arial" w:eastAsia="Arial" w:hAnsi="Arial"/>
          <w:sz w:val="16"/>
          <w:szCs w:val="16"/>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$15 million in operating expenses primarily due to higher ad valorem taxes, higher volume-driven expenses, and expenses related to assets acquired in 2021;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of $4 million in Adjusted EBITDA related to unconsolidated affiliates due to the consolidation of certain operations that were previously reflected as unconsolidated affiliates.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4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3,471</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4,972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3,120</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0"/>
        </w:trPr>
        <w:tc>
          <w:tcPr>
            <w:tcW w:w="8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Sunoco LP segment increased due to the net impacts of the following:</w:t>
      </w:r>
    </w:p>
    <w:p>
      <w:pPr>
        <w:spacing w:after="0" w:line="73" w:lineRule="exact"/>
        <w:rPr>
          <w:sz w:val="20"/>
          <w:szCs w:val="20"/>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gross profit on motor fuel sales of $36 million primarily due to a 19.6% increase in gross profit per gallon sold and a 0.8% increase in gallons sold; and</w:t>
      </w:r>
    </w:p>
    <w:p>
      <w:pPr>
        <w:spacing w:after="0" w:line="73" w:lineRule="exact"/>
        <w:rPr>
          <w:rFonts w:ascii="Arial" w:cs="Arial" w:eastAsia="Arial" w:hAnsi="Arial"/>
          <w:sz w:val="18"/>
          <w:szCs w:val="18"/>
          <w:color w:val="auto"/>
        </w:rPr>
      </w:pPr>
    </w:p>
    <w:p>
      <w:pPr>
        <w:ind w:left="320" w:hanging="314"/>
        <w:spacing w:after="0" w:line="26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non-motor fuel sales and lease gross profit of $21 million primarily due to an increase in storage tanks and terminals gross profit from Sunoco LP’s recent acquisition of refined product terminals; partially offset by</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operating expenses and selling, general and administrative expenses of $23 million primarily due to higher costs as a result of Sunoco LP’s recent acquisition of refined product terminals, higher employee costs, credit card processing fees, environmental costs, maintenance costs, acquisition costs and expected credit losses.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185"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0"/>
        </w:trPr>
        <w:tc>
          <w:tcPr>
            <w:tcW w:w="824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three months ended March 31, 2022 compared to the same period last year, Segment Adjusted EBITDA related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USAC segment decreased primarily due to an increase of $2 million in selling, general and administrative expenses primarily due to higher employee expenses and changes in the provision for credit losses.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4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4"/>
        </w:trPr>
        <w:tc>
          <w:tcPr>
            <w:tcW w:w="824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1"/>
        </w:trPr>
        <w:tc>
          <w:tcPr>
            <w:tcW w:w="8240" w:type="dxa"/>
            <w:vAlign w:val="bottom"/>
          </w:tcPr>
          <w:p>
            <w:pPr>
              <w:spacing w:after="0"/>
              <w:rPr>
                <w:sz w:val="24"/>
                <w:szCs w:val="24"/>
                <w:color w:val="auto"/>
              </w:rPr>
            </w:pPr>
          </w:p>
        </w:tc>
        <w:tc>
          <w:tcPr>
            <w:tcW w:w="2460" w:type="dxa"/>
            <w:vAlign w:val="bottom"/>
            <w:gridSpan w:val="4"/>
          </w:tcPr>
          <w:p>
            <w:pPr>
              <w:jc w:val="right"/>
              <w:ind w:right="131"/>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24"/>
                <w:szCs w:val="24"/>
                <w:color w:val="auto"/>
              </w:rPr>
            </w:pPr>
          </w:p>
        </w:tc>
      </w:tr>
      <w:tr>
        <w:trPr>
          <w:trHeight w:val="225"/>
        </w:trPr>
        <w:tc>
          <w:tcPr>
            <w:tcW w:w="8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511"/>
              <w:spacing w:after="0"/>
              <w:rPr>
                <w:sz w:val="20"/>
                <w:szCs w:val="20"/>
                <w:color w:val="auto"/>
              </w:rPr>
            </w:pPr>
            <w:r>
              <w:rPr>
                <w:rFonts w:ascii="Arial" w:cs="Arial" w:eastAsia="Arial" w:hAnsi="Arial"/>
                <w:sz w:val="18"/>
                <w:szCs w:val="18"/>
                <w:color w:val="auto"/>
              </w:rPr>
              <w:t>March 31,</w:t>
            </w:r>
          </w:p>
        </w:tc>
        <w:tc>
          <w:tcPr>
            <w:tcW w:w="520" w:type="dxa"/>
            <w:vAlign w:val="bottom"/>
            <w:tcBorders>
              <w:bottom w:val="single" w:sz="8" w:color="auto"/>
            </w:tcBorders>
          </w:tcPr>
          <w:p>
            <w:pPr>
              <w:spacing w:after="0"/>
              <w:rPr>
                <w:sz w:val="19"/>
                <w:szCs w:val="19"/>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2C2C2C"/>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r>
      <w:tr>
        <w:trPr>
          <w:trHeight w:val="22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1,512</w:t>
            </w:r>
          </w:p>
        </w:tc>
      </w:tr>
      <w:tr>
        <w:trPr>
          <w:trHeight w:val="225"/>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1,342</w:t>
            </w:r>
          </w:p>
        </w:tc>
      </w:tr>
      <w:tr>
        <w:trPr>
          <w:trHeight w:val="22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color w:val="auto"/>
              </w:rPr>
              <w:t>Other and eliminations</w:t>
            </w: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5"/>
        </w:trPr>
        <w:tc>
          <w:tcPr>
            <w:tcW w:w="8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100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For the three months ended March 31, 2022 compared to the same period last year, Segment Adjusted EBITDA related to our all other segment decreased primarily due to the net impacts of the following:</w:t>
      </w:r>
    </w:p>
    <w:p>
      <w:pPr>
        <w:spacing w:after="0" w:line="73" w:lineRule="exact"/>
        <w:rPr>
          <w:sz w:val="20"/>
          <w:szCs w:val="20"/>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$43 million due to gains in the prior period related to Winter Storm Uri; partially offset by</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$13 million in ad valorem taxes; and</w:t>
      </w:r>
    </w:p>
    <w:p>
      <w:pPr>
        <w:spacing w:after="0" w:line="112" w:lineRule="exact"/>
        <w:rPr>
          <w:rFonts w:ascii="Arial" w:cs="Arial" w:eastAsia="Arial" w:hAnsi="Arial"/>
          <w:sz w:val="18"/>
          <w:szCs w:val="18"/>
          <w:color w:val="auto"/>
        </w:rPr>
      </w:pPr>
    </w:p>
    <w:p>
      <w:pPr>
        <w:ind w:left="320" w:hanging="314"/>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$10 million due to higher merger and acquisition expenses in the prior period.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4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LIQUIDITY</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following table summarizes the status of our revolving credit facility. We also have consolidated subsidiaries with revolving credit facilities which are not included in this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Facility Size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Funds Available at March</w:t>
            </w:r>
          </w:p>
        </w:tc>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3"/>
              </w:rPr>
              <w:t>Maturity Date</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color w:val="auto"/>
              </w:rPr>
              <w:t>31, 2022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Five-Year Revolving Credit Facility</w:t>
            </w:r>
          </w:p>
        </w:tc>
        <w:tc>
          <w:tcPr>
            <w:tcW w:w="1420" w:type="dxa"/>
            <w:vAlign w:val="bottom"/>
            <w:shd w:val="clear" w:color="auto" w:fill="CCEEFF"/>
          </w:tcPr>
          <w:p>
            <w:pPr>
              <w:jc w:val="right"/>
              <w:ind w:right="121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8, 2027</w:t>
            </w:r>
          </w:p>
        </w:tc>
        <w:tc>
          <w:tcPr>
            <w:tcW w:w="0" w:type="dxa"/>
            <w:vAlign w:val="bottom"/>
          </w:tcPr>
          <w:p>
            <w:pPr>
              <w:spacing w:after="0"/>
              <w:rPr>
                <w:sz w:val="1"/>
                <w:szCs w:val="1"/>
                <w:color w:val="auto"/>
              </w:rPr>
            </w:pPr>
          </w:p>
        </w:tc>
      </w:tr>
      <w:tr>
        <w:trPr>
          <w:trHeight w:val="850"/>
        </w:trPr>
        <w:tc>
          <w:tcPr>
            <w:tcW w:w="5200" w:type="dxa"/>
            <w:vAlign w:val="bottom"/>
          </w:tcPr>
          <w:p>
            <w:pPr>
              <w:spacing w:after="0"/>
              <w:rPr>
                <w:sz w:val="24"/>
                <w:szCs w:val="24"/>
                <w:color w:val="auto"/>
              </w:rPr>
            </w:pPr>
          </w:p>
        </w:tc>
        <w:tc>
          <w:tcPr>
            <w:tcW w:w="1420" w:type="dxa"/>
            <w:vAlign w:val="bottom"/>
          </w:tcPr>
          <w:p>
            <w:pPr>
              <w:jc w:val="right"/>
              <w:ind w:right="811"/>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INFORMATION ON UNCONSOLIDATED AFFILIATES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46"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3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5"/>
        </w:trPr>
        <w:tc>
          <w:tcPr>
            <w:tcW w:w="5060" w:type="dxa"/>
            <w:vAlign w:val="bottom"/>
            <w:vMerge w:val="continue"/>
          </w:tcPr>
          <w:p>
            <w:pPr>
              <w:spacing w:after="0"/>
              <w:rPr>
                <w:sz w:val="17"/>
                <w:szCs w:val="17"/>
                <w:color w:val="auto"/>
              </w:rPr>
            </w:pPr>
          </w:p>
        </w:tc>
        <w:tc>
          <w:tcPr>
            <w:tcW w:w="3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equity in earnings (losses) of unconsolidated affiliates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Adjusted EBITDA related to unconsolidated affiliates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6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Arial" w:cs="Arial" w:eastAsia="Arial" w:hAnsi="Arial"/>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0"/>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distributions received from unconsolidated affiliates</w:t>
            </w:r>
          </w:p>
        </w:tc>
        <w:tc>
          <w:tcPr>
            <w:tcW w:w="418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431"/>
              <w:spacing w:after="0"/>
              <w:rPr>
                <w:sz w:val="20"/>
                <w:szCs w:val="20"/>
                <w:color w:val="auto"/>
              </w:rPr>
            </w:pPr>
            <w:r>
              <w:rPr>
                <w:rFonts w:ascii="Arial" w:cs="Arial" w:eastAsia="Arial" w:hAnsi="Arial"/>
                <w:sz w:val="18"/>
                <w:szCs w:val="18"/>
                <w:color w:val="auto"/>
              </w:rPr>
              <w:t>18</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50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9"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ENERGY TRANSFER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SUPPLEMENTAL INFORMATION ON NON-WHOLLY-OWNED JOINT VENTURE SUBSIDIARIES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(unaudited)</w:t>
      </w:r>
    </w:p>
    <w:p>
      <w:pPr>
        <w:spacing w:after="0" w:line="154"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The table below provides information on an aggregated basis for our non-wholly-owned joint venture subsidiaries, which are reflected on a consolidated basis in our financial statements. The table below excludes Sunoco LP and USAC, which are non-wholly-owned subsidiaries that are publicly traded.</w:t>
      </w:r>
    </w:p>
    <w:p>
      <w:pPr>
        <w:spacing w:after="0" w:line="100" w:lineRule="exact"/>
        <w:rPr>
          <w:sz w:val="20"/>
          <w:szCs w:val="20"/>
          <w:color w:val="auto"/>
        </w:rPr>
      </w:pPr>
    </w:p>
    <w:p>
      <w:pPr>
        <w:jc w:val="center"/>
        <w:ind w:left="8200"/>
        <w:spacing w:after="0"/>
        <w:rPr>
          <w:sz w:val="20"/>
          <w:szCs w:val="20"/>
          <w:color w:val="auto"/>
        </w:rPr>
      </w:pPr>
      <w:r>
        <w:rPr>
          <w:rFonts w:ascii="Arial" w:cs="Arial" w:eastAsia="Arial" w:hAnsi="Arial"/>
          <w:sz w:val="18"/>
          <w:szCs w:val="18"/>
          <w:color w:val="auto"/>
        </w:rPr>
        <w:t>Three Months Ended</w:t>
      </w:r>
    </w:p>
    <w:p>
      <w:pPr>
        <w:jc w:val="center"/>
        <w:ind w:left="8200"/>
        <w:spacing w:after="0"/>
        <w:rPr>
          <w:sz w:val="20"/>
          <w:szCs w:val="20"/>
          <w:color w:val="auto"/>
        </w:rPr>
      </w:pPr>
      <w:r>
        <w:rPr>
          <w:rFonts w:ascii="Arial" w:cs="Arial" w:eastAsia="Arial" w:hAnsi="Arial"/>
          <w:sz w:val="18"/>
          <w:szCs w:val="18"/>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2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color w:val="auto"/>
              </w:rPr>
              <w:t>2021</w:t>
            </w:r>
          </w:p>
        </w:tc>
      </w:tr>
      <w:tr>
        <w:trPr>
          <w:trHeight w:val="219"/>
        </w:trPr>
        <w:tc>
          <w:tcPr>
            <w:tcW w:w="82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Adjusted EBITDA of non-wholly-owned subsidiaries (100%) </w:t>
            </w:r>
            <w:r>
              <w:rPr>
                <w:rFonts w:ascii="Arial" w:cs="Arial" w:eastAsia="Arial" w:hAnsi="Arial"/>
                <w:sz w:val="23"/>
                <w:szCs w:val="23"/>
                <w:color w:val="auto"/>
                <w:vertAlign w:val="superscript"/>
              </w:rPr>
              <w:t>(a)</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Adjusted EBITDA of non-wholly-owned subsidiaries </w:t>
            </w:r>
            <w:r>
              <w:rPr>
                <w:rFonts w:ascii="Arial" w:cs="Arial" w:eastAsia="Arial" w:hAnsi="Arial"/>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191"/>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6"/>
        </w:trPr>
        <w:tc>
          <w:tcPr>
            <w:tcW w:w="82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Distributable Cash Flow of non-wholly-owned subsidiaries (100%) </w:t>
            </w:r>
            <w:r>
              <w:rPr>
                <w:rFonts w:ascii="Arial" w:cs="Arial" w:eastAsia="Arial" w:hAnsi="Arial"/>
                <w:sz w:val="23"/>
                <w:szCs w:val="23"/>
                <w:color w:val="auto"/>
                <w:vertAlign w:val="superscript"/>
              </w:rPr>
              <w:t>(c)</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300"/>
        </w:trPr>
        <w:tc>
          <w:tcPr>
            <w:tcW w:w="8240" w:type="dxa"/>
            <w:vAlign w:val="bottom"/>
          </w:tcPr>
          <w:p>
            <w:pPr>
              <w:ind w:left="20"/>
              <w:spacing w:after="0"/>
              <w:rPr>
                <w:sz w:val="20"/>
                <w:szCs w:val="20"/>
                <w:color w:val="auto"/>
              </w:rPr>
            </w:pPr>
            <w:r>
              <w:rPr>
                <w:rFonts w:ascii="Arial" w:cs="Arial" w:eastAsia="Arial" w:hAnsi="Arial"/>
                <w:sz w:val="18"/>
                <w:szCs w:val="18"/>
                <w:color w:val="auto"/>
              </w:rPr>
              <w:t xml:space="preserve">Our proportionate share of Distributable Cash Flow of non-wholly-owned subsidiaries </w:t>
            </w:r>
            <w:r>
              <w:rPr>
                <w:rFonts w:ascii="Arial" w:cs="Arial" w:eastAsia="Arial" w:hAnsi="Arial"/>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8"/>
                <w:szCs w:val="18"/>
                <w:color w:val="auto"/>
              </w:rPr>
              <w:t>Below is our ownership percentage of certain non-wholly-owned subsidiaries:</w:t>
            </w:r>
          </w:p>
        </w:tc>
        <w:tc>
          <w:tcPr>
            <w:tcW w:w="3060" w:type="dxa"/>
            <w:vAlign w:val="bottom"/>
          </w:tcPr>
          <w:p>
            <w:pPr>
              <w:spacing w:after="0"/>
              <w:rPr>
                <w:sz w:val="19"/>
                <w:szCs w:val="19"/>
                <w:color w:val="auto"/>
              </w:rPr>
            </w:pPr>
          </w:p>
        </w:tc>
      </w:tr>
      <w:tr>
        <w:trPr>
          <w:trHeight w:val="41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Non-wholly-owned subsidiary:</w:t>
            </w:r>
          </w:p>
        </w:tc>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xml:space="preserve">Energy Transfer Percentage Ownership </w:t>
            </w:r>
            <w:r>
              <w:rPr>
                <w:rFonts w:ascii="Arial" w:cs="Arial" w:eastAsia="Arial" w:hAnsi="Arial"/>
                <w:sz w:val="23"/>
                <w:szCs w:val="23"/>
                <w:color w:val="auto"/>
                <w:w w:val="87"/>
                <w:vertAlign w:val="superscript"/>
              </w:rPr>
              <w:t>(e)</w:t>
            </w:r>
          </w:p>
        </w:tc>
      </w:tr>
      <w:tr>
        <w:trPr>
          <w:trHeight w:val="219"/>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Bakken Pipeline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Bayou Bridge</w:t>
            </w:r>
          </w:p>
        </w:tc>
        <w:tc>
          <w:tcPr>
            <w:tcW w:w="3060" w:type="dxa"/>
            <w:vAlign w:val="bottom"/>
          </w:tcPr>
          <w:p>
            <w:pPr>
              <w:jc w:val="right"/>
              <w:spacing w:after="0"/>
              <w:rPr>
                <w:sz w:val="20"/>
                <w:szCs w:val="20"/>
                <w:color w:val="auto"/>
              </w:rPr>
            </w:pPr>
            <w:r>
              <w:rPr>
                <w:rFonts w:ascii="Arial" w:cs="Arial" w:eastAsia="Arial" w:hAnsi="Arial"/>
                <w:sz w:val="18"/>
                <w:szCs w:val="18"/>
                <w:color w:val="auto"/>
              </w:rPr>
              <w:t>60.0 %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Maurepas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Ohio River System</w:t>
            </w:r>
          </w:p>
        </w:tc>
        <w:tc>
          <w:tcPr>
            <w:tcW w:w="3060" w:type="dxa"/>
            <w:vAlign w:val="bottom"/>
          </w:tcPr>
          <w:p>
            <w:pPr>
              <w:jc w:val="right"/>
              <w:spacing w:after="0"/>
              <w:rPr>
                <w:sz w:val="20"/>
                <w:szCs w:val="20"/>
                <w:color w:val="auto"/>
              </w:rPr>
            </w:pPr>
            <w:r>
              <w:rPr>
                <w:rFonts w:ascii="Arial" w:cs="Arial" w:eastAsia="Arial" w:hAnsi="Arial"/>
                <w:sz w:val="18"/>
                <w:szCs w:val="18"/>
                <w:color w:val="auto"/>
              </w:rPr>
              <w:t>75.0 %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Permian Express Partners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Red Bluff Express</w:t>
            </w:r>
          </w:p>
        </w:tc>
        <w:tc>
          <w:tcPr>
            <w:tcW w:w="3060" w:type="dxa"/>
            <w:vAlign w:val="bottom"/>
          </w:tcPr>
          <w:p>
            <w:pPr>
              <w:jc w:val="right"/>
              <w:spacing w:after="0"/>
              <w:rPr>
                <w:sz w:val="20"/>
                <w:szCs w:val="20"/>
                <w:color w:val="auto"/>
              </w:rPr>
            </w:pPr>
            <w:r>
              <w:rPr>
                <w:rFonts w:ascii="Arial" w:cs="Arial" w:eastAsia="Arial" w:hAnsi="Arial"/>
                <w:sz w:val="18"/>
                <w:szCs w:val="18"/>
                <w:color w:val="auto"/>
              </w:rPr>
              <w:t>70.0 %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Rover</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r>
      <w:tr>
        <w:trPr>
          <w:trHeight w:val="225"/>
        </w:trPr>
        <w:tc>
          <w:tcPr>
            <w:tcW w:w="8160" w:type="dxa"/>
            <w:vAlign w:val="bottom"/>
          </w:tcPr>
          <w:p>
            <w:pPr>
              <w:ind w:left="180"/>
              <w:spacing w:after="0"/>
              <w:rPr>
                <w:sz w:val="20"/>
                <w:szCs w:val="20"/>
                <w:color w:val="auto"/>
              </w:rPr>
            </w:pPr>
            <w:r>
              <w:rPr>
                <w:rFonts w:ascii="Arial" w:cs="Arial" w:eastAsia="Arial" w:hAnsi="Arial"/>
                <w:sz w:val="18"/>
                <w:szCs w:val="18"/>
                <w:color w:val="auto"/>
              </w:rPr>
              <w:t>Energy Transfer Canada</w:t>
            </w:r>
          </w:p>
        </w:tc>
        <w:tc>
          <w:tcPr>
            <w:tcW w:w="3060" w:type="dxa"/>
            <w:vAlign w:val="bottom"/>
          </w:tcPr>
          <w:p>
            <w:pPr>
              <w:jc w:val="right"/>
              <w:spacing w:after="0"/>
              <w:rPr>
                <w:sz w:val="20"/>
                <w:szCs w:val="20"/>
                <w:color w:val="auto"/>
              </w:rPr>
            </w:pPr>
            <w:r>
              <w:rPr>
                <w:rFonts w:ascii="Arial" w:cs="Arial" w:eastAsia="Arial" w:hAnsi="Arial"/>
                <w:sz w:val="18"/>
                <w:szCs w:val="18"/>
                <w:color w:val="auto"/>
              </w:rPr>
              <w:t>51.0 %</w:t>
            </w:r>
          </w:p>
        </w:tc>
      </w:tr>
      <w:tr>
        <w:trPr>
          <w:trHeight w:val="22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r>
    </w:tbl>
    <w:p>
      <w:pPr>
        <w:spacing w:after="0" w:line="174" w:lineRule="exact"/>
        <w:rPr>
          <w:sz w:val="20"/>
          <w:szCs w:val="20"/>
          <w:color w:val="auto"/>
        </w:rPr>
      </w:pPr>
    </w:p>
    <w:p>
      <w:pPr>
        <w:ind w:left="320" w:hanging="314"/>
        <w:spacing w:after="0" w:line="26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of non-wholly-owned subsidiaries reflects the total Adjusted EBITDA of our non-wholly-owned subsidiaries on an aggregated basis. This is the amount of EBITDA included in our consolidated non-GAAP measure of Adjusted EBITDA.</w:t>
      </w:r>
    </w:p>
    <w:p>
      <w:pPr>
        <w:spacing w:after="0" w:line="73" w:lineRule="exact"/>
        <w:rPr>
          <w:rFonts w:ascii="Arial" w:cs="Arial" w:eastAsia="Arial" w:hAnsi="Arial"/>
          <w:sz w:val="18"/>
          <w:szCs w:val="18"/>
          <w:color w:val="auto"/>
        </w:rPr>
      </w:pPr>
    </w:p>
    <w:p>
      <w:pPr>
        <w:ind w:left="320" w:hanging="314"/>
        <w:spacing w:after="0" w:line="266" w:lineRule="auto"/>
        <w:tabs>
          <w:tab w:leader="none" w:pos="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proportionate share of Adjusted EBITDA of non-wholly-owned subsidiaries reflects the amount of Adjusted EBITDA of such subsidiaries (on an aggregated basis) that is attributable to our ownership interest.</w:t>
      </w:r>
    </w:p>
    <w:p>
      <w:pPr>
        <w:spacing w:after="0" w:line="73"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Distributable Cash Flow of non-wholly-owned subsidiaries reflects the total Distributable Cash Flow of our non-wholly-owned subsidiaries on an aggregated basis.</w:t>
      </w:r>
    </w:p>
    <w:p>
      <w:pPr>
        <w:spacing w:after="0" w:line="73" w:lineRule="exact"/>
        <w:rPr>
          <w:rFonts w:ascii="Arial" w:cs="Arial" w:eastAsia="Arial" w:hAnsi="Arial"/>
          <w:sz w:val="18"/>
          <w:szCs w:val="18"/>
          <w:color w:val="auto"/>
        </w:rPr>
      </w:pPr>
    </w:p>
    <w:p>
      <w:pPr>
        <w:jc w:val="both"/>
        <w:ind w:left="320" w:hanging="314"/>
        <w:spacing w:after="0" w:line="256" w:lineRule="auto"/>
        <w:tabs>
          <w:tab w:leader="none" w:pos="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proportionate share of Distributable Cash Flow of non-wholly-owned subsidiaries reflects the amount of Distributable Cash Flow of such subsidiaries (on an aggregated basis) that is attributable to our ownership interest. This is the amount of Distributable Cash Flow included in our consolidated non-GAAP measure of Distributable Cash Flow attributable to the partners of ET.</w:t>
      </w:r>
    </w:p>
    <w:p>
      <w:pPr>
        <w:spacing w:after="0" w:line="82" w:lineRule="exact"/>
        <w:rPr>
          <w:rFonts w:ascii="Arial" w:cs="Arial" w:eastAsia="Arial" w:hAnsi="Arial"/>
          <w:sz w:val="18"/>
          <w:szCs w:val="18"/>
          <w:color w:val="auto"/>
        </w:rPr>
      </w:pPr>
    </w:p>
    <w:p>
      <w:pPr>
        <w:ind w:left="320" w:hanging="314"/>
        <w:spacing w:after="0" w:line="266" w:lineRule="auto"/>
        <w:tabs>
          <w:tab w:leader="none" w:pos="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ownership reflects the total economic interest held by us and our subsidiaries. In some cases, this percentage comprises ownership interests held in (or by) multiple entities.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3"/>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2022-05-04T15:44:03Z</dcterms:created>
  <dcterms:modified xsi:type="dcterms:W3CDTF">2022-05-04T15:44:03Z</dcterms:modified>
</cp:coreProperties>
</file>