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_1_____)*</w:t>
      </w:r>
    </w:p>
    <w:p>
      <w:pPr>
        <w:spacing w:after="0" w:line="238" w:lineRule="auto"/>
        <w:rPr>
          <w:sz w:val="20"/>
          <w:szCs w:val="20"/>
          <w:color w:val="auto"/>
        </w:rPr>
      </w:pPr>
      <w:r>
        <w:rPr>
          <w:rFonts w:ascii="Courier New" w:cs="Courier New" w:eastAsia="Courier New" w:hAnsi="Courier New"/>
          <w:sz w:val="18"/>
          <w:szCs w:val="18"/>
          <w:color w:val="auto"/>
        </w:rPr>
        <w:t>CRESTWOOD EQUITY PARTNERS, LP</w:t>
      </w:r>
    </w:p>
    <w:p>
      <w:pPr>
        <w:spacing w:after="0"/>
        <w:rPr>
          <w:sz w:val="20"/>
          <w:szCs w:val="20"/>
          <w:color w:val="auto"/>
        </w:rPr>
      </w:pPr>
      <w:r>
        <w:rPr>
          <w:rFonts w:ascii="Courier New" w:cs="Courier New" w:eastAsia="Courier New" w:hAnsi="Courier New"/>
          <w:sz w:val="18"/>
          <w:szCs w:val="18"/>
          <w:color w:val="auto"/>
        </w:rPr>
        <w:t>(Name of Issuer)</w:t>
      </w:r>
    </w:p>
    <w:p>
      <w:pPr>
        <w:ind w:right="4119"/>
        <w:spacing w:after="0" w:line="238" w:lineRule="auto"/>
        <w:rPr>
          <w:sz w:val="20"/>
          <w:szCs w:val="20"/>
          <w:color w:val="auto"/>
        </w:rPr>
      </w:pPr>
      <w:r>
        <w:rPr>
          <w:rFonts w:ascii="Courier New" w:cs="Courier New" w:eastAsia="Courier New" w:hAnsi="Courier New"/>
          <w:sz w:val="18"/>
          <w:szCs w:val="18"/>
          <w:color w:val="auto"/>
        </w:rPr>
        <w:t>Preferred Units representing limited partnership interest (Title of Class of Securities)</w:t>
      </w:r>
    </w:p>
    <w:p>
      <w:pPr>
        <w:spacing w:after="0"/>
        <w:rPr>
          <w:sz w:val="20"/>
          <w:szCs w:val="20"/>
          <w:color w:val="auto"/>
        </w:rPr>
      </w:pPr>
      <w:r>
        <w:rPr>
          <w:rFonts w:ascii="Courier New" w:cs="Courier New" w:eastAsia="Courier New" w:hAnsi="Courier New"/>
          <w:sz w:val="18"/>
          <w:szCs w:val="18"/>
          <w:color w:val="auto"/>
        </w:rPr>
        <w:t>226344307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Mary E. Antunes, 300 Madison Avenue, 7th Flr</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NY 10017</w:t>
      </w:r>
      <w:r>
        <w:rPr>
          <w:sz w:val="20"/>
          <w:szCs w:val="20"/>
          <w:color w:val="auto"/>
        </w:rPr>
        <w:tab/>
      </w:r>
      <w:r>
        <w:rPr>
          <w:rFonts w:ascii="Courier New" w:cs="Courier New" w:eastAsia="Courier New" w:hAnsi="Courier New"/>
          <w:sz w:val="16"/>
          <w:szCs w:val="16"/>
          <w:color w:val="auto"/>
        </w:rPr>
        <w:t>212-597-4839</w:t>
      </w:r>
    </w:p>
    <w:p>
      <w:pPr>
        <w:ind w:right="4979"/>
        <w:spacing w:after="0" w:line="296"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141" w:lineRule="exact"/>
        <w:rPr>
          <w:sz w:val="24"/>
          <w:szCs w:val="24"/>
          <w:color w:val="auto"/>
        </w:rPr>
      </w:pPr>
    </w:p>
    <w:p>
      <w:pPr>
        <w:ind w:right="4239"/>
        <w:spacing w:after="0" w:line="246" w:lineRule="auto"/>
        <w:rPr>
          <w:sz w:val="20"/>
          <w:szCs w:val="20"/>
          <w:color w:val="auto"/>
        </w:rPr>
      </w:pPr>
      <w:r>
        <w:rPr>
          <w:rFonts w:ascii="Courier New" w:cs="Courier New" w:eastAsia="Courier New" w:hAnsi="Courier New"/>
          <w:sz w:val="18"/>
          <w:szCs w:val="18"/>
          <w:color w:val="auto"/>
        </w:rPr>
        <w:t>(Date of Event which Requires Filing of this Statement) Check the appropriate box to designate the rule pursuant to which this Schedule is filed:</w:t>
      </w:r>
    </w:p>
    <w:p>
      <w:pPr>
        <w:spacing w:after="0" w:line="238" w:lineRule="auto"/>
        <w:rPr>
          <w:sz w:val="20"/>
          <w:szCs w:val="20"/>
          <w:color w:val="auto"/>
        </w:rPr>
      </w:pPr>
      <w:r>
        <w:rPr>
          <w:rFonts w:ascii="Courier New" w:cs="Courier New" w:eastAsia="Courier New" w:hAnsi="Courier New"/>
          <w:sz w:val="18"/>
          <w:szCs w:val="18"/>
          <w:color w:val="auto"/>
        </w:rPr>
        <w:t>XRule 13d-1(b)</w:t>
      </w:r>
    </w:p>
    <w:p>
      <w:pPr>
        <w:spacing w:after="0"/>
        <w:rPr>
          <w:sz w:val="20"/>
          <w:szCs w:val="20"/>
          <w:color w:val="auto"/>
        </w:rPr>
      </w:pPr>
      <w:r>
        <w:rPr>
          <w:rFonts w:ascii="Courier New" w:cs="Courier New" w:eastAsia="Courier New" w:hAnsi="Courier New"/>
          <w:sz w:val="18"/>
          <w:szCs w:val="18"/>
          <w:color w:val="auto"/>
        </w:rPr>
        <w:t>Rule 13d-1(c)</w:t>
      </w:r>
    </w:p>
    <w:p>
      <w:pPr>
        <w:spacing w:after="0" w:line="238" w:lineRule="auto"/>
        <w:rPr>
          <w:sz w:val="20"/>
          <w:szCs w:val="20"/>
          <w:color w:val="auto"/>
        </w:rPr>
      </w:pPr>
      <w:r>
        <w:rPr>
          <w:rFonts w:ascii="Courier New" w:cs="Courier New" w:eastAsia="Courier New" w:hAnsi="Courier New"/>
          <w:sz w:val="18"/>
          <w:szCs w:val="18"/>
          <w:color w:val="auto"/>
        </w:rPr>
        <w:t>Rule 13d-1(d)</w:t>
      </w:r>
    </w:p>
    <w:p>
      <w:pPr>
        <w:spacing w:after="0" w:line="238" w:lineRule="auto"/>
        <w:rPr>
          <w:sz w:val="20"/>
          <w:szCs w:val="20"/>
          <w:color w:val="auto"/>
        </w:rPr>
      </w:pPr>
      <w:r>
        <w:rPr>
          <w:rFonts w:ascii="Courier New" w:cs="Courier New" w:eastAsia="Courier New" w:hAnsi="Courier New"/>
          <w:sz w:val="18"/>
          <w:szCs w:val="18"/>
          <w:color w:val="auto"/>
        </w:rPr>
        <w:t>* The remainder of this cover page shall be filled out for</w:t>
      </w:r>
    </w:p>
    <w:p>
      <w:pPr>
        <w:spacing w:after="0" w:line="1" w:lineRule="exact"/>
        <w:rPr>
          <w:sz w:val="24"/>
          <w:szCs w:val="24"/>
          <w:color w:val="auto"/>
        </w:rPr>
      </w:pPr>
    </w:p>
    <w:p>
      <w:pPr>
        <w:ind w:right="3599"/>
        <w:spacing w:after="0" w:line="238" w:lineRule="auto"/>
        <w:rPr>
          <w:sz w:val="20"/>
          <w:szCs w:val="20"/>
          <w:color w:val="auto"/>
        </w:rPr>
      </w:pPr>
      <w:r>
        <w:rPr>
          <w:rFonts w:ascii="Courier New" w:cs="Courier New" w:eastAsia="Courier New" w:hAnsi="Courier New"/>
          <w:sz w:val="18"/>
          <w:szCs w:val="18"/>
          <w:color w:val="auto"/>
        </w:rPr>
        <w:t>a reporting person's initial filing on this form with respect to the subject class of securities, and for any subsequent amendment containing information which would alter disclosures provided in a prior cover page.</w:t>
      </w:r>
    </w:p>
    <w:p>
      <w:pPr>
        <w:spacing w:after="0" w:line="1" w:lineRule="exact"/>
        <w:rPr>
          <w:sz w:val="24"/>
          <w:szCs w:val="24"/>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w:t>
      </w:r>
    </w:p>
    <w:p>
      <w:pPr>
        <w:jc w:val="both"/>
        <w:ind w:right="3079"/>
        <w:spacing w:after="0" w:line="282" w:lineRule="auto"/>
        <w:rPr>
          <w:sz w:val="20"/>
          <w:szCs w:val="20"/>
          <w:color w:val="auto"/>
        </w:rPr>
      </w:pPr>
      <w:r>
        <w:rPr>
          <w:rFonts w:ascii="Courier New" w:cs="Courier New" w:eastAsia="Courier New" w:hAnsi="Courier New"/>
          <w:sz w:val="16"/>
          <w:szCs w:val="16"/>
          <w:color w:val="auto"/>
        </w:rPr>
        <w:t>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226344307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x of x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CIBC Private Weatlh Group, LLC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04-3173832</w:t>
      </w: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139"/>
          </w:cols>
          <w:pgMar w:left="320" w:top="226" w:right="1440" w:bottom="1061"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right="3819"/>
        <w:spacing w:after="0" w:line="259" w:lineRule="auto"/>
        <w:rPr>
          <w:sz w:val="20"/>
          <w:szCs w:val="20"/>
          <w:color w:val="auto"/>
        </w:rPr>
      </w:pPr>
      <w:r>
        <w:rPr>
          <w:rFonts w:ascii="Courier New" w:cs="Courier New" w:eastAsia="Courier New" w:hAnsi="Courier New"/>
          <w:sz w:val="18"/>
          <w:szCs w:val="18"/>
          <w:color w:val="auto"/>
        </w:rPr>
        <w:t>AGGREGATE AMOUNT BENEFICIALLY OWNED BY EACH REPORTING PERSON 0</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right="3399"/>
        <w:spacing w:after="0" w:line="259"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18"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8"/>
          <w:szCs w:val="18"/>
          <w:color w:val="auto"/>
        </w:rPr>
        <w:t>Parent holding company or control person in accordance with section 240.13d-1(b)(1)(ii)(G)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226344307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x of x Pages</w:t>
      </w:r>
    </w:p>
    <w:p>
      <w:pPr>
        <w:sectPr>
          <w:pgSz w:w="11900" w:h="16838" w:orient="portrait"/>
          <w:cols w:equalWidth="0" w:num="1">
            <w:col w:w="10139"/>
          </w:cols>
          <w:pgMar w:left="320" w:top="523" w:right="1440" w:bottom="359"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17"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Crestwood Partners LP</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 Main Street, Sutie 3400, 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38" w:lineRule="auto"/>
        <w:rPr>
          <w:sz w:val="20"/>
          <w:szCs w:val="20"/>
          <w:color w:val="auto"/>
        </w:rPr>
      </w:pPr>
      <w:r>
        <w:rPr>
          <w:rFonts w:ascii="Courier New" w:cs="Courier New" w:eastAsia="Courier New" w:hAnsi="Courier New"/>
          <w:sz w:val="18"/>
          <w:szCs w:val="18"/>
          <w:color w:val="auto"/>
        </w:rPr>
        <w:t>CIBC Private Wealth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18" w:lineRule="exact"/>
        <w:rPr>
          <w:sz w:val="20"/>
          <w:szCs w:val="20"/>
          <w:color w:val="auto"/>
        </w:rPr>
      </w:pPr>
    </w:p>
    <w:p>
      <w:pPr>
        <w:ind w:right="4439"/>
        <w:spacing w:after="0" w:line="238" w:lineRule="auto"/>
        <w:rPr>
          <w:sz w:val="20"/>
          <w:szCs w:val="20"/>
          <w:color w:val="auto"/>
        </w:rPr>
      </w:pPr>
      <w:r>
        <w:rPr>
          <w:rFonts w:ascii="Courier New" w:cs="Courier New" w:eastAsia="Courier New" w:hAnsi="Courier New"/>
          <w:sz w:val="18"/>
          <w:szCs w:val="18"/>
          <w:color w:val="auto"/>
        </w:rPr>
        <w:t>Address of the Principal Office or, if none, residence 181 West Madison Street, Chicago, IL 60602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Preferred Units representing limited partnership Interst</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226344307</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3.If this statement is filed pursuant to Section 240.13d-1(b)</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01"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 investment adviser in accordance with Section 240.13d-1(b)(1)(ii)(E);</w:t>
      </w:r>
    </w:p>
    <w:p>
      <w:pPr>
        <w:sectPr>
          <w:pgSz w:w="11900" w:h="16838" w:orient="portrait"/>
          <w:cols w:equalWidth="0" w:num="1">
            <w:col w:w="10139"/>
          </w:cols>
          <w:pgMar w:left="320" w:top="523"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w:t>
      </w:r>
    </w:p>
    <w:p>
      <w:pPr>
        <w:spacing w:after="0" w:line="201" w:lineRule="exact"/>
        <w:rPr>
          <w:sz w:val="20"/>
          <w:szCs w:val="20"/>
          <w:color w:val="auto"/>
        </w:rPr>
      </w:pPr>
    </w:p>
    <w:p>
      <w:pPr>
        <w:ind w:right="3699"/>
        <w:spacing w:after="0" w:line="259"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01" w:lineRule="exact"/>
        <w:rPr>
          <w:sz w:val="20"/>
          <w:szCs w:val="20"/>
          <w:color w:val="auto"/>
        </w:rPr>
      </w:pPr>
    </w:p>
    <w:p>
      <w:pPr>
        <w:ind w:right="3599"/>
        <w:spacing w:after="0" w:line="259" w:lineRule="auto"/>
        <w:rPr>
          <w:sz w:val="20"/>
          <w:szCs w:val="20"/>
          <w:color w:val="auto"/>
        </w:rPr>
      </w:pPr>
      <w:r>
        <w:rPr>
          <w:rFonts w:ascii="Courier New" w:cs="Courier New" w:eastAsia="Courier New" w:hAnsi="Courier New"/>
          <w:sz w:val="18"/>
          <w:szCs w:val="18"/>
          <w:color w:val="auto"/>
        </w:rPr>
        <w:t>XA parent holding company or control person in accordance with Section 240.13d-1(b)(1)(ii)(G);</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01" w:lineRule="exact"/>
        <w:rPr>
          <w:sz w:val="20"/>
          <w:szCs w:val="20"/>
          <w:color w:val="auto"/>
        </w:rPr>
      </w:pPr>
    </w:p>
    <w:p>
      <w:pPr>
        <w:ind w:right="3399"/>
        <w:spacing w:after="0" w:line="259"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4.Ownership.</w:t>
      </w:r>
    </w:p>
    <w:p>
      <w:pPr>
        <w:spacing w:after="0" w:line="18" w:lineRule="exact"/>
        <w:rPr>
          <w:sz w:val="20"/>
          <w:szCs w:val="20"/>
          <w:color w:val="auto"/>
        </w:rPr>
      </w:pPr>
    </w:p>
    <w:p>
      <w:pPr>
        <w:ind w:right="3599"/>
        <w:spacing w:after="0" w:line="238"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For computations regarding securities</w:t>
      </w:r>
    </w:p>
    <w:p>
      <w:pPr>
        <w:spacing w:after="0" w:line="18"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which represent a right to acquire an underlying security see Section 240.13d-3(d)(1).</w:t>
      </w:r>
    </w:p>
    <w:p>
      <w:pPr>
        <w:sectPr>
          <w:pgSz w:w="11900" w:h="16838" w:orient="portrait"/>
          <w:cols w:equalWidth="0" w:num="1">
            <w:col w:w="10139"/>
          </w:cols>
          <w:pgMar w:left="320" w:top="523"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5.Ownership of Five Percent or Less of a Class.</w:t>
      </w:r>
    </w:p>
    <w:p>
      <w:pPr>
        <w:spacing w:after="0" w:line="201" w:lineRule="exact"/>
        <w:rPr>
          <w:sz w:val="20"/>
          <w:szCs w:val="20"/>
          <w:color w:val="auto"/>
        </w:rPr>
      </w:pPr>
    </w:p>
    <w:p>
      <w:pPr>
        <w:ind w:right="3919"/>
        <w:spacing w:after="0" w:line="24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6.Ownership of More than Five Percent on Behalf of Another Person.</w:t>
      </w:r>
    </w:p>
    <w:p>
      <w:pPr>
        <w:spacing w:after="0" w:line="224" w:lineRule="exact"/>
        <w:rPr>
          <w:sz w:val="20"/>
          <w:szCs w:val="20"/>
          <w:color w:val="auto"/>
        </w:rPr>
      </w:pPr>
    </w:p>
    <w:p>
      <w:pPr>
        <w:ind w:right="2759"/>
        <w:spacing w:after="0" w:line="322" w:lineRule="auto"/>
        <w:rPr>
          <w:sz w:val="20"/>
          <w:szCs w:val="20"/>
          <w:color w:val="auto"/>
        </w:rPr>
      </w:pPr>
      <w:r>
        <w:rPr>
          <w:rFonts w:ascii="Courier New" w:cs="Courier New" w:eastAsia="Courier New" w:hAnsi="Courier New"/>
          <w:sz w:val="16"/>
          <w:szCs w:val="16"/>
          <w:color w:val="auto"/>
        </w:rPr>
        <w:t>Item 7.Identification and Classification of the Subsidiary Which Acquired the Security Being Reported on By the Parent Holding Company.</w:t>
      </w:r>
    </w:p>
    <w:p>
      <w:pPr>
        <w:spacing w:after="0" w:line="1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CIBC National Trust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right="3599"/>
        <w:spacing w:after="0" w:line="259"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167" w:lineRule="exact"/>
        <w:rPr>
          <w:sz w:val="20"/>
          <w:szCs w:val="20"/>
          <w:color w:val="auto"/>
        </w:rPr>
      </w:pPr>
    </w:p>
    <w:p>
      <w:pPr>
        <w:ind w:right="3279"/>
        <w:spacing w:after="0" w:line="276"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2" w:lineRule="exact"/>
        <w:rPr>
          <w:sz w:val="20"/>
          <w:szCs w:val="20"/>
          <w:color w:val="auto"/>
        </w:rPr>
      </w:pPr>
    </w:p>
    <w:p>
      <w:pPr>
        <w:ind w:right="285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right="3599"/>
        <w:spacing w:after="0" w:line="259"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belief, the securities referred to above were not acquired</w:t>
      </w:r>
    </w:p>
    <w:p>
      <w:pPr>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w:t>
      </w:r>
    </w:p>
    <w:p>
      <w:pPr>
        <w:spacing w:after="0" w:line="238" w:lineRule="auto"/>
        <w:rPr>
          <w:sz w:val="20"/>
          <w:szCs w:val="20"/>
          <w:color w:val="auto"/>
        </w:rPr>
      </w:pPr>
      <w:r>
        <w:rPr>
          <w:rFonts w:ascii="Courier New" w:cs="Courier New" w:eastAsia="Courier New" w:hAnsi="Courier New"/>
          <w:sz w:val="18"/>
          <w:szCs w:val="18"/>
          <w:color w:val="auto"/>
        </w:rPr>
        <w:t>or influencing the control of the issuer of the securities and were</w:t>
      </w:r>
    </w:p>
    <w:p>
      <w:pPr>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spacing w:after="0" w:line="238"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226344307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x of x Pages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belief, I certify that the information set forth in this statement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true, complete and correct.</w:t>
      </w:r>
    </w:p>
    <w:p>
      <w:pPr>
        <w:spacing w:after="0" w:line="238" w:lineRule="auto"/>
        <w:rPr>
          <w:sz w:val="20"/>
          <w:szCs w:val="20"/>
          <w:color w:val="auto"/>
        </w:rPr>
      </w:pPr>
      <w:r>
        <w:rPr>
          <w:rFonts w:ascii="Courier New" w:cs="Courier New" w:eastAsia="Courier New" w:hAnsi="Courier New"/>
          <w:sz w:val="18"/>
          <w:szCs w:val="18"/>
          <w:color w:val="auto"/>
        </w:rPr>
        <w:t>November 20, 2023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E. Antunes/s/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Mary E. Antunes, Executive Director, Private Wealth Compiance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3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2023-11-20T12:18:43Z</dcterms:created>
  <dcterms:modified xsi:type="dcterms:W3CDTF">2023-11-20T12:18:43Z</dcterms:modified>
</cp:coreProperties>
</file>