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80215dsc13da.htm"/>
      <w:bookmarkStart w:id="1" w:name="ksd580215dsc13d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2)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Crestwood Equity Partners LP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Units Representing Limited Partner Interests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226344208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Erica H. Radcliffe </w:t>
      </w:r>
    </w:p>
    <w:p>
      <w:pPr>
        <w:pStyle w:val="TextBody"/>
        <w:bidi w:val="0"/>
        <w:spacing w:before="0" w:after="0"/>
        <w:jc w:val="center"/>
        <w:rPr>
          <w:rFonts w:ascii="Times New Roman" w:hAnsi="Times New Roman"/>
          <w:b/>
          <w:sz w:val="20"/>
        </w:rPr>
      </w:pPr>
      <w:r>
        <w:rPr>
          <w:rFonts w:ascii="Times New Roman" w:hAnsi="Times New Roman"/>
          <w:b/>
          <w:sz w:val="20"/>
        </w:rPr>
        <w:t xml:space="preserve">First Reserve </w:t>
      </w:r>
    </w:p>
    <w:p>
      <w:pPr>
        <w:pStyle w:val="TextBody"/>
        <w:bidi w:val="0"/>
        <w:spacing w:before="0" w:after="0"/>
        <w:jc w:val="center"/>
        <w:rPr>
          <w:rFonts w:ascii="Times New Roman" w:hAnsi="Times New Roman"/>
          <w:b/>
          <w:sz w:val="20"/>
        </w:rPr>
      </w:pPr>
      <w:r>
        <w:rPr>
          <w:rFonts w:ascii="Times New Roman" w:hAnsi="Times New Roman"/>
          <w:b/>
          <w:sz w:val="20"/>
        </w:rPr>
        <w:t xml:space="preserve">262 Harbor Drive, Third Floor, Suite 3100 </w:t>
      </w:r>
    </w:p>
    <w:p>
      <w:pPr>
        <w:pStyle w:val="TextBody"/>
        <w:bidi w:val="0"/>
        <w:spacing w:before="0" w:after="0"/>
        <w:jc w:val="center"/>
        <w:rPr>
          <w:rFonts w:ascii="Times New Roman" w:hAnsi="Times New Roman"/>
          <w:b/>
          <w:sz w:val="20"/>
        </w:rPr>
      </w:pPr>
      <w:r>
        <w:rPr>
          <w:rFonts w:ascii="Times New Roman" w:hAnsi="Times New Roman"/>
          <w:b/>
          <w:sz w:val="20"/>
        </w:rPr>
        <w:t xml:space="preserve">Stamford, CT 06902 </w:t>
      </w:r>
    </w:p>
    <w:p>
      <w:pPr>
        <w:pStyle w:val="TextBody"/>
        <w:bidi w:val="0"/>
        <w:spacing w:before="0" w:after="0"/>
        <w:jc w:val="center"/>
        <w:rPr>
          <w:rFonts w:ascii="Times New Roman" w:hAnsi="Times New Roman"/>
          <w:b/>
          <w:sz w:val="20"/>
        </w:rPr>
      </w:pPr>
      <w:r>
        <w:rPr>
          <w:rFonts w:ascii="Times New Roman" w:hAnsi="Times New Roman"/>
          <w:b/>
          <w:sz w:val="20"/>
        </w:rPr>
        <w:t xml:space="preserve">(203) 661-6601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480" w:after="0"/>
        <w:jc w:val="center"/>
        <w:rPr>
          <w:rFonts w:ascii="Times New Roman" w:hAnsi="Times New Roman"/>
          <w:b/>
          <w:sz w:val="20"/>
        </w:rPr>
      </w:pPr>
      <w:r>
        <w:rPr>
          <w:rFonts w:ascii="Times New Roman" w:hAnsi="Times New Roman"/>
          <w:b/>
          <w:sz w:val="20"/>
        </w:rPr>
        <w:t xml:space="preserve">November 3,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 240.13d-1(e), 240.13d-1(f) or 240.13d-1(g),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Schedules filed in paper format shall include a signed original and five copies of the schedule, including all exhibits. See Rule 13d-7 for other parties to whom copies are to be sent.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The information required on the remainder of this cover page shall not be deemed to be filed for the purpose of Section 18 of the Securities Exchange Act of 1934 (</w:t>
      </w:r>
      <w:r>
        <w:rPr>
          <w:rFonts w:ascii="Times New Roman" w:hAnsi="Times New Roman"/>
          <w:sz w:val="20"/>
          <w:u w:val="single"/>
        </w:rPr>
        <w:t>Act</w:t>
      </w:r>
      <w:r>
        <w:rPr>
          <w:rFonts w:ascii="Times New Roman" w:hAnsi="Times New Roman"/>
          <w:sz w:val="20"/>
        </w:rPr>
        <w:t xml:space="preserve">)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226344208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5"/>
        <w:gridCol w:w="122"/>
        <w:gridCol w:w="770"/>
        <w:gridCol w:w="180"/>
        <w:gridCol w:w="178"/>
        <w:gridCol w:w="180"/>
        <w:gridCol w:w="8267"/>
      </w:tblGrid>
      <w:tr>
        <w:trPr/>
        <w:tc>
          <w:tcPr>
            <w:tcW w:w="4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8267" w:type="dxa"/>
            <w:tcBorders/>
            <w:vAlign w:val="center"/>
          </w:tcPr>
          <w:p>
            <w:pPr>
              <w:pStyle w:val="TableContents"/>
              <w:bidi w:val="0"/>
              <w:spacing w:before="0" w:after="283"/>
              <w:jc w:val="left"/>
              <w:rPr>
                <w:sz w:val="4"/>
                <w:szCs w:val="4"/>
              </w:rPr>
            </w:pPr>
            <w:r>
              <w:rPr>
                <w:sz w:val="4"/>
                <w:szCs w:val="4"/>
              </w:rPr>
            </w:r>
          </w:p>
        </w:tc>
      </w:tr>
      <w:tr>
        <w:trPr/>
        <w:tc>
          <w:tcPr>
            <w:tcW w:w="40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FR XIII Crestwood Permian Basin Holdings LLC</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603"/>
        <w:gridCol w:w="449"/>
        <w:gridCol w:w="839"/>
        <w:gridCol w:w="177"/>
        <w:gridCol w:w="449"/>
        <w:gridCol w:w="177"/>
        <w:gridCol w:w="7408"/>
      </w:tblGrid>
      <w:tr>
        <w:trPr/>
        <w:tc>
          <w:tcPr>
            <w:tcW w:w="603"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408" w:type="dxa"/>
            <w:tcBorders/>
            <w:vAlign w:val="center"/>
          </w:tcPr>
          <w:p>
            <w:pPr>
              <w:pStyle w:val="TableContents"/>
              <w:bidi w:val="0"/>
              <w:spacing w:before="0" w:after="283"/>
              <w:jc w:val="left"/>
              <w:rPr>
                <w:sz w:val="4"/>
                <w:szCs w:val="4"/>
              </w:rPr>
            </w:pPr>
            <w:r>
              <w:rPr>
                <w:sz w:val="4"/>
                <w:szCs w:val="4"/>
              </w:rPr>
            </w:r>
          </w:p>
        </w:tc>
      </w:tr>
      <w:tr>
        <w:trPr/>
        <w:tc>
          <w:tcPr>
            <w:tcW w:w="1891"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40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424"/>
        <w:gridCol w:w="125"/>
        <w:gridCol w:w="951"/>
        <w:gridCol w:w="213"/>
        <w:gridCol w:w="205"/>
        <w:gridCol w:w="213"/>
        <w:gridCol w:w="7971"/>
      </w:tblGrid>
      <w:tr>
        <w:trPr/>
        <w:tc>
          <w:tcPr>
            <w:tcW w:w="42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7971" w:type="dxa"/>
            <w:tcBorders/>
            <w:vAlign w:val="center"/>
          </w:tcPr>
          <w:p>
            <w:pPr>
              <w:pStyle w:val="TableContents"/>
              <w:bidi w:val="0"/>
              <w:spacing w:before="0" w:after="283"/>
              <w:jc w:val="left"/>
              <w:rPr>
                <w:sz w:val="4"/>
                <w:szCs w:val="4"/>
              </w:rPr>
            </w:pPr>
            <w:r>
              <w:rPr>
                <w:sz w:val="4"/>
                <w:szCs w:val="4"/>
              </w:rPr>
            </w:r>
          </w:p>
        </w:tc>
      </w:tr>
      <w:tr>
        <w:trPr/>
        <w:tc>
          <w:tcPr>
            <w:tcW w:w="42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3"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226344208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5"/>
        <w:gridCol w:w="122"/>
        <w:gridCol w:w="788"/>
        <w:gridCol w:w="176"/>
        <w:gridCol w:w="169"/>
        <w:gridCol w:w="176"/>
        <w:gridCol w:w="8266"/>
      </w:tblGrid>
      <w:tr>
        <w:trPr/>
        <w:tc>
          <w:tcPr>
            <w:tcW w:w="4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40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FR XIII Charlie AIV, L.P.</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Cayman Islands</w:t>
            </w:r>
          </w:p>
        </w:tc>
      </w:tr>
    </w:tbl>
    <w:tbl>
      <w:tblPr>
        <w:tblW w:w="4950" w:type="pct"/>
        <w:jc w:val="left"/>
        <w:tblInd w:w="0" w:type="dxa"/>
        <w:tblLayout w:type="fixed"/>
        <w:tblCellMar>
          <w:top w:w="0" w:type="dxa"/>
          <w:left w:w="0" w:type="dxa"/>
          <w:bottom w:w="0" w:type="dxa"/>
          <w:right w:w="0" w:type="dxa"/>
        </w:tblCellMar>
      </w:tblPr>
      <w:tblGrid>
        <w:gridCol w:w="603"/>
        <w:gridCol w:w="449"/>
        <w:gridCol w:w="839"/>
        <w:gridCol w:w="177"/>
        <w:gridCol w:w="449"/>
        <w:gridCol w:w="177"/>
        <w:gridCol w:w="7408"/>
      </w:tblGrid>
      <w:tr>
        <w:trPr/>
        <w:tc>
          <w:tcPr>
            <w:tcW w:w="603"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408" w:type="dxa"/>
            <w:tcBorders/>
            <w:vAlign w:val="center"/>
          </w:tcPr>
          <w:p>
            <w:pPr>
              <w:pStyle w:val="TableContents"/>
              <w:bidi w:val="0"/>
              <w:spacing w:before="0" w:after="283"/>
              <w:jc w:val="left"/>
              <w:rPr>
                <w:sz w:val="4"/>
                <w:szCs w:val="4"/>
              </w:rPr>
            </w:pPr>
            <w:r>
              <w:rPr>
                <w:sz w:val="4"/>
                <w:szCs w:val="4"/>
              </w:rPr>
            </w:r>
          </w:p>
        </w:tc>
      </w:tr>
      <w:tr>
        <w:trPr/>
        <w:tc>
          <w:tcPr>
            <w:tcW w:w="1891"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40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424"/>
        <w:gridCol w:w="125"/>
        <w:gridCol w:w="951"/>
        <w:gridCol w:w="213"/>
        <w:gridCol w:w="205"/>
        <w:gridCol w:w="213"/>
        <w:gridCol w:w="7971"/>
      </w:tblGrid>
      <w:tr>
        <w:trPr/>
        <w:tc>
          <w:tcPr>
            <w:tcW w:w="42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7971" w:type="dxa"/>
            <w:tcBorders/>
            <w:vAlign w:val="center"/>
          </w:tcPr>
          <w:p>
            <w:pPr>
              <w:pStyle w:val="TableContents"/>
              <w:bidi w:val="0"/>
              <w:spacing w:before="0" w:after="283"/>
              <w:jc w:val="left"/>
              <w:rPr>
                <w:sz w:val="4"/>
                <w:szCs w:val="4"/>
              </w:rPr>
            </w:pPr>
            <w:r>
              <w:rPr>
                <w:sz w:val="4"/>
                <w:szCs w:val="4"/>
              </w:rPr>
            </w:r>
          </w:p>
        </w:tc>
      </w:tr>
      <w:tr>
        <w:trPr/>
        <w:tc>
          <w:tcPr>
            <w:tcW w:w="42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3"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226344208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5"/>
        <w:gridCol w:w="122"/>
        <w:gridCol w:w="788"/>
        <w:gridCol w:w="176"/>
        <w:gridCol w:w="169"/>
        <w:gridCol w:w="176"/>
        <w:gridCol w:w="8266"/>
      </w:tblGrid>
      <w:tr>
        <w:trPr/>
        <w:tc>
          <w:tcPr>
            <w:tcW w:w="4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40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First Reserve GP XIII, L.P.</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Cayman Islands</w:t>
            </w:r>
          </w:p>
        </w:tc>
      </w:tr>
    </w:tbl>
    <w:tbl>
      <w:tblPr>
        <w:tblW w:w="4950" w:type="pct"/>
        <w:jc w:val="left"/>
        <w:tblInd w:w="0" w:type="dxa"/>
        <w:tblLayout w:type="fixed"/>
        <w:tblCellMar>
          <w:top w:w="0" w:type="dxa"/>
          <w:left w:w="0" w:type="dxa"/>
          <w:bottom w:w="0" w:type="dxa"/>
          <w:right w:w="0" w:type="dxa"/>
        </w:tblCellMar>
      </w:tblPr>
      <w:tblGrid>
        <w:gridCol w:w="603"/>
        <w:gridCol w:w="449"/>
        <w:gridCol w:w="839"/>
        <w:gridCol w:w="177"/>
        <w:gridCol w:w="449"/>
        <w:gridCol w:w="177"/>
        <w:gridCol w:w="7408"/>
      </w:tblGrid>
      <w:tr>
        <w:trPr/>
        <w:tc>
          <w:tcPr>
            <w:tcW w:w="603"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408" w:type="dxa"/>
            <w:tcBorders/>
            <w:vAlign w:val="center"/>
          </w:tcPr>
          <w:p>
            <w:pPr>
              <w:pStyle w:val="TableContents"/>
              <w:bidi w:val="0"/>
              <w:spacing w:before="0" w:after="283"/>
              <w:jc w:val="left"/>
              <w:rPr>
                <w:sz w:val="4"/>
                <w:szCs w:val="4"/>
              </w:rPr>
            </w:pPr>
            <w:r>
              <w:rPr>
                <w:sz w:val="4"/>
                <w:szCs w:val="4"/>
              </w:rPr>
            </w:r>
          </w:p>
        </w:tc>
      </w:tr>
      <w:tr>
        <w:trPr/>
        <w:tc>
          <w:tcPr>
            <w:tcW w:w="1891"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40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424"/>
        <w:gridCol w:w="125"/>
        <w:gridCol w:w="951"/>
        <w:gridCol w:w="213"/>
        <w:gridCol w:w="205"/>
        <w:gridCol w:w="213"/>
        <w:gridCol w:w="7971"/>
      </w:tblGrid>
      <w:tr>
        <w:trPr/>
        <w:tc>
          <w:tcPr>
            <w:tcW w:w="42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7971" w:type="dxa"/>
            <w:tcBorders/>
            <w:vAlign w:val="center"/>
          </w:tcPr>
          <w:p>
            <w:pPr>
              <w:pStyle w:val="TableContents"/>
              <w:bidi w:val="0"/>
              <w:spacing w:before="0" w:after="283"/>
              <w:jc w:val="left"/>
              <w:rPr>
                <w:sz w:val="4"/>
                <w:szCs w:val="4"/>
              </w:rPr>
            </w:pPr>
            <w:r>
              <w:rPr>
                <w:sz w:val="4"/>
                <w:szCs w:val="4"/>
              </w:rPr>
            </w:r>
          </w:p>
        </w:tc>
      </w:tr>
      <w:tr>
        <w:trPr/>
        <w:tc>
          <w:tcPr>
            <w:tcW w:w="42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3"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226344208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5"/>
        <w:gridCol w:w="122"/>
        <w:gridCol w:w="788"/>
        <w:gridCol w:w="176"/>
        <w:gridCol w:w="169"/>
        <w:gridCol w:w="176"/>
        <w:gridCol w:w="8266"/>
      </w:tblGrid>
      <w:tr>
        <w:trPr/>
        <w:tc>
          <w:tcPr>
            <w:tcW w:w="4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40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First Reserve GP XIII Limited</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Cayman Islands</w:t>
            </w:r>
          </w:p>
        </w:tc>
      </w:tr>
    </w:tbl>
    <w:tbl>
      <w:tblPr>
        <w:tblW w:w="4950" w:type="pct"/>
        <w:jc w:val="left"/>
        <w:tblInd w:w="0" w:type="dxa"/>
        <w:tblLayout w:type="fixed"/>
        <w:tblCellMar>
          <w:top w:w="0" w:type="dxa"/>
          <w:left w:w="0" w:type="dxa"/>
          <w:bottom w:w="0" w:type="dxa"/>
          <w:right w:w="0" w:type="dxa"/>
        </w:tblCellMar>
      </w:tblPr>
      <w:tblGrid>
        <w:gridCol w:w="603"/>
        <w:gridCol w:w="449"/>
        <w:gridCol w:w="839"/>
        <w:gridCol w:w="177"/>
        <w:gridCol w:w="449"/>
        <w:gridCol w:w="177"/>
        <w:gridCol w:w="7408"/>
      </w:tblGrid>
      <w:tr>
        <w:trPr/>
        <w:tc>
          <w:tcPr>
            <w:tcW w:w="603"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408" w:type="dxa"/>
            <w:tcBorders/>
            <w:vAlign w:val="center"/>
          </w:tcPr>
          <w:p>
            <w:pPr>
              <w:pStyle w:val="TableContents"/>
              <w:bidi w:val="0"/>
              <w:spacing w:before="0" w:after="283"/>
              <w:jc w:val="left"/>
              <w:rPr>
                <w:sz w:val="4"/>
                <w:szCs w:val="4"/>
              </w:rPr>
            </w:pPr>
            <w:r>
              <w:rPr>
                <w:sz w:val="4"/>
                <w:szCs w:val="4"/>
              </w:rPr>
            </w:r>
          </w:p>
        </w:tc>
      </w:tr>
      <w:tr>
        <w:trPr/>
        <w:tc>
          <w:tcPr>
            <w:tcW w:w="1891"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891"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40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424"/>
        <w:gridCol w:w="125"/>
        <w:gridCol w:w="951"/>
        <w:gridCol w:w="213"/>
        <w:gridCol w:w="205"/>
        <w:gridCol w:w="213"/>
        <w:gridCol w:w="7971"/>
      </w:tblGrid>
      <w:tr>
        <w:trPr/>
        <w:tc>
          <w:tcPr>
            <w:tcW w:w="42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7971" w:type="dxa"/>
            <w:tcBorders/>
            <w:vAlign w:val="center"/>
          </w:tcPr>
          <w:p>
            <w:pPr>
              <w:pStyle w:val="TableContents"/>
              <w:bidi w:val="0"/>
              <w:spacing w:before="0" w:after="283"/>
              <w:jc w:val="left"/>
              <w:rPr>
                <w:sz w:val="4"/>
                <w:szCs w:val="4"/>
              </w:rPr>
            </w:pPr>
            <w:r>
              <w:rPr>
                <w:sz w:val="4"/>
                <w:szCs w:val="4"/>
              </w:rPr>
            </w:r>
          </w:p>
        </w:tc>
      </w:tr>
      <w:tr>
        <w:trPr/>
        <w:tc>
          <w:tcPr>
            <w:tcW w:w="42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3"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This Amendment No. 2 (</w:t>
      </w:r>
      <w:r>
        <w:rPr>
          <w:rFonts w:ascii="Times New Roman" w:hAnsi="Times New Roman"/>
          <w:sz w:val="20"/>
          <w:u w:val="single"/>
        </w:rPr>
        <w:t>Amendment No. 2</w:t>
      </w:r>
      <w:r>
        <w:rPr>
          <w:rFonts w:ascii="Times New Roman" w:hAnsi="Times New Roman"/>
          <w:sz w:val="20"/>
        </w:rPr>
        <w:t>) to Schedule 13D amends and supplements the statement on Schedule 13D filed with the United States Securities and Exchange Commission on July 15, 2022, as amended by amendment No. 1 to the Schedule 13D filed on September 19, 2022 (as amended the </w:t>
      </w:r>
      <w:r>
        <w:rPr>
          <w:rFonts w:ascii="Times New Roman" w:hAnsi="Times New Roman"/>
          <w:sz w:val="20"/>
          <w:u w:val="single"/>
        </w:rPr>
        <w:t>Schedule 13D</w:t>
      </w:r>
      <w:r>
        <w:rPr>
          <w:rFonts w:ascii="Times New Roman" w:hAnsi="Times New Roman"/>
          <w:sz w:val="20"/>
        </w:rPr>
        <w:t>) relating to common units representing limited partner interests (</w:t>
      </w:r>
      <w:r>
        <w:rPr>
          <w:rFonts w:ascii="Times New Roman" w:hAnsi="Times New Roman"/>
          <w:sz w:val="20"/>
          <w:u w:val="single"/>
        </w:rPr>
        <w:t>Crestwood Common Units</w:t>
      </w:r>
      <w:r>
        <w:rPr>
          <w:rFonts w:ascii="Times New Roman" w:hAnsi="Times New Roman"/>
          <w:sz w:val="20"/>
        </w:rPr>
        <w:t>) of Crestwood Equity Partners LP (the </w:t>
      </w:r>
      <w:r>
        <w:rPr>
          <w:rFonts w:ascii="Times New Roman" w:hAnsi="Times New Roman"/>
          <w:sz w:val="20"/>
          <w:u w:val="single"/>
        </w:rPr>
        <w:t>Issuer</w:t>
      </w:r>
      <w:r>
        <w:rPr>
          <w:rFonts w:ascii="Times New Roman" w:hAnsi="Times New Roman"/>
          <w:sz w:val="20"/>
        </w:rPr>
        <w:t xml:space="preserve">), a Delaware limited partnership, having its principal executive offices at 811 Main Street, Suite 3400, Houston, TX 77002.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provided herein, this Amendment No. 2 does not modify any of the information previously reported in the Schedule 13D. Capitalized terms used herein and not otherwise defined have the meanings ascribed to them in the Schedule 13D.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and Background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 2 of the Schedule 13D is hereby amended by incorporating herein by reference the information set forth on the updated Schedule I attached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of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 4 of the Schedule 13D is hereby amended and supplemented as follows: </w:t>
      </w:r>
    </w:p>
    <w:p>
      <w:pPr>
        <w:pStyle w:val="TextBody"/>
        <w:bidi w:val="0"/>
        <w:spacing w:before="240" w:after="0"/>
        <w:jc w:val="left"/>
        <w:rPr>
          <w:rFonts w:ascii="Times New Roman" w:hAnsi="Times New Roman"/>
          <w:sz w:val="20"/>
        </w:rPr>
      </w:pPr>
      <w:r>
        <w:rPr>
          <w:rFonts w:ascii="Times New Roman" w:hAnsi="Times New Roman"/>
          <w:sz w:val="20"/>
        </w:rPr>
        <w:t>On November 3, 2023, pursuant to the Agreement and Plan of Merger (the </w:t>
      </w:r>
      <w:r>
        <w:rPr>
          <w:rFonts w:ascii="Times New Roman" w:hAnsi="Times New Roman"/>
          <w:sz w:val="20"/>
          <w:u w:val="single"/>
        </w:rPr>
        <w:t>Merger Agreement</w:t>
      </w:r>
      <w:r>
        <w:rPr>
          <w:rFonts w:ascii="Times New Roman" w:hAnsi="Times New Roman"/>
          <w:sz w:val="20"/>
        </w:rPr>
        <w:t>), dated as of August 16, 2023, by and among Energy Transfer LP, a Delaware limited partnership (</w:t>
      </w:r>
      <w:r>
        <w:rPr>
          <w:rFonts w:ascii="Times New Roman" w:hAnsi="Times New Roman"/>
          <w:sz w:val="20"/>
          <w:u w:val="single"/>
        </w:rPr>
        <w:t>Energy Transfer</w:t>
      </w:r>
      <w:r>
        <w:rPr>
          <w:rFonts w:ascii="Times New Roman" w:hAnsi="Times New Roman"/>
          <w:sz w:val="20"/>
        </w:rPr>
        <w:t>), Pachyderm Merger Sub LLC, a Delaware limited liability company and a direct wholly owned subsidiary of Energy Transfer (</w:t>
      </w:r>
      <w:r>
        <w:rPr>
          <w:rFonts w:ascii="Times New Roman" w:hAnsi="Times New Roman"/>
          <w:sz w:val="20"/>
          <w:u w:val="single"/>
        </w:rPr>
        <w:t>Merger Sub</w:t>
      </w:r>
      <w:r>
        <w:rPr>
          <w:rFonts w:ascii="Times New Roman" w:hAnsi="Times New Roman"/>
          <w:sz w:val="20"/>
        </w:rPr>
        <w:t>), the Issuer, and, solely for the purposes set forth therein, LE GP, LLC, a Delaware limited liability company and the sole general partner of Energy Transfer, the Issuer merged with and into Merger Sub (the </w:t>
      </w:r>
      <w:r>
        <w:rPr>
          <w:rFonts w:ascii="Times New Roman" w:hAnsi="Times New Roman"/>
          <w:sz w:val="20"/>
          <w:u w:val="single"/>
        </w:rPr>
        <w:t>Merger</w:t>
      </w:r>
      <w:r>
        <w:rPr>
          <w:rFonts w:ascii="Times New Roman" w:hAnsi="Times New Roman"/>
          <w:sz w:val="20"/>
        </w:rPr>
        <w:t xml:space="preserve">), with Merger Sub continuing as the surviving entity. Merger Sub is the Issuers successor-in-interest as a result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Merger, each Crestwood Common Unit issued and outstanding immediately prior to the time the Merger became effective was converted into the right to receive 2.07 common units representing limited partner interests in Energy Transfer and as a result, the Reporting Persons no longer beneficially own any Crestwood Common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 5 of the Schedule 13D is hereby amended and restated as follows: </w:t>
      </w:r>
    </w:p>
    <w:p>
      <w:pPr>
        <w:pStyle w:val="TextBody"/>
        <w:bidi w:val="0"/>
        <w:spacing w:before="240" w:after="0"/>
        <w:jc w:val="left"/>
        <w:rPr>
          <w:rFonts w:ascii="Times New Roman" w:hAnsi="Times New Roman"/>
          <w:sz w:val="20"/>
        </w:rPr>
      </w:pPr>
      <w:r>
        <w:rPr>
          <w:rFonts w:ascii="Times New Roman" w:hAnsi="Times New Roman"/>
          <w:sz w:val="20"/>
        </w:rPr>
        <w:t xml:space="preserve">(a) and (b) As a result of the consummation of the Merger, the Reporting Persons no longer beneficially own any securities of the Issuer nor have sole or shared power to vote, direct the vote, dispose or direct the disposition with respect to any securities of the Issuer, and the filing of this Amendment constitutes an exit filing for each Reporting Person. </w:t>
      </w:r>
    </w:p>
    <w:p>
      <w:pPr>
        <w:pStyle w:val="TextBody"/>
        <w:bidi w:val="0"/>
        <w:spacing w:before="240" w:after="0"/>
        <w:jc w:val="left"/>
        <w:rPr>
          <w:rFonts w:ascii="Times New Roman" w:hAnsi="Times New Roman"/>
          <w:sz w:val="20"/>
        </w:rPr>
      </w:pPr>
      <w:r>
        <w:rPr>
          <w:rFonts w:ascii="Times New Roman" w:hAnsi="Times New Roman"/>
          <w:sz w:val="20"/>
        </w:rPr>
        <w:t xml:space="preserve">Directors affiliated with First Reserve XIII earned director compensation pursuant to the Issuers standard director compensation arrangements, which compensation is held for the benefit of one or more of the Reporting Persons and/or certain of their affiliates or certain of the funds they manage. Mr. Reaves, a Managing Director and member of the Board of Directors of First Reserve GP XIII Limited, was granted 914 restricted units on September 15, 2022 which were fully vested at the effective time of the Merger. As a result of the Merger, all 914 Crestwood Common Units were converted into the right to receive 2.07 common units representing limited partner interests in Energy Transfer. Reporting Persons disclaim beneficial ownership over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herein, each of the Reporting Persons reports that neither it, nor to its knowledge, any other person set forth on </w:t>
      </w:r>
      <w:r>
        <w:rPr>
          <w:rFonts w:ascii="Times New Roman" w:hAnsi="Times New Roman"/>
          <w:sz w:val="20"/>
          <w:u w:val="single"/>
        </w:rPr>
        <w:t>Schedule I</w:t>
      </w:r>
      <w:r>
        <w:rPr>
          <w:rFonts w:ascii="Times New Roman" w:hAnsi="Times New Roman"/>
          <w:sz w:val="20"/>
        </w:rPr>
        <w:t xml:space="preserve">, has effected any transactions in Crestwood Common Units during the past 60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(e) As of November 3, 2023, as a result of the Merger, the Reporting Persons ceased to beneficially own more than 5% of the Crestwood Common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each of my knowledge and belief, I certify that the information set forth in this statement is true, complete and correct. </w:t>
      </w:r>
    </w:p>
    <w:p>
      <w:pPr>
        <w:pStyle w:val="TextBody"/>
        <w:bidi w:val="0"/>
        <w:spacing w:before="360" w:after="0"/>
        <w:jc w:val="left"/>
        <w:rPr>
          <w:rFonts w:ascii="Times New Roman" w:hAnsi="Times New Roman"/>
          <w:sz w:val="20"/>
        </w:rPr>
      </w:pPr>
      <w:r>
        <w:rPr>
          <w:rFonts w:ascii="Times New Roman" w:hAnsi="Times New Roman"/>
          <w:sz w:val="20"/>
        </w:rPr>
        <w:t xml:space="preserve">Dated: November 7,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7"/>
        <w:gridCol w:w="60"/>
        <w:gridCol w:w="3365"/>
      </w:tblGrid>
      <w:tr>
        <w:trPr/>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FR XIII CRESTWOOD PERMIAN BASIN HOLDINGS LLC</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FR XIII Charlie AIV, L.P., its managing member</w:t>
            </w:r>
          </w:p>
        </w:tc>
      </w:tr>
      <w:tr>
        <w:trPr/>
        <w:tc>
          <w:tcPr>
            <w:tcW w:w="65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First Reserve GP XIII, L.P., its general partner</w:t>
            </w:r>
          </w:p>
        </w:tc>
      </w:tr>
      <w:tr>
        <w:trPr/>
        <w:tc>
          <w:tcPr>
            <w:tcW w:w="65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First Reserve GP XIII Limited, its general partner</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Erica H. Radcliffe</w:t>
            </w:r>
          </w:p>
        </w:tc>
      </w:tr>
      <w:tr>
        <w:trPr/>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Erica H. Radcliffe</w:t>
            </w:r>
          </w:p>
        </w:tc>
      </w:tr>
      <w:tr>
        <w:trPr/>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General Counsel &amp; Chief Compliance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FR XIII CHARLIE AIV, L.P.</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First Reserve GP XIII, L.P., its general partner</w:t>
            </w:r>
          </w:p>
        </w:tc>
      </w:tr>
      <w:tr>
        <w:trPr/>
        <w:tc>
          <w:tcPr>
            <w:tcW w:w="65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First Reserve GP XIII Limited, its general partner</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Erica H. Radcliffe</w:t>
            </w:r>
          </w:p>
        </w:tc>
      </w:tr>
      <w:tr>
        <w:trPr/>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Erica H. Radcliffe</w:t>
            </w:r>
          </w:p>
        </w:tc>
      </w:tr>
      <w:tr>
        <w:trPr/>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General Counsel &amp; Chief Compliance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FIRST RESERVE GP XIII, L.P.</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First Reserve GP XIII Limited, its general partner</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Erica H. Radcliffe</w:t>
            </w:r>
          </w:p>
        </w:tc>
      </w:tr>
      <w:tr>
        <w:trPr/>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Erica H. Radcliffe</w:t>
            </w:r>
          </w:p>
        </w:tc>
      </w:tr>
      <w:tr>
        <w:trPr/>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General Counsel &amp; Chief Compliance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FIRST RESERVE GP XIII LIMITED</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Erica H. Radcliffe</w:t>
            </w:r>
          </w:p>
        </w:tc>
      </w:tr>
      <w:tr>
        <w:trPr/>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Erica H. Radcliffe</w:t>
            </w:r>
          </w:p>
        </w:tc>
      </w:tr>
      <w:tr>
        <w:trPr/>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pPr>
            <w:r>
              <w:rPr/>
              <w:t>General Counsel &amp; Chief Compliance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240" w:after="0"/>
        <w:jc w:val="left"/>
        <w:rPr>
          <w:rFonts w:ascii="Times New Roman" w:hAnsi="Times New Roman"/>
          <w:sz w:val="20"/>
        </w:rPr>
      </w:pPr>
      <w:r>
        <w:rPr>
          <w:rFonts w:ascii="Times New Roman" w:hAnsi="Times New Roman"/>
          <w:sz w:val="20"/>
        </w:rPr>
        <w:t>The name, business address and present principal occupation or employment of each of the executive officers and directors of First Reserve GP XIII Limited (each a </w:t>
      </w:r>
      <w:r>
        <w:rPr>
          <w:rFonts w:ascii="Times New Roman" w:hAnsi="Times New Roman"/>
          <w:sz w:val="20"/>
          <w:u w:val="single"/>
        </w:rPr>
        <w:t>Covered Person</w:t>
      </w:r>
      <w:r>
        <w:rPr>
          <w:rFonts w:ascii="Times New Roman" w:hAnsi="Times New Roman"/>
          <w:sz w:val="20"/>
        </w:rPr>
        <w:t xml:space="preserve">) are set forth below. Each Covered Person is a United States Citizen and has no other principal occupation (outside of similar positions held with respect to other entities directly or indirectly managed or advised by First 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7"/>
        <w:gridCol w:w="121"/>
        <w:gridCol w:w="3363"/>
        <w:gridCol w:w="121"/>
        <w:gridCol w:w="3053"/>
      </w:tblGrid>
      <w:tr>
        <w:trPr/>
        <w:tc>
          <w:tcPr>
            <w:tcW w:w="35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1" w:type="dxa"/>
            <w:tcBorders/>
            <w:vAlign w:val="bottom"/>
          </w:tcPr>
          <w:p>
            <w:pPr>
              <w:pStyle w:val="TableContents"/>
              <w:bidi w:val="0"/>
              <w:spacing w:before="0" w:after="283"/>
              <w:jc w:val="left"/>
              <w:rPr/>
            </w:pPr>
            <w:r>
              <w:rPr/>
              <w:t>  </w:t>
            </w:r>
          </w:p>
        </w:tc>
        <w:tc>
          <w:tcPr>
            <w:tcW w:w="336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 with First Reserve GP XIII Limited</w:t>
            </w:r>
          </w:p>
        </w:tc>
        <w:tc>
          <w:tcPr>
            <w:tcW w:w="121" w:type="dxa"/>
            <w:tcBorders/>
            <w:vAlign w:val="bottom"/>
          </w:tcPr>
          <w:p>
            <w:pPr>
              <w:pStyle w:val="TableContents"/>
              <w:bidi w:val="0"/>
              <w:spacing w:before="0" w:after="283"/>
              <w:jc w:val="left"/>
              <w:rPr/>
            </w:pPr>
            <w:r>
              <w:rPr/>
              <w:t>  </w:t>
            </w:r>
          </w:p>
        </w:tc>
        <w:tc>
          <w:tcPr>
            <w:tcW w:w="305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Business Address</w:t>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tcPr>
          <w:p>
            <w:pPr>
              <w:pStyle w:val="TableContents"/>
              <w:bidi w:val="0"/>
              <w:spacing w:before="0" w:after="283"/>
              <w:jc w:val="left"/>
              <w:rPr/>
            </w:pPr>
            <w:r>
              <w:rPr/>
              <w:t>Edward Bialas*</w:t>
            </w:r>
          </w:p>
        </w:tc>
        <w:tc>
          <w:tcPr>
            <w:tcW w:w="121"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Managing Director</w:t>
            </w:r>
          </w:p>
        </w:tc>
        <w:tc>
          <w:tcPr>
            <w:tcW w:w="121"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283"/>
              <w:jc w:val="left"/>
              <w:rPr/>
            </w:pPr>
            <w:r>
              <w:rPr/>
              <w:t>5847 San Felipe Street, Houston, TX 77057</w:t>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tcPr>
          <w:p>
            <w:pPr>
              <w:pStyle w:val="TableContents"/>
              <w:bidi w:val="0"/>
              <w:spacing w:before="0" w:after="283"/>
              <w:jc w:val="left"/>
              <w:rPr/>
            </w:pPr>
            <w:r>
              <w:rPr/>
              <w:t>William Brown*</w:t>
            </w:r>
          </w:p>
        </w:tc>
        <w:tc>
          <w:tcPr>
            <w:tcW w:w="121"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Managing Director</w:t>
            </w:r>
          </w:p>
        </w:tc>
        <w:tc>
          <w:tcPr>
            <w:tcW w:w="121"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283"/>
              <w:jc w:val="left"/>
              <w:rPr/>
            </w:pPr>
            <w:r>
              <w:rPr/>
              <w:t>5847 San Felipe Street, Houston, TX 77057</w:t>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tcPr>
          <w:p>
            <w:pPr>
              <w:pStyle w:val="TableContents"/>
              <w:bidi w:val="0"/>
              <w:spacing w:before="0" w:after="283"/>
              <w:jc w:val="left"/>
              <w:rPr/>
            </w:pPr>
            <w:r>
              <w:rPr/>
              <w:t>Patrick Carroll</w:t>
            </w:r>
          </w:p>
        </w:tc>
        <w:tc>
          <w:tcPr>
            <w:tcW w:w="121"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Chief Financial Officer</w:t>
            </w:r>
          </w:p>
        </w:tc>
        <w:tc>
          <w:tcPr>
            <w:tcW w:w="121"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0"/>
              <w:jc w:val="left"/>
              <w:rPr>
                <w:rFonts w:ascii="Times New Roman" w:hAnsi="Times New Roman"/>
                <w:sz w:val="20"/>
              </w:rPr>
            </w:pPr>
            <w:r>
              <w:rPr>
                <w:rFonts w:ascii="Times New Roman" w:hAnsi="Times New Roman"/>
                <w:sz w:val="20"/>
              </w:rPr>
              <w:t>262 Harbor Drive, Third Floor, Suite 3100</w:t>
            </w:r>
          </w:p>
          <w:p>
            <w:pPr>
              <w:pStyle w:val="TableContents"/>
              <w:bidi w:val="0"/>
              <w:spacing w:before="0" w:after="20"/>
              <w:jc w:val="left"/>
              <w:rPr>
                <w:rFonts w:ascii="Times New Roman" w:hAnsi="Times New Roman"/>
                <w:sz w:val="20"/>
              </w:rPr>
            </w:pPr>
            <w:r>
              <w:rPr>
                <w:rFonts w:ascii="Times New Roman" w:hAnsi="Times New Roman"/>
                <w:sz w:val="20"/>
              </w:rPr>
              <w:t>Stamford, Connecticut 06902</w:t>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tcPr>
          <w:p>
            <w:pPr>
              <w:pStyle w:val="TableContents"/>
              <w:bidi w:val="0"/>
              <w:spacing w:before="0" w:after="283"/>
              <w:jc w:val="left"/>
              <w:rPr/>
            </w:pPr>
            <w:r>
              <w:rPr/>
              <w:t>John Hill*</w:t>
            </w:r>
          </w:p>
        </w:tc>
        <w:tc>
          <w:tcPr>
            <w:tcW w:w="121"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Managing Director</w:t>
            </w:r>
          </w:p>
        </w:tc>
        <w:tc>
          <w:tcPr>
            <w:tcW w:w="121"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0"/>
              <w:jc w:val="left"/>
              <w:rPr>
                <w:rFonts w:ascii="Times New Roman" w:hAnsi="Times New Roman"/>
                <w:sz w:val="20"/>
              </w:rPr>
            </w:pPr>
            <w:r>
              <w:rPr>
                <w:rFonts w:ascii="Times New Roman" w:hAnsi="Times New Roman"/>
                <w:sz w:val="20"/>
              </w:rPr>
              <w:t>262 Harbor Drive, Third Floor, Suite 3100</w:t>
            </w:r>
          </w:p>
          <w:p>
            <w:pPr>
              <w:pStyle w:val="TableContents"/>
              <w:bidi w:val="0"/>
              <w:spacing w:before="0" w:after="20"/>
              <w:jc w:val="left"/>
              <w:rPr>
                <w:rFonts w:ascii="Times New Roman" w:hAnsi="Times New Roman"/>
                <w:sz w:val="20"/>
              </w:rPr>
            </w:pPr>
            <w:r>
              <w:rPr>
                <w:rFonts w:ascii="Times New Roman" w:hAnsi="Times New Roman"/>
                <w:sz w:val="20"/>
              </w:rPr>
              <w:t>Stamford, Connecticut 06902</w:t>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tcPr>
          <w:p>
            <w:pPr>
              <w:pStyle w:val="TableContents"/>
              <w:bidi w:val="0"/>
              <w:spacing w:before="0" w:after="283"/>
              <w:jc w:val="left"/>
              <w:rPr/>
            </w:pPr>
            <w:r>
              <w:rPr/>
              <w:t>Will Honeybourne*</w:t>
            </w:r>
          </w:p>
        </w:tc>
        <w:tc>
          <w:tcPr>
            <w:tcW w:w="121"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Managing Director</w:t>
            </w:r>
          </w:p>
        </w:tc>
        <w:tc>
          <w:tcPr>
            <w:tcW w:w="121"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283"/>
              <w:jc w:val="left"/>
              <w:rPr/>
            </w:pPr>
            <w:r>
              <w:rPr/>
              <w:t>5847 San Felipe Street, Houston, TX 77057</w:t>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tcPr>
          <w:p>
            <w:pPr>
              <w:pStyle w:val="TableContents"/>
              <w:bidi w:val="0"/>
              <w:spacing w:before="0" w:after="283"/>
              <w:jc w:val="left"/>
              <w:rPr/>
            </w:pPr>
            <w:r>
              <w:rPr/>
              <w:t>Alex Krueger*</w:t>
            </w:r>
          </w:p>
        </w:tc>
        <w:tc>
          <w:tcPr>
            <w:tcW w:w="121"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President &amp; CEO</w:t>
            </w:r>
          </w:p>
        </w:tc>
        <w:tc>
          <w:tcPr>
            <w:tcW w:w="121"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0"/>
              <w:jc w:val="left"/>
              <w:rPr>
                <w:rFonts w:ascii="Times New Roman" w:hAnsi="Times New Roman"/>
                <w:sz w:val="20"/>
              </w:rPr>
            </w:pPr>
            <w:r>
              <w:rPr>
                <w:rFonts w:ascii="Times New Roman" w:hAnsi="Times New Roman"/>
                <w:sz w:val="20"/>
              </w:rPr>
              <w:t>262 Harbor Drive, Third Floor, Suite 3100</w:t>
            </w:r>
          </w:p>
          <w:p>
            <w:pPr>
              <w:pStyle w:val="TableContents"/>
              <w:bidi w:val="0"/>
              <w:spacing w:before="0" w:after="20"/>
              <w:jc w:val="left"/>
              <w:rPr>
                <w:rFonts w:ascii="Times New Roman" w:hAnsi="Times New Roman"/>
                <w:sz w:val="20"/>
              </w:rPr>
            </w:pPr>
            <w:r>
              <w:rPr>
                <w:rFonts w:ascii="Times New Roman" w:hAnsi="Times New Roman"/>
                <w:sz w:val="20"/>
              </w:rPr>
              <w:t>Stamford, Connecticut 06902</w:t>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tcPr>
          <w:p>
            <w:pPr>
              <w:pStyle w:val="TableContents"/>
              <w:bidi w:val="0"/>
              <w:spacing w:before="0" w:after="283"/>
              <w:jc w:val="left"/>
              <w:rPr/>
            </w:pPr>
            <w:r>
              <w:rPr/>
              <w:t>Jeffrey Quake*</w:t>
            </w:r>
          </w:p>
        </w:tc>
        <w:tc>
          <w:tcPr>
            <w:tcW w:w="121"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Managing Director</w:t>
            </w:r>
          </w:p>
        </w:tc>
        <w:tc>
          <w:tcPr>
            <w:tcW w:w="121"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0"/>
              <w:jc w:val="left"/>
              <w:rPr>
                <w:rFonts w:ascii="Times New Roman" w:hAnsi="Times New Roman"/>
                <w:sz w:val="20"/>
              </w:rPr>
            </w:pPr>
            <w:r>
              <w:rPr>
                <w:rFonts w:ascii="Times New Roman" w:hAnsi="Times New Roman"/>
                <w:sz w:val="20"/>
              </w:rPr>
              <w:t>262 Harbor Drive, Third Floor, Suite 3100</w:t>
            </w:r>
          </w:p>
          <w:p>
            <w:pPr>
              <w:pStyle w:val="TableContents"/>
              <w:bidi w:val="0"/>
              <w:spacing w:before="0" w:after="20"/>
              <w:jc w:val="left"/>
              <w:rPr>
                <w:rFonts w:ascii="Times New Roman" w:hAnsi="Times New Roman"/>
                <w:sz w:val="20"/>
              </w:rPr>
            </w:pPr>
            <w:r>
              <w:rPr>
                <w:rFonts w:ascii="Times New Roman" w:hAnsi="Times New Roman"/>
                <w:sz w:val="20"/>
              </w:rPr>
              <w:t>Stamford, Connecticut 06902</w:t>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tcPr>
          <w:p>
            <w:pPr>
              <w:pStyle w:val="TableContents"/>
              <w:bidi w:val="0"/>
              <w:spacing w:before="0" w:after="283"/>
              <w:jc w:val="left"/>
              <w:rPr/>
            </w:pPr>
            <w:r>
              <w:rPr/>
              <w:t>Erica Radcliffe*</w:t>
            </w:r>
          </w:p>
        </w:tc>
        <w:tc>
          <w:tcPr>
            <w:tcW w:w="121"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CCO &amp; General Counsel</w:t>
            </w:r>
          </w:p>
        </w:tc>
        <w:tc>
          <w:tcPr>
            <w:tcW w:w="121"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283"/>
              <w:jc w:val="left"/>
              <w:rPr/>
            </w:pPr>
            <w:r>
              <w:rPr/>
              <w:t>5847 San Felipe Street, Houston, TX 77057</w:t>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tcPr>
          <w:p>
            <w:pPr>
              <w:pStyle w:val="TableContents"/>
              <w:bidi w:val="0"/>
              <w:spacing w:before="0" w:after="283"/>
              <w:jc w:val="left"/>
              <w:rPr/>
            </w:pPr>
            <w:r>
              <w:rPr/>
              <w:t>Gary Reaves*</w:t>
            </w:r>
          </w:p>
        </w:tc>
        <w:tc>
          <w:tcPr>
            <w:tcW w:w="121"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Managing Director</w:t>
            </w:r>
          </w:p>
        </w:tc>
        <w:tc>
          <w:tcPr>
            <w:tcW w:w="121"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283"/>
              <w:jc w:val="left"/>
              <w:rPr/>
            </w:pPr>
            <w:r>
              <w:rPr/>
              <w:t>5847 San Felipe Street, Houston, TX 77057</w:t>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tcPr>
          <w:p>
            <w:pPr>
              <w:pStyle w:val="TableContents"/>
              <w:bidi w:val="0"/>
              <w:spacing w:before="0" w:after="283"/>
              <w:jc w:val="left"/>
              <w:rPr/>
            </w:pPr>
            <w:r>
              <w:rPr/>
              <w:t>Joshua Weiner*</w:t>
            </w:r>
          </w:p>
        </w:tc>
        <w:tc>
          <w:tcPr>
            <w:tcW w:w="121"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Managing Director</w:t>
            </w:r>
          </w:p>
        </w:tc>
        <w:tc>
          <w:tcPr>
            <w:tcW w:w="121"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0"/>
              <w:jc w:val="left"/>
              <w:rPr>
                <w:rFonts w:ascii="Times New Roman" w:hAnsi="Times New Roman"/>
                <w:sz w:val="20"/>
              </w:rPr>
            </w:pPr>
            <w:r>
              <w:rPr>
                <w:rFonts w:ascii="Times New Roman" w:hAnsi="Times New Roman"/>
                <w:sz w:val="20"/>
              </w:rPr>
              <w:t>262 Harbor Drive, Third Floor, Suite 3100</w:t>
            </w:r>
          </w:p>
          <w:p>
            <w:pPr>
              <w:pStyle w:val="TableContents"/>
              <w:bidi w:val="0"/>
              <w:spacing w:before="0" w:after="20"/>
              <w:jc w:val="left"/>
              <w:rPr>
                <w:rFonts w:ascii="Times New Roman" w:hAnsi="Times New Roman"/>
                <w:sz w:val="20"/>
              </w:rPr>
            </w:pPr>
            <w:r>
              <w:rPr>
                <w:rFonts w:ascii="Times New Roman" w:hAnsi="Times New Roman"/>
                <w:sz w:val="20"/>
              </w:rPr>
              <w:t>Stamford, Connecticut 06902</w:t>
            </w:r>
          </w:p>
        </w:tc>
      </w:tr>
      <w:tr>
        <w:trPr>
          <w:trHeight w:val="120" w:hRule="atLeast"/>
        </w:trPr>
        <w:tc>
          <w:tcPr>
            <w:tcW w:w="3547" w:type="dxa"/>
            <w:tcBorders/>
            <w:vAlign w:val="center"/>
          </w:tcPr>
          <w:p>
            <w:pPr>
              <w:pStyle w:val="TableContents"/>
              <w:bidi w:val="0"/>
              <w:spacing w:before="0" w:after="283"/>
              <w:jc w:val="left"/>
              <w:rPr>
                <w:sz w:val="4"/>
                <w:szCs w:val="4"/>
              </w:rPr>
            </w:pPr>
            <w:r>
              <w:rPr>
                <w:sz w:val="4"/>
                <w:szCs w:val="4"/>
              </w:rPr>
            </w:r>
          </w:p>
        </w:tc>
        <w:tc>
          <w:tcPr>
            <w:tcW w:w="3484" w:type="dxa"/>
            <w:gridSpan w:val="2"/>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3547" w:type="dxa"/>
            <w:tcBorders/>
          </w:tcPr>
          <w:p>
            <w:pPr>
              <w:pStyle w:val="TableContents"/>
              <w:bidi w:val="0"/>
              <w:spacing w:before="0" w:after="283"/>
              <w:jc w:val="left"/>
              <w:rPr/>
            </w:pPr>
            <w:r>
              <w:rPr/>
              <w:t>Neil Wizel*</w:t>
            </w:r>
          </w:p>
        </w:tc>
        <w:tc>
          <w:tcPr>
            <w:tcW w:w="121"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Managing Director</w:t>
            </w:r>
          </w:p>
        </w:tc>
        <w:tc>
          <w:tcPr>
            <w:tcW w:w="121"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283"/>
              <w:jc w:val="left"/>
              <w:rPr/>
            </w:pPr>
            <w:r>
              <w:rPr/>
              <w:t>5847 San Felipe Street, Houston, TX 77057</w:t>
            </w:r>
          </w:p>
        </w:tc>
      </w:tr>
    </w:tbl>
    <w:p>
      <w:pPr>
        <w:pStyle w:val="TextBody"/>
        <w:bidi w:val="0"/>
        <w:spacing w:before="360" w:after="0"/>
        <w:jc w:val="left"/>
        <w:rPr>
          <w:rFonts w:ascii="Times New Roman" w:hAnsi="Times New Roman"/>
          <w:sz w:val="20"/>
        </w:rPr>
      </w:pPr>
      <w:r>
        <w:rPr>
          <w:rFonts w:ascii="Times New Roman" w:hAnsi="Times New Roman"/>
          <w:sz w:val="20"/>
        </w:rPr>
        <w:t xml:space="preserve">*    Member of the Board of Directors of First Reserve GP XIII Limited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1876</Words>
  <Characters>9323</Characters>
  <CharactersWithSpaces>11510</CharactersWithSpaces>
  <Paragraphs>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13D/A</dc:title>
</cp:coreProperties>
</file>