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143"/>
        <w:gridCol w:w="1930"/>
        <w:gridCol w:w="6099"/>
        <w:gridCol w:w="2033"/>
      </w:tblGrid>
      <w:tr>
        <w:trPr/>
        <w:tc>
          <w:tcPr>
            <w:tcW w:w="2073"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6099"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33"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13"/>
            </w:tblGrid>
            <w:tr>
              <w:trPr/>
              <w:tc>
                <w:tcPr>
                  <w:tcW w:w="1913"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3"/>
                    <w:gridCol w:w="684"/>
                  </w:tblGrid>
                  <w:tr>
                    <w:trPr/>
                    <w:tc>
                      <w:tcPr>
                        <w:tcW w:w="117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4"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57"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4"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13"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28" w:type="dxa"/>
                <w:left w:w="28" w:type="dxa"/>
                <w:bottom w:w="28" w:type="dxa"/>
                <w:right w:w="28" w:type="dxa"/>
              </w:tblCellMar>
            </w:tblPr>
            <w:tblGrid>
              <w:gridCol w:w="1913"/>
            </w:tblGrid>
            <w:tr>
              <w:trPr/>
              <w:tc>
                <w:tcPr>
                  <w:tcW w:w="1913" w:type="dxa"/>
                  <w:tcBorders>
                    <w:top w:val="single" w:sz="6" w:space="0" w:color="808080"/>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pPr>
            <w:r>
              <w:rPr/>
            </w:r>
          </w:p>
        </w:tc>
      </w:tr>
      <w:tr>
        <w:trPr/>
        <w:tc>
          <w:tcPr>
            <w:tcW w:w="143"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6099" w:type="dxa"/>
            <w:vMerge w:val="continue"/>
            <w:tcBorders/>
            <w:vAlign w:val="center"/>
          </w:tcPr>
          <w:p>
            <w:pPr>
              <w:pStyle w:val="Normal"/>
              <w:bidi w:val="0"/>
              <w:jc w:val="left"/>
              <w:rPr/>
            </w:pPr>
            <w:r>
              <w:rPr/>
            </w:r>
          </w:p>
        </w:tc>
        <w:tc>
          <w:tcPr>
            <w:tcW w:w="2033"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2">
                    <w:r>
                      <w:rPr>
                        <w:rStyle w:val="InternetLink"/>
                      </w:rPr>
                      <w:t>Reaves Gary Duane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FIRST RESERVE</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5847 SAN FELIPE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77057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Crestwood Equity Partners LP</w:t>
              </w:r>
            </w:hyperlink>
            <w:r>
              <w:rPr/>
              <w:t xml:space="preserve"> [ </w:t>
            </w:r>
            <w:r>
              <w:rPr>
                <w:rFonts w:ascii="Times;serif" w:hAnsi="Times;serif"/>
                <w:color w:val="0000FF"/>
                <w:sz w:val="24"/>
                <w:shd w:fill="FFFFFF" w:val="clear"/>
              </w:rPr>
              <w:t>CEQP</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11/03/2023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11/03/2023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r>
              <w:rPr/>
              <w:t xml:space="preserve"> </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8,065</w:t>
            </w:r>
            <w:r>
              <w:rPr>
                <w:rFonts w:ascii="Times;serif" w:hAnsi="Times;serif"/>
                <w:color w:val="008000"/>
                <w:position w:val="7"/>
                <w:sz w:val="16"/>
                <w:sz w:val="20"/>
                <w:shd w:fill="FFFFFF" w:val="clear"/>
              </w:rPr>
              <w:t>(2)</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and in connection with that certain Agreement and Plan of Merger dated as of August 16, 2023, by and among Energy Transfer LP, ("Energy Transfer"), Pachyderm Merger Sub LLC, a direct wholly owned subsidiary of Energy Transfer ("Merger Sub"), the Issuer, and, solely for the purposes set forth therein, LE GP, LLC, the sole general partner of Energy Transfer, the Issuer merged with and into Merger Sub (the "Merger"), with Merger Sub continuing as the surviving entity. As a result of the Merger, each of these common units representing Issuer limited partner interests were converted into the right to receive 2.07 common units representing limited partner interests in Energy Transfer.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Mr. Reaves, a Managing Director and member of the Board of Directors of First Reserve GP XIII Limited, held certain of these securities for the benefit of First Reserve GP XIII Limited and/or certain of its affiliates or certain of the funds they manage.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 disclaims beneficial ownership of the securities reported on this Form 4 except to the extent of his pecuniary interest therein, and the inclusion of these securities in this report shall not be deemed an admission of beneficial ownership of these securities for purposes of Section 16 of the Securities Exchange Act of 1934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Jessica Lewis, attorney-in-fact for Gary D. Reaves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72089" TargetMode="External"/><Relationship Id="rId3" Type="http://schemas.openxmlformats.org/officeDocument/2006/relationships/hyperlink" Target="http://www.sec.gov/cgi-bin/browse-edgar?action=getcompany&amp;CIK=0001136352"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781</Words>
  <Characters>4178</Characters>
  <CharactersWithSpaces>4896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