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First Reserve GP XIII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262 HARBOR DRIVE, THIRD FLOOR,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Crestwood Equity Partners LP</w:t>
              </w:r>
            </w:hyperlink>
            <w:r>
              <w:rPr/>
              <w:t xml:space="preserve"> [ </w:t>
            </w:r>
            <w:r>
              <w:rPr>
                <w:rFonts w:ascii="Times;serif" w:hAnsi="Times;serif"/>
                <w:color w:val="0000FF"/>
                <w:sz w:val="24"/>
                <w:shd w:fill="FFFFFF" w:val="clear"/>
              </w:rPr>
              <w:t>CEQP</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09"/>
        <w:gridCol w:w="780"/>
        <w:gridCol w:w="604"/>
        <w:gridCol w:w="342"/>
        <w:gridCol w:w="1285"/>
        <w:gridCol w:w="431"/>
        <w:gridCol w:w="596"/>
        <w:gridCol w:w="1128"/>
        <w:gridCol w:w="973"/>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11/03/2023</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11,275,546</w:t>
            </w:r>
            <w:r>
              <w:rPr>
                <w:rFonts w:ascii="Times;serif" w:hAnsi="Times;serif"/>
                <w:color w:val="008000"/>
                <w:position w:val="7"/>
                <w:sz w:val="16"/>
                <w:sz w:val="20"/>
                <w:shd w:fill="FFFFFF" w:val="clear"/>
              </w:rPr>
              <w:t>(2)</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11/03/2023</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914</w:t>
            </w:r>
            <w:r>
              <w:rPr>
                <w:rFonts w:ascii="Times;serif" w:hAnsi="Times;serif"/>
                <w:color w:val="008000"/>
                <w:position w:val="7"/>
                <w:sz w:val="16"/>
                <w:sz w:val="20"/>
                <w:shd w:fill="FFFFFF" w:val="clear"/>
              </w:rPr>
              <w:t>(3)</w:t>
            </w:r>
            <w:r>
              <w:rPr/>
              <w:t xml:space="preserve"> </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4">
                    <w:r>
                      <w:rPr>
                        <w:rStyle w:val="InternetLink"/>
                      </w:rPr>
                      <w:t>First Reserve GP XIII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262 HARBOR DRIVE, THIRD FLOOR,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First Reserve GP XIII,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262 HARBOR DRIVE, THIRD FLOOR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FR XIII Crestwood Permian Basin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262 HARBOR DRIVE, THIRD FLOOR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FR XIII Charlie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262 HARBOR DRIVE, THIRD FLOOR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and in connection with that certain Agreement and Plan of Merger (the "Merger Agreement"), dated as of August 16, 2023, by and among Energy Transfer LP, ("Energy Transfer"), Pachyderm Merger Sub LLC, a direct wholly owned subsidiary of Energy Transfer ("Merger Sub"), the Issuer, and, solely for the purposes set forth therein, LE GP, LLC, the sole general partner of Energy Transfer, the Issuer merged with and into Merger Sub (the "Merger"), with Merger Sub continuing as the surviving entity. As a result of the Merger, each of these common units representing Issuer limited partner interests ("Crestwood Common Units") were converted into the right to receive 2.07 common units representing limited partner interests in Energy Transfer.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Crestwood Common Units that were held directly by FR XIII Crestwood Permian Basin Holdings LLC ("First Reserve XIII"). This form is filed jointly by First Reserve GP XIII Limited, First Reserve GP XIII, L.P., First Reserve XIII and FR XIII Charlie AIV, L.P. FR XIII Charlie AIV, L.P. is the managing member of First Reserve XIII. First Reserve GP XIII, L.P. is the general partner of Charlie AIV, L.P. First Reserve GP XIII Limited is the general partner of First Reserve GP XIII, L.P. Mr. Reaves is a Managing Director and member of the Board of Directors of First Reserve GP XIII Limited. Each of First Reserve GP XIII Limited, First Reserve GP XIII, L.P., First Reserve XIII and FR XIII Charlie AIV, L.P. may have been deemed to be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units that were held by Mr. Reaves, a Managing Director and member of the Board of Directors of First Reserve GP XIII Limited. Mr. Reaves held these securities for the benefit of one or more of the reporting persons and/or certain of their affiliates or certain of the funds they manage.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disclaim beneficial ownership of the securities reported on this Form 4 except to the extent of their pecuniary interest therein, and the inclusion of these securities in this report shall not be deemed an admission of beneficial ownership of these securities for purposes of Section 16 of the Securities Exchange Act of 1934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FIRST RESERVE GP XIII LIMITED, By: /s/ Erica H. Radcliffe, Name: Erica H. Radcliffe, General Counsel &amp;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FIRST RESERVE GP XIII, L.P., By: First Reserve GP XIII Limited, its general partner, By: /s/ Erica H. Radcliffe, Name: Erica H. Radcliffe, General Counsel &amp;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 XIII CRESTWOOD PERMIAN BASIN HOLDINGS LLC, By: FR XIII Charlie AIV, L.P., its man. mem., By: First Reserve GP XIII, L.P., its GP, By: First Reserve GP XIII Limited, its GP, By: /s/ Erica H. Radcliffe, Name: Erica H. Radcliffe, General Counsel &amp; CCO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 XIII CHARLIE AIV, L.P. By: First Reserve GP XIII, L.P., its general partner, By: First Reserve GP XIII Limited, its general partner, By: /s/ Erica H. Radcliffe, Name: Erica H. Radcliffe, General Counsel &amp; Chief Compliance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06604" TargetMode="External"/><Relationship Id="rId3" Type="http://schemas.openxmlformats.org/officeDocument/2006/relationships/hyperlink" Target="http://www.sec.gov/cgi-bin/browse-edgar?action=getcompany&amp;CIK=0001136352" TargetMode="External"/><Relationship Id="rId4" Type="http://schemas.openxmlformats.org/officeDocument/2006/relationships/hyperlink" Target="http://www.sec.gov/cgi-bin/browse-edgar?action=getcompany&amp;CIK=0001706604" TargetMode="External"/><Relationship Id="rId5" Type="http://schemas.openxmlformats.org/officeDocument/2006/relationships/hyperlink" Target="http://www.sec.gov/cgi-bin/browse-edgar?action=getcompany&amp;CIK=0001935823" TargetMode="External"/><Relationship Id="rId6" Type="http://schemas.openxmlformats.org/officeDocument/2006/relationships/hyperlink" Target="http://www.sec.gov/cgi-bin/browse-edgar?action=getcompany&amp;CIK=0001935820" TargetMode="External"/><Relationship Id="rId7" Type="http://schemas.openxmlformats.org/officeDocument/2006/relationships/hyperlink" Target="http://www.sec.gov/cgi-bin/browse-edgar?action=getcompany&amp;CIK=0001935822"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1196</Words>
  <Characters>6271</Characters>
  <CharactersWithSpaces>7337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