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91263dposasr.htm"/>
      <w:bookmarkStart w:id="1" w:name="ksd91263dposasr"/>
      <w:bookmarkEnd w:id="0"/>
      <w:bookmarkEnd w:id="1"/>
      <w:r>
        <w:rPr>
          <w:rFonts w:ascii="Times New Roman" w:hAnsi="Times New Roman"/>
          <w:b/>
          <w:sz w:val="20"/>
        </w:rPr>
        <w:t xml:space="preserve">As filed with the Securities and Exchange Commission on July 6,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333-279982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POST-EFFECTIVE AMENDMENT NO. 1 </w:t>
      </w:r>
    </w:p>
    <w:p>
      <w:pPr>
        <w:pStyle w:val="TextBody"/>
        <w:bidi w:val="0"/>
        <w:spacing w:before="0" w:after="0"/>
        <w:jc w:val="center"/>
        <w:rPr>
          <w:rFonts w:ascii="Times New Roman" w:hAnsi="Times New Roman"/>
          <w:b/>
          <w:sz w:val="36"/>
        </w:rPr>
      </w:pPr>
      <w:r>
        <w:rPr>
          <w:rFonts w:ascii="Times New Roman" w:hAnsi="Times New Roman"/>
          <w:b/>
          <w:sz w:val="36"/>
        </w:rPr>
        <w:t xml:space="preserve">ON FORM S-3 </w:t>
      </w:r>
    </w:p>
    <w:p>
      <w:pPr>
        <w:pStyle w:val="TextBody"/>
        <w:bidi w:val="0"/>
        <w:spacing w:before="0" w:after="0"/>
        <w:jc w:val="center"/>
        <w:rPr>
          <w:rFonts w:ascii="Times New Roman" w:hAnsi="Times New Roman"/>
          <w:b/>
          <w:sz w:val="36"/>
        </w:rPr>
      </w:pPr>
      <w:r>
        <w:rPr>
          <w:rFonts w:ascii="Times New Roman" w:hAnsi="Times New Roman"/>
          <w:b/>
          <w:sz w:val="36"/>
        </w:rPr>
        <w:t xml:space="preserve">TO </w:t>
      </w:r>
    </w:p>
    <w:p>
      <w:pPr>
        <w:pStyle w:val="TextBody"/>
        <w:bidi w:val="0"/>
        <w:spacing w:before="0" w:after="0"/>
        <w:jc w:val="center"/>
        <w:rPr>
          <w:rFonts w:ascii="Times New Roman" w:hAnsi="Times New Roman"/>
          <w:b/>
          <w:sz w:val="36"/>
        </w:rPr>
      </w:pPr>
      <w:r>
        <w:rPr>
          <w:rFonts w:ascii="Times New Roman" w:hAnsi="Times New Roman"/>
          <w:b/>
          <w:sz w:val="36"/>
        </w:rPr>
        <w:t xml:space="preserve">FORM S-3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ENERGY TRANSFER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Texas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30-0108820</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8111 Westchester Drive, Suite 600 </w:t>
      </w:r>
    </w:p>
    <w:p>
      <w:pPr>
        <w:pStyle w:val="TextBody"/>
        <w:bidi w:val="0"/>
        <w:spacing w:before="240" w:after="0"/>
        <w:jc w:val="center"/>
        <w:rPr>
          <w:rFonts w:ascii="Times New Roman" w:hAnsi="Times New Roman"/>
          <w:b/>
          <w:sz w:val="20"/>
        </w:rPr>
      </w:pPr>
      <w:r>
        <w:rPr>
          <w:rFonts w:ascii="Times New Roman" w:hAnsi="Times New Roman"/>
          <w:b/>
          <w:sz w:val="20"/>
        </w:rPr>
        <w:t xml:space="preserve">Dallas, Texas 75225 </w:t>
      </w:r>
    </w:p>
    <w:p>
      <w:pPr>
        <w:pStyle w:val="TextBody"/>
        <w:bidi w:val="0"/>
        <w:spacing w:before="0" w:after="0"/>
        <w:jc w:val="center"/>
        <w:rPr>
          <w:rFonts w:ascii="Times New Roman" w:hAnsi="Times New Roman"/>
          <w:b/>
          <w:sz w:val="20"/>
        </w:rPr>
      </w:pPr>
      <w:r>
        <w:rPr>
          <w:rFonts w:ascii="Times New Roman" w:hAnsi="Times New Roman"/>
          <w:b/>
          <w:sz w:val="20"/>
        </w:rPr>
        <w:t xml:space="preserve">(214) 981-0700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Thomas E. Long </w:t>
      </w:r>
    </w:p>
    <w:p>
      <w:pPr>
        <w:pStyle w:val="TextBody"/>
        <w:bidi w:val="0"/>
        <w:spacing w:before="0" w:after="0"/>
        <w:jc w:val="center"/>
        <w:rPr>
          <w:rFonts w:ascii="Times New Roman" w:hAnsi="Times New Roman"/>
          <w:b/>
          <w:sz w:val="20"/>
        </w:rPr>
      </w:pPr>
      <w:r>
        <w:rPr>
          <w:rFonts w:ascii="Times New Roman" w:hAnsi="Times New Roman"/>
          <w:b/>
          <w:sz w:val="20"/>
        </w:rPr>
        <w:t xml:space="preserve">Co-Chief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Energy Transfer LP </w:t>
      </w:r>
    </w:p>
    <w:p>
      <w:pPr>
        <w:pStyle w:val="TextBody"/>
        <w:bidi w:val="0"/>
        <w:spacing w:before="240" w:after="0"/>
        <w:jc w:val="center"/>
        <w:rPr>
          <w:rFonts w:ascii="Times New Roman" w:hAnsi="Times New Roman"/>
          <w:b/>
          <w:sz w:val="20"/>
        </w:rPr>
      </w:pPr>
      <w:r>
        <w:rPr>
          <w:rFonts w:ascii="Times New Roman" w:hAnsi="Times New Roman"/>
          <w:b/>
          <w:sz w:val="20"/>
        </w:rPr>
        <w:t xml:space="preserve">8111 Westchester Drive, Suite 600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75225 </w:t>
      </w:r>
    </w:p>
    <w:p>
      <w:pPr>
        <w:pStyle w:val="TextBody"/>
        <w:bidi w:val="0"/>
        <w:spacing w:before="0" w:after="0"/>
        <w:jc w:val="center"/>
        <w:rPr>
          <w:rFonts w:ascii="Times New Roman" w:hAnsi="Times New Roman"/>
          <w:b/>
          <w:sz w:val="20"/>
        </w:rPr>
      </w:pPr>
      <w:r>
        <w:rPr>
          <w:rFonts w:ascii="Times New Roman" w:hAnsi="Times New Roman"/>
          <w:b/>
          <w:sz w:val="20"/>
        </w:rPr>
        <w:t xml:space="preserve">(214) 981-0700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b/>
          <w:sz w:val="20"/>
        </w:rPr>
        <w:t>Approximate date of commencement of proposed sale to the public</w:t>
      </w:r>
      <w:r>
        <w:rPr>
          <w:rFonts w:ascii="Times New Roman" w:hAnsi="Times New Roman"/>
          <w:sz w:val="20"/>
        </w:rPr>
        <w:t xml:space="preserve">: From time to time after this registration statement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July 6, 2026, Energy Transfer LP (the “Registrant”) changed its state of domicile from the State of Delaware to the State of Texas pursuant to a plan of conversion. This redomiciliation was approved by the board of directors of the general partner in reliance in part on the recommendation and Special Approval (as defined in the Delaware Partnership Agreement (as defined below)) of the Conflicts Committee (as defined in the Delaware Partnership Agreement). As a result of the redomiciliation, among other things, the affairs of the Registrant ceased to be governed by the Delaware Revised Uniform Limited Partnership Act (the “DRULPA”) and became subject to the Texas Business Organizations Code (the “TBOC”); the certificate of limited partnership and Fourth Amended and Restated Agreement of Limited Partnership of the Registrant (the “Delaware Partnership Agreement”) that were in effect immediately prior to the redomiciliation were replaced by a new certificate of formation filed with the Secretary of State of the State of Texas and the Agreement of Limited Partnership of the Registrant (the “Texas Partnership Agreement”) approved in connection with the redomiciliation and plan of conversion; and each common unit of the Registrant as a Delaware limited partnership was converted into a common unit of the Registrant as a Texas limited partnership.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414 under the Securities Act of 1933, as amended (the “Securities Act”), on the date hereof the Registrant is filing this Post-Effective Amendment No. 1 to the Registration Statement on Form S-3, File No. 333-279982 (the “Registration Statement”), solely to reflect the change in the Registrant’s state of incorporation as a result of the redomiciliation or as necessary to keep the Registration Statement from being misleading in any material respect. The Registration Statement was originally filed by the Registrant with the Securities and Exchange Commission (the “SEC”) on June 6, 2024. Pursuant to Rule 414(d), the Registrant expressly adopts the Registration Statement, as modified by this Post-Effective Amendment No. 1, as its own for all purposes of the Securities Act and Securities Exchange Act of 1934, as amended (the “Exchange Act”), as a result of the redomiciliation.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this item is incorporated by reference from Item 14 of the Registrant’s Registration Statement on Form S-3 (File No. 333-279982), filed with the SEC on June 6,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provided in the Texas Partnership Agreement, which is incorporated herein by reference, the Registrant will generally indemnify its general partner, officers, directors and affiliates of its general partner to the fullest extent permitted by the law against all losses, claims, damages or similar events; provided, that the indemnitee will not be indemnified and held harmless if there has been a final and non-appealable judgment entered by a court of competent jurisdiction determining that, in respect of the matter for which the indemnitee is seeking indemnification, the indemnitee acted in bad faith or engaged in fraud, willful misconduct, or in the case of a criminal matter, acted with knowledge that the indemnitee’s conduct was unlawful. To the fullest extent permitted by applicable law, Chapter 8 of the TBOC shall not apply to the Registrant, any partners or any indemnitee.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indemnification provisions of the Texas Partnership Agreement purport to include indemnification for liabilities arising under the Securities Act, in the opinion of the SEC, such indemnification is contrary to public policy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also maintains insurance coverage under a policy insuring its directors and officers against certain liabilities which they may incur in their capacity as such.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8"/>
        <w:gridCol w:w="422"/>
        <w:gridCol w:w="8995"/>
      </w:tblGrid>
      <w:tr>
        <w:trPr/>
        <w:tc>
          <w:tcPr>
            <w:tcW w:w="788"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8995" w:type="dxa"/>
            <w:tcBorders/>
            <w:vAlign w:val="center"/>
          </w:tcPr>
          <w:p>
            <w:pPr>
              <w:pStyle w:val="TableContents"/>
              <w:bidi w:val="0"/>
              <w:spacing w:before="0" w:after="283"/>
              <w:jc w:val="left"/>
              <w:rPr>
                <w:sz w:val="4"/>
                <w:szCs w:val="4"/>
              </w:rPr>
            </w:pPr>
            <w:r>
              <w:rPr>
                <w:sz w:val="4"/>
                <w:szCs w:val="4"/>
              </w:rPr>
            </w:r>
          </w:p>
        </w:tc>
      </w:tr>
      <w:tr>
        <w:trPr/>
        <w:tc>
          <w:tcPr>
            <w:tcW w:w="788"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422" w:type="dxa"/>
            <w:tcBorders/>
            <w:vAlign w:val="bottom"/>
          </w:tcPr>
          <w:p>
            <w:pPr>
              <w:pStyle w:val="TableContents"/>
              <w:bidi w:val="0"/>
              <w:spacing w:before="0" w:after="283"/>
              <w:jc w:val="left"/>
              <w:rPr/>
            </w:pPr>
            <w:r>
              <w:rPr/>
              <w:t>  </w:t>
            </w:r>
          </w:p>
        </w:tc>
        <w:tc>
          <w:tcPr>
            <w:tcW w:w="89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88" w:type="dxa"/>
            <w:tcBorders/>
            <w:vAlign w:val="center"/>
          </w:tcPr>
          <w:p>
            <w:pPr>
              <w:pStyle w:val="TableContents"/>
              <w:bidi w:val="0"/>
              <w:spacing w:before="0" w:after="283"/>
              <w:jc w:val="left"/>
              <w:rPr>
                <w:sz w:val="4"/>
                <w:szCs w:val="4"/>
              </w:rPr>
            </w:pPr>
            <w:r>
              <w:rPr>
                <w:sz w:val="4"/>
                <w:szCs w:val="4"/>
              </w:rPr>
            </w:r>
          </w:p>
        </w:tc>
        <w:tc>
          <w:tcPr>
            <w:tcW w:w="9417"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 </w:t>
            </w:r>
            <w:r>
              <w:rPr/>
              <w:t>1.1*</w:t>
            </w:r>
          </w:p>
        </w:tc>
        <w:tc>
          <w:tcPr>
            <w:tcW w:w="422" w:type="dxa"/>
            <w:tcBorders/>
            <w:vAlign w:val="bottom"/>
          </w:tcPr>
          <w:p>
            <w:pPr>
              <w:pStyle w:val="TableContents"/>
              <w:bidi w:val="0"/>
              <w:spacing w:before="0" w:after="283"/>
              <w:jc w:val="left"/>
              <w:rPr/>
            </w:pPr>
            <w:r>
              <w:rPr/>
              <w:t>  </w:t>
            </w:r>
          </w:p>
        </w:tc>
        <w:tc>
          <w:tcPr>
            <w:tcW w:w="8995" w:type="dxa"/>
            <w:tcBorders/>
          </w:tcPr>
          <w:p>
            <w:pPr>
              <w:pStyle w:val="TableContents"/>
              <w:bidi w:val="0"/>
              <w:spacing w:before="0" w:after="283"/>
              <w:jc w:val="left"/>
              <w:rPr/>
            </w:pPr>
            <w:r>
              <w:rPr/>
              <w:t>Form of Underwriting Agreement.</w:t>
            </w:r>
          </w:p>
        </w:tc>
      </w:tr>
      <w:tr>
        <w:trPr>
          <w:trHeight w:val="120" w:hRule="atLeast"/>
        </w:trPr>
        <w:tc>
          <w:tcPr>
            <w:tcW w:w="788" w:type="dxa"/>
            <w:tcBorders/>
            <w:vAlign w:val="center"/>
          </w:tcPr>
          <w:p>
            <w:pPr>
              <w:pStyle w:val="TableContents"/>
              <w:bidi w:val="0"/>
              <w:spacing w:before="0" w:after="283"/>
              <w:jc w:val="left"/>
              <w:rPr>
                <w:sz w:val="4"/>
                <w:szCs w:val="4"/>
              </w:rPr>
            </w:pPr>
            <w:r>
              <w:rPr>
                <w:sz w:val="4"/>
                <w:szCs w:val="4"/>
              </w:rPr>
            </w:r>
          </w:p>
        </w:tc>
        <w:tc>
          <w:tcPr>
            <w:tcW w:w="9417"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 </w:t>
            </w:r>
            <w:r>
              <w:rPr/>
              <w:t>3.1</w:t>
            </w:r>
          </w:p>
        </w:tc>
        <w:tc>
          <w:tcPr>
            <w:tcW w:w="422" w:type="dxa"/>
            <w:tcBorders/>
            <w:vAlign w:val="bottom"/>
          </w:tcPr>
          <w:p>
            <w:pPr>
              <w:pStyle w:val="TableContents"/>
              <w:bidi w:val="0"/>
              <w:spacing w:before="0" w:after="283"/>
              <w:jc w:val="left"/>
              <w:rPr/>
            </w:pPr>
            <w:r>
              <w:rPr/>
              <w:t>  </w:t>
            </w:r>
          </w:p>
        </w:tc>
        <w:tc>
          <w:tcPr>
            <w:tcW w:w="8995" w:type="dxa"/>
            <w:tcBorders/>
          </w:tcPr>
          <w:p>
            <w:pPr>
              <w:pStyle w:val="TableContents"/>
              <w:bidi w:val="0"/>
              <w:spacing w:before="0" w:after="283"/>
              <w:jc w:val="left"/>
              <w:rPr/>
            </w:pPr>
            <w:hyperlink r:id="rId2">
              <w:r>
                <w:rPr>
                  <w:rStyle w:val="InternetLink"/>
                </w:rPr>
                <w:t xml:space="preserve">Certificate of Formation of Energy Transfer LP, dated as of July 6, 2026 (incorporated by reference to Exhibit 3.1 of Form 8-K12B, File No. 001-32740, filed July 6, 2026). </w:t>
              </w:r>
            </w:hyperlink>
          </w:p>
        </w:tc>
      </w:tr>
      <w:tr>
        <w:trPr>
          <w:trHeight w:val="120" w:hRule="atLeast"/>
        </w:trPr>
        <w:tc>
          <w:tcPr>
            <w:tcW w:w="788" w:type="dxa"/>
            <w:tcBorders/>
            <w:vAlign w:val="center"/>
          </w:tcPr>
          <w:p>
            <w:pPr>
              <w:pStyle w:val="TableContents"/>
              <w:bidi w:val="0"/>
              <w:spacing w:before="0" w:after="283"/>
              <w:jc w:val="left"/>
              <w:rPr>
                <w:sz w:val="4"/>
                <w:szCs w:val="4"/>
              </w:rPr>
            </w:pPr>
            <w:r>
              <w:rPr>
                <w:sz w:val="4"/>
                <w:szCs w:val="4"/>
              </w:rPr>
            </w:r>
          </w:p>
        </w:tc>
        <w:tc>
          <w:tcPr>
            <w:tcW w:w="9417"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 </w:t>
            </w:r>
            <w:r>
              <w:rPr/>
              <w:t>3.2</w:t>
            </w:r>
          </w:p>
        </w:tc>
        <w:tc>
          <w:tcPr>
            <w:tcW w:w="422" w:type="dxa"/>
            <w:tcBorders/>
            <w:vAlign w:val="bottom"/>
          </w:tcPr>
          <w:p>
            <w:pPr>
              <w:pStyle w:val="TableContents"/>
              <w:bidi w:val="0"/>
              <w:spacing w:before="0" w:after="283"/>
              <w:jc w:val="left"/>
              <w:rPr/>
            </w:pPr>
            <w:r>
              <w:rPr/>
              <w:t>  </w:t>
            </w:r>
          </w:p>
        </w:tc>
        <w:tc>
          <w:tcPr>
            <w:tcW w:w="8995" w:type="dxa"/>
            <w:tcBorders/>
          </w:tcPr>
          <w:p>
            <w:pPr>
              <w:pStyle w:val="TableContents"/>
              <w:bidi w:val="0"/>
              <w:spacing w:before="0" w:after="283"/>
              <w:jc w:val="left"/>
              <w:rPr/>
            </w:pPr>
            <w:hyperlink r:id="rId3">
              <w:r>
                <w:rPr>
                  <w:rStyle w:val="InternetLink"/>
                </w:rPr>
                <w:t xml:space="preserve">Agreement of Limited Partnership of Energy Transfer LP, dated as of July 6, 2026 (incorporated by reference to Exhibit 3.2 of Form 8-K12B, File No. 001-32740, filed July 6, 2026). </w:t>
              </w:r>
            </w:hyperlink>
          </w:p>
        </w:tc>
      </w:tr>
      <w:tr>
        <w:trPr>
          <w:trHeight w:val="120" w:hRule="atLeast"/>
        </w:trPr>
        <w:tc>
          <w:tcPr>
            <w:tcW w:w="788" w:type="dxa"/>
            <w:tcBorders/>
            <w:vAlign w:val="center"/>
          </w:tcPr>
          <w:p>
            <w:pPr>
              <w:pStyle w:val="TableContents"/>
              <w:bidi w:val="0"/>
              <w:spacing w:before="0" w:after="283"/>
              <w:jc w:val="left"/>
              <w:rPr>
                <w:sz w:val="4"/>
                <w:szCs w:val="4"/>
              </w:rPr>
            </w:pPr>
            <w:r>
              <w:rPr>
                <w:sz w:val="4"/>
                <w:szCs w:val="4"/>
              </w:rPr>
            </w:r>
          </w:p>
        </w:tc>
        <w:tc>
          <w:tcPr>
            <w:tcW w:w="9417"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 </w:t>
            </w:r>
            <w:r>
              <w:rPr/>
              <w:t>4.1</w:t>
            </w:r>
          </w:p>
        </w:tc>
        <w:tc>
          <w:tcPr>
            <w:tcW w:w="422" w:type="dxa"/>
            <w:tcBorders/>
            <w:vAlign w:val="bottom"/>
          </w:tcPr>
          <w:p>
            <w:pPr>
              <w:pStyle w:val="TableContents"/>
              <w:bidi w:val="0"/>
              <w:spacing w:before="0" w:after="283"/>
              <w:jc w:val="left"/>
              <w:rPr/>
            </w:pPr>
            <w:r>
              <w:rPr/>
              <w:t>  </w:t>
            </w:r>
          </w:p>
        </w:tc>
        <w:tc>
          <w:tcPr>
            <w:tcW w:w="8995" w:type="dxa"/>
            <w:tcBorders/>
          </w:tcPr>
          <w:p>
            <w:pPr>
              <w:pStyle w:val="TableContents"/>
              <w:bidi w:val="0"/>
              <w:spacing w:before="0" w:after="283"/>
              <w:jc w:val="left"/>
              <w:rPr/>
            </w:pPr>
            <w:hyperlink r:id="rId4">
              <w:r>
                <w:rPr>
                  <w:rStyle w:val="InternetLink"/>
                </w:rPr>
                <w:t xml:space="preserve">Indenture, dated as of December  14, 2022, among Energy Transfer LP and U.S. Bank Trust Company, National Association (incorporated by reference to Exhibit 4.1 on Form 8-K (File No.  001-32740) filed on December 14, 2022). </w:t>
              </w:r>
            </w:hyperlink>
          </w:p>
        </w:tc>
      </w:tr>
      <w:tr>
        <w:trPr>
          <w:trHeight w:val="120" w:hRule="atLeast"/>
        </w:trPr>
        <w:tc>
          <w:tcPr>
            <w:tcW w:w="788" w:type="dxa"/>
            <w:tcBorders/>
            <w:vAlign w:val="center"/>
          </w:tcPr>
          <w:p>
            <w:pPr>
              <w:pStyle w:val="TableContents"/>
              <w:bidi w:val="0"/>
              <w:spacing w:before="0" w:after="283"/>
              <w:jc w:val="left"/>
              <w:rPr>
                <w:sz w:val="4"/>
                <w:szCs w:val="4"/>
              </w:rPr>
            </w:pPr>
            <w:r>
              <w:rPr>
                <w:sz w:val="4"/>
                <w:szCs w:val="4"/>
              </w:rPr>
            </w:r>
          </w:p>
        </w:tc>
        <w:tc>
          <w:tcPr>
            <w:tcW w:w="9417"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 </w:t>
            </w:r>
            <w:r>
              <w:rPr/>
              <w:t>4.2*</w:t>
            </w:r>
          </w:p>
        </w:tc>
        <w:tc>
          <w:tcPr>
            <w:tcW w:w="422" w:type="dxa"/>
            <w:tcBorders/>
            <w:vAlign w:val="bottom"/>
          </w:tcPr>
          <w:p>
            <w:pPr>
              <w:pStyle w:val="TableContents"/>
              <w:bidi w:val="0"/>
              <w:spacing w:before="0" w:after="283"/>
              <w:jc w:val="left"/>
              <w:rPr/>
            </w:pPr>
            <w:r>
              <w:rPr/>
              <w:t>  </w:t>
            </w:r>
          </w:p>
        </w:tc>
        <w:tc>
          <w:tcPr>
            <w:tcW w:w="8995" w:type="dxa"/>
            <w:tcBorders/>
          </w:tcPr>
          <w:p>
            <w:pPr>
              <w:pStyle w:val="TableContents"/>
              <w:bidi w:val="0"/>
              <w:spacing w:before="0" w:after="283"/>
              <w:jc w:val="left"/>
              <w:rPr/>
            </w:pPr>
            <w:r>
              <w:rPr/>
              <w:t>Form of Debt Security.</w:t>
            </w:r>
          </w:p>
        </w:tc>
      </w:tr>
      <w:tr>
        <w:trPr>
          <w:trHeight w:val="120" w:hRule="atLeast"/>
        </w:trPr>
        <w:tc>
          <w:tcPr>
            <w:tcW w:w="788" w:type="dxa"/>
            <w:tcBorders/>
            <w:vAlign w:val="center"/>
          </w:tcPr>
          <w:p>
            <w:pPr>
              <w:pStyle w:val="TableContents"/>
              <w:bidi w:val="0"/>
              <w:spacing w:before="0" w:after="283"/>
              <w:jc w:val="left"/>
              <w:rPr>
                <w:sz w:val="4"/>
                <w:szCs w:val="4"/>
              </w:rPr>
            </w:pPr>
            <w:r>
              <w:rPr>
                <w:sz w:val="4"/>
                <w:szCs w:val="4"/>
              </w:rPr>
            </w:r>
          </w:p>
        </w:tc>
        <w:tc>
          <w:tcPr>
            <w:tcW w:w="9417"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 </w:t>
            </w:r>
            <w:r>
              <w:rPr/>
              <w:t>5.1</w:t>
            </w:r>
          </w:p>
        </w:tc>
        <w:tc>
          <w:tcPr>
            <w:tcW w:w="422" w:type="dxa"/>
            <w:tcBorders/>
            <w:vAlign w:val="bottom"/>
          </w:tcPr>
          <w:p>
            <w:pPr>
              <w:pStyle w:val="TableContents"/>
              <w:bidi w:val="0"/>
              <w:spacing w:before="0" w:after="283"/>
              <w:jc w:val="left"/>
              <w:rPr/>
            </w:pPr>
            <w:r>
              <w:rPr/>
              <w:t>  </w:t>
            </w:r>
          </w:p>
        </w:tc>
        <w:tc>
          <w:tcPr>
            <w:tcW w:w="8995" w:type="dxa"/>
            <w:tcBorders/>
          </w:tcPr>
          <w:p>
            <w:pPr>
              <w:pStyle w:val="TableContents"/>
              <w:bidi w:val="0"/>
              <w:spacing w:before="0" w:after="283"/>
              <w:jc w:val="left"/>
              <w:rPr/>
            </w:pPr>
            <w:hyperlink w:anchor="d91263dex51.htm">
              <w:r>
                <w:rPr>
                  <w:rStyle w:val="InternetLink"/>
                </w:rPr>
                <w:t xml:space="preserve">Opinion of Vinson &amp; Elkins L.L.P. </w:t>
              </w:r>
            </w:hyperlink>
          </w:p>
        </w:tc>
      </w:tr>
      <w:tr>
        <w:trPr>
          <w:trHeight w:val="120" w:hRule="atLeast"/>
        </w:trPr>
        <w:tc>
          <w:tcPr>
            <w:tcW w:w="788" w:type="dxa"/>
            <w:tcBorders/>
            <w:vAlign w:val="center"/>
          </w:tcPr>
          <w:p>
            <w:pPr>
              <w:pStyle w:val="TableContents"/>
              <w:bidi w:val="0"/>
              <w:spacing w:before="0" w:after="283"/>
              <w:jc w:val="left"/>
              <w:rPr>
                <w:sz w:val="4"/>
                <w:szCs w:val="4"/>
              </w:rPr>
            </w:pPr>
            <w:r>
              <w:rPr>
                <w:sz w:val="4"/>
                <w:szCs w:val="4"/>
              </w:rPr>
            </w:r>
          </w:p>
        </w:tc>
        <w:tc>
          <w:tcPr>
            <w:tcW w:w="9417"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22.1</w:t>
            </w:r>
          </w:p>
        </w:tc>
        <w:tc>
          <w:tcPr>
            <w:tcW w:w="422" w:type="dxa"/>
            <w:tcBorders/>
            <w:vAlign w:val="bottom"/>
          </w:tcPr>
          <w:p>
            <w:pPr>
              <w:pStyle w:val="TableContents"/>
              <w:bidi w:val="0"/>
              <w:spacing w:before="0" w:after="283"/>
              <w:jc w:val="left"/>
              <w:rPr/>
            </w:pPr>
            <w:r>
              <w:rPr/>
              <w:t>  </w:t>
            </w:r>
          </w:p>
        </w:tc>
        <w:tc>
          <w:tcPr>
            <w:tcW w:w="8995" w:type="dxa"/>
            <w:tcBorders/>
          </w:tcPr>
          <w:p>
            <w:pPr>
              <w:pStyle w:val="TableContents"/>
              <w:bidi w:val="0"/>
              <w:spacing w:before="0" w:after="283"/>
              <w:jc w:val="left"/>
              <w:rPr/>
            </w:pPr>
            <w:hyperlink r:id="rId5">
              <w:r>
                <w:rPr>
                  <w:rStyle w:val="InternetLink"/>
                </w:rPr>
                <w:t xml:space="preserve">Issuers and Guarantors of Registered Securities (incorporated by reference to Exhibit 22.1 of Form 10-Q, File No. 1-32740, filed August 5, 2021). </w:t>
              </w:r>
            </w:hyperlink>
          </w:p>
        </w:tc>
      </w:tr>
      <w:tr>
        <w:trPr>
          <w:trHeight w:val="120" w:hRule="atLeast"/>
        </w:trPr>
        <w:tc>
          <w:tcPr>
            <w:tcW w:w="788" w:type="dxa"/>
            <w:tcBorders/>
            <w:vAlign w:val="center"/>
          </w:tcPr>
          <w:p>
            <w:pPr>
              <w:pStyle w:val="TableContents"/>
              <w:bidi w:val="0"/>
              <w:spacing w:before="0" w:after="283"/>
              <w:jc w:val="left"/>
              <w:rPr>
                <w:sz w:val="4"/>
                <w:szCs w:val="4"/>
              </w:rPr>
            </w:pPr>
            <w:r>
              <w:rPr>
                <w:sz w:val="4"/>
                <w:szCs w:val="4"/>
              </w:rPr>
            </w:r>
          </w:p>
        </w:tc>
        <w:tc>
          <w:tcPr>
            <w:tcW w:w="9417"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23.1</w:t>
            </w:r>
          </w:p>
        </w:tc>
        <w:tc>
          <w:tcPr>
            <w:tcW w:w="422" w:type="dxa"/>
            <w:tcBorders/>
            <w:vAlign w:val="bottom"/>
          </w:tcPr>
          <w:p>
            <w:pPr>
              <w:pStyle w:val="TableContents"/>
              <w:bidi w:val="0"/>
              <w:spacing w:before="0" w:after="283"/>
              <w:jc w:val="left"/>
              <w:rPr/>
            </w:pPr>
            <w:r>
              <w:rPr/>
              <w:t>  </w:t>
            </w:r>
          </w:p>
        </w:tc>
        <w:tc>
          <w:tcPr>
            <w:tcW w:w="8995" w:type="dxa"/>
            <w:tcBorders/>
          </w:tcPr>
          <w:p>
            <w:pPr>
              <w:pStyle w:val="TableContents"/>
              <w:bidi w:val="0"/>
              <w:spacing w:before="0" w:after="283"/>
              <w:jc w:val="left"/>
              <w:rPr/>
            </w:pPr>
            <w:hyperlink w:anchor="d91263dex51.htm">
              <w:r>
                <w:rPr>
                  <w:rStyle w:val="InternetLink"/>
                </w:rPr>
                <w:t xml:space="preserve">Consent of Vinson &amp; Elkins L.L.P. (included in Exhibit 5.1). </w:t>
              </w:r>
            </w:hyperlink>
          </w:p>
        </w:tc>
      </w:tr>
      <w:tr>
        <w:trPr>
          <w:trHeight w:val="120" w:hRule="atLeast"/>
        </w:trPr>
        <w:tc>
          <w:tcPr>
            <w:tcW w:w="788" w:type="dxa"/>
            <w:tcBorders/>
            <w:vAlign w:val="center"/>
          </w:tcPr>
          <w:p>
            <w:pPr>
              <w:pStyle w:val="TableContents"/>
              <w:bidi w:val="0"/>
              <w:spacing w:before="0" w:after="283"/>
              <w:jc w:val="left"/>
              <w:rPr>
                <w:sz w:val="4"/>
                <w:szCs w:val="4"/>
              </w:rPr>
            </w:pPr>
            <w:r>
              <w:rPr>
                <w:sz w:val="4"/>
                <w:szCs w:val="4"/>
              </w:rPr>
            </w:r>
          </w:p>
        </w:tc>
        <w:tc>
          <w:tcPr>
            <w:tcW w:w="9417"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23.2</w:t>
            </w:r>
          </w:p>
        </w:tc>
        <w:tc>
          <w:tcPr>
            <w:tcW w:w="422" w:type="dxa"/>
            <w:tcBorders/>
            <w:vAlign w:val="bottom"/>
          </w:tcPr>
          <w:p>
            <w:pPr>
              <w:pStyle w:val="TableContents"/>
              <w:bidi w:val="0"/>
              <w:spacing w:before="0" w:after="283"/>
              <w:jc w:val="left"/>
              <w:rPr/>
            </w:pPr>
            <w:r>
              <w:rPr/>
              <w:t>  </w:t>
            </w:r>
          </w:p>
        </w:tc>
        <w:tc>
          <w:tcPr>
            <w:tcW w:w="8995" w:type="dxa"/>
            <w:tcBorders/>
          </w:tcPr>
          <w:p>
            <w:pPr>
              <w:pStyle w:val="TableContents"/>
              <w:bidi w:val="0"/>
              <w:spacing w:before="0" w:after="283"/>
              <w:jc w:val="left"/>
              <w:rPr/>
            </w:pPr>
            <w:hyperlink w:anchor="d91263dex232.htm">
              <w:r>
                <w:rPr>
                  <w:rStyle w:val="InternetLink"/>
                </w:rPr>
                <w:t xml:space="preserve">Consent of Grant Thornton LLP, independent registered public accounting firm, filed herewith. </w:t>
              </w:r>
            </w:hyperlink>
          </w:p>
        </w:tc>
      </w:tr>
      <w:tr>
        <w:trPr>
          <w:trHeight w:val="120" w:hRule="atLeast"/>
        </w:trPr>
        <w:tc>
          <w:tcPr>
            <w:tcW w:w="788" w:type="dxa"/>
            <w:tcBorders/>
            <w:vAlign w:val="center"/>
          </w:tcPr>
          <w:p>
            <w:pPr>
              <w:pStyle w:val="TableContents"/>
              <w:bidi w:val="0"/>
              <w:spacing w:before="0" w:after="283"/>
              <w:jc w:val="left"/>
              <w:rPr>
                <w:sz w:val="4"/>
                <w:szCs w:val="4"/>
              </w:rPr>
            </w:pPr>
            <w:r>
              <w:rPr>
                <w:sz w:val="4"/>
                <w:szCs w:val="4"/>
              </w:rPr>
            </w:r>
          </w:p>
        </w:tc>
        <w:tc>
          <w:tcPr>
            <w:tcW w:w="9417"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24.1</w:t>
            </w:r>
          </w:p>
        </w:tc>
        <w:tc>
          <w:tcPr>
            <w:tcW w:w="422" w:type="dxa"/>
            <w:tcBorders/>
            <w:vAlign w:val="bottom"/>
          </w:tcPr>
          <w:p>
            <w:pPr>
              <w:pStyle w:val="TableContents"/>
              <w:bidi w:val="0"/>
              <w:spacing w:before="0" w:after="283"/>
              <w:jc w:val="left"/>
              <w:rPr/>
            </w:pPr>
            <w:r>
              <w:rPr/>
              <w:t>  </w:t>
            </w:r>
          </w:p>
        </w:tc>
        <w:tc>
          <w:tcPr>
            <w:tcW w:w="8995" w:type="dxa"/>
            <w:tcBorders/>
          </w:tcPr>
          <w:p>
            <w:pPr>
              <w:pStyle w:val="TableContents"/>
              <w:bidi w:val="0"/>
              <w:spacing w:before="0" w:after="283"/>
              <w:jc w:val="left"/>
              <w:rPr/>
            </w:pPr>
            <w:r>
              <w:fldChar w:fldCharType="begin"/>
            </w:r>
            <w:r>
              <w:rPr>
                <w:rStyle w:val="InternetLink"/>
              </w:rPr>
              <w:instrText xml:space="preserve"> HYPERLINK "http://www.sec.gov/Archives/edgar/data/1276187/000119312524155326/d655928ds3asr.htm" \l "sig"</w:instrText>
            </w:r>
            <w:r>
              <w:rPr>
                <w:rStyle w:val="InternetLink"/>
              </w:rPr>
              <w:fldChar w:fldCharType="separate"/>
            </w:r>
            <w:r>
              <w:rPr>
                <w:rStyle w:val="InternetLink"/>
              </w:rPr>
              <w:t xml:space="preserve">Powers of attorney (incorporated by reference to Exhibit 24.1 of Energy Transfer LP’s Registration Statement on Form S-3, File No. 333-279982, filed on June 6, 2024). </w:t>
            </w:r>
            <w:r>
              <w:rPr>
                <w:rStyle w:val="InternetLink"/>
              </w:rPr>
              <w:fldChar w:fldCharType="end"/>
            </w:r>
          </w:p>
        </w:tc>
      </w:tr>
      <w:tr>
        <w:trPr>
          <w:trHeight w:val="120" w:hRule="atLeast"/>
        </w:trPr>
        <w:tc>
          <w:tcPr>
            <w:tcW w:w="788" w:type="dxa"/>
            <w:tcBorders/>
            <w:vAlign w:val="center"/>
          </w:tcPr>
          <w:p>
            <w:pPr>
              <w:pStyle w:val="TableContents"/>
              <w:bidi w:val="0"/>
              <w:spacing w:before="0" w:after="283"/>
              <w:jc w:val="left"/>
              <w:rPr>
                <w:sz w:val="4"/>
                <w:szCs w:val="4"/>
              </w:rPr>
            </w:pPr>
            <w:r>
              <w:rPr>
                <w:sz w:val="4"/>
                <w:szCs w:val="4"/>
              </w:rPr>
            </w:r>
          </w:p>
        </w:tc>
        <w:tc>
          <w:tcPr>
            <w:tcW w:w="9417" w:type="dxa"/>
            <w:gridSpan w:val="2"/>
            <w:tcBorders/>
            <w:vAlign w:val="center"/>
          </w:tcPr>
          <w:p>
            <w:pPr>
              <w:pStyle w:val="TableContents"/>
              <w:bidi w:val="0"/>
              <w:spacing w:before="0" w:after="283"/>
              <w:jc w:val="left"/>
              <w:rPr>
                <w:sz w:val="4"/>
                <w:szCs w:val="4"/>
              </w:rPr>
            </w:pPr>
            <w:r>
              <w:rPr>
                <w:sz w:val="4"/>
                <w:szCs w:val="4"/>
              </w:rPr>
            </w:r>
          </w:p>
        </w:tc>
      </w:tr>
      <w:tr>
        <w:trPr/>
        <w:tc>
          <w:tcPr>
            <w:tcW w:w="788" w:type="dxa"/>
            <w:tcBorders/>
          </w:tcPr>
          <w:p>
            <w:pPr>
              <w:pStyle w:val="TableContents"/>
              <w:bidi w:val="0"/>
              <w:spacing w:before="0" w:after="283"/>
              <w:jc w:val="left"/>
              <w:rPr/>
            </w:pPr>
            <w:r>
              <w:rPr/>
              <w:t>25.1</w:t>
            </w:r>
          </w:p>
        </w:tc>
        <w:tc>
          <w:tcPr>
            <w:tcW w:w="422" w:type="dxa"/>
            <w:tcBorders/>
            <w:vAlign w:val="bottom"/>
          </w:tcPr>
          <w:p>
            <w:pPr>
              <w:pStyle w:val="TableContents"/>
              <w:bidi w:val="0"/>
              <w:spacing w:before="0" w:after="283"/>
              <w:jc w:val="left"/>
              <w:rPr/>
            </w:pPr>
            <w:r>
              <w:rPr/>
              <w:t>  </w:t>
            </w:r>
          </w:p>
        </w:tc>
        <w:tc>
          <w:tcPr>
            <w:tcW w:w="8995" w:type="dxa"/>
            <w:tcBorders/>
          </w:tcPr>
          <w:p>
            <w:pPr>
              <w:pStyle w:val="TableContents"/>
              <w:bidi w:val="0"/>
              <w:spacing w:before="0" w:after="283"/>
              <w:jc w:val="left"/>
              <w:rPr/>
            </w:pPr>
            <w:hyperlink r:id="rId6">
              <w:r>
                <w:rPr>
                  <w:rStyle w:val="InternetLink"/>
                </w:rPr>
                <w:t xml:space="preserve">Statement of Eligibility on Form T-1 under the Trust Indenture Act of 1939, as amended, of U.S. Bank, National Association, as trustee under the indenture filed as Exhibit 4.1 on Form 8-K (File No. 001-32740) filed on December 14, 2022. </w:t>
              </w:r>
            </w:hyperlink>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* To be filed by amendment or incorporated by reference in connection with the offering of the securities.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a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Texas, on July 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ENERGY TRANSFER LP</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1" w:type="dxa"/>
            <w:tcBorders/>
          </w:tcPr>
          <w:p>
            <w:pPr>
              <w:pStyle w:val="TableContents"/>
              <w:bidi w:val="0"/>
              <w:spacing w:before="0" w:after="283"/>
              <w:jc w:val="left"/>
              <w:rPr/>
            </w:pPr>
            <w:r>
              <w:rPr/>
              <w:t>LE GP, LLC, its general partner</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Dylan A. Bramhall</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tcPr>
          <w:p>
            <w:pPr>
              <w:pStyle w:val="TableContents"/>
              <w:bidi w:val="0"/>
              <w:spacing w:before="0" w:after="283"/>
              <w:jc w:val="left"/>
              <w:rPr/>
            </w:pPr>
            <w:r>
              <w:rPr/>
              <w:t>Dylan A. Bramhall</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tcPr>
          <w:p>
            <w:pPr>
              <w:pStyle w:val="TableContents"/>
              <w:bidi w:val="0"/>
              <w:spacing w:before="0" w:after="283"/>
              <w:jc w:val="left"/>
              <w:rPr/>
            </w:pPr>
            <w:r>
              <w:rPr/>
              <w:t>Executive Vice President &amp; Group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which are with LE GP, LLC, the general partner of Energy Transfer LP, on July 6,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06"/>
        <w:gridCol w:w="120"/>
        <w:gridCol w:w="4500"/>
        <w:gridCol w:w="108"/>
        <w:gridCol w:w="1571"/>
      </w:tblGrid>
      <w:tr>
        <w:trPr/>
        <w:tc>
          <w:tcPr>
            <w:tcW w:w="39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0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90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5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571" w:type="dxa"/>
            <w:tcBorders/>
            <w:vAlign w:val="bottom"/>
          </w:tcPr>
          <w:p>
            <w:pPr>
              <w:pStyle w:val="TableContents"/>
              <w:bidi w:val="0"/>
              <w:spacing w:before="0" w:after="283"/>
              <w:jc w:val="left"/>
              <w:rPr/>
            </w:pPr>
            <w:r>
              <w:rPr/>
              <w:t> </w:t>
            </w:r>
          </w:p>
        </w:tc>
      </w:tr>
      <w:tr>
        <w:trPr>
          <w:trHeight w:val="240" w:hRule="atLeast"/>
        </w:trPr>
        <w:tc>
          <w:tcPr>
            <w:tcW w:w="3906" w:type="dxa"/>
            <w:tcBorders/>
            <w:vAlign w:val="center"/>
          </w:tcPr>
          <w:p>
            <w:pPr>
              <w:pStyle w:val="TableContents"/>
              <w:bidi w:val="0"/>
              <w:spacing w:before="0" w:after="283"/>
              <w:jc w:val="left"/>
              <w:rPr>
                <w:sz w:val="4"/>
                <w:szCs w:val="4"/>
              </w:rPr>
            </w:pPr>
            <w:r>
              <w:rPr>
                <w:sz w:val="4"/>
                <w:szCs w:val="4"/>
              </w:rPr>
            </w:r>
          </w:p>
        </w:tc>
        <w:tc>
          <w:tcPr>
            <w:tcW w:w="4620" w:type="dxa"/>
            <w:gridSpan w:val="2"/>
            <w:tcBorders/>
            <w:vAlign w:val="center"/>
          </w:tcPr>
          <w:p>
            <w:pPr>
              <w:pStyle w:val="TableContents"/>
              <w:bidi w:val="0"/>
              <w:spacing w:before="0" w:after="283"/>
              <w:jc w:val="left"/>
              <w:rPr>
                <w:sz w:val="4"/>
                <w:szCs w:val="4"/>
              </w:rPr>
            </w:pPr>
            <w:r>
              <w:rPr>
                <w:sz w:val="4"/>
                <w:szCs w:val="4"/>
              </w:rPr>
            </w:r>
          </w:p>
        </w:tc>
        <w:tc>
          <w:tcPr>
            <w:tcW w:w="1679" w:type="dxa"/>
            <w:gridSpan w:val="2"/>
            <w:tcBorders/>
            <w:vAlign w:val="center"/>
          </w:tcPr>
          <w:p>
            <w:pPr>
              <w:pStyle w:val="TableContents"/>
              <w:bidi w:val="0"/>
              <w:spacing w:before="0" w:after="283"/>
              <w:jc w:val="left"/>
              <w:rPr>
                <w:sz w:val="4"/>
                <w:szCs w:val="4"/>
              </w:rPr>
            </w:pPr>
            <w:r>
              <w:rPr>
                <w:sz w:val="4"/>
                <w:szCs w:val="4"/>
              </w:rPr>
            </w:r>
          </w:p>
        </w:tc>
      </w:tr>
      <w:tr>
        <w:trPr/>
        <w:tc>
          <w:tcPr>
            <w:tcW w:w="390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Kelcy L. Warren</w:t>
            </w:r>
          </w:p>
        </w:tc>
        <w:tc>
          <w:tcPr>
            <w:tcW w:w="120"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283"/>
              <w:jc w:val="center"/>
              <w:rPr/>
            </w:pPr>
            <w:r>
              <w:rPr/>
              <w:t>Executive Chairman</w:t>
            </w:r>
          </w:p>
        </w:tc>
        <w:tc>
          <w:tcPr>
            <w:tcW w:w="108"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r>
      <w:tr>
        <w:trPr>
          <w:trHeight w:val="240" w:hRule="atLeast"/>
        </w:trPr>
        <w:tc>
          <w:tcPr>
            <w:tcW w:w="3906" w:type="dxa"/>
            <w:tcBorders/>
            <w:vAlign w:val="center"/>
          </w:tcPr>
          <w:p>
            <w:pPr>
              <w:pStyle w:val="TableContents"/>
              <w:bidi w:val="0"/>
              <w:spacing w:before="0" w:after="283"/>
              <w:jc w:val="left"/>
              <w:rPr>
                <w:sz w:val="4"/>
                <w:szCs w:val="4"/>
              </w:rPr>
            </w:pPr>
            <w:r>
              <w:rPr>
                <w:sz w:val="4"/>
                <w:szCs w:val="4"/>
              </w:rPr>
            </w:r>
          </w:p>
        </w:tc>
        <w:tc>
          <w:tcPr>
            <w:tcW w:w="4620" w:type="dxa"/>
            <w:gridSpan w:val="2"/>
            <w:tcBorders/>
            <w:vAlign w:val="center"/>
          </w:tcPr>
          <w:p>
            <w:pPr>
              <w:pStyle w:val="TableContents"/>
              <w:bidi w:val="0"/>
              <w:spacing w:before="0" w:after="283"/>
              <w:jc w:val="left"/>
              <w:rPr>
                <w:sz w:val="4"/>
                <w:szCs w:val="4"/>
              </w:rPr>
            </w:pPr>
            <w:r>
              <w:rPr>
                <w:sz w:val="4"/>
                <w:szCs w:val="4"/>
              </w:rPr>
            </w:r>
          </w:p>
        </w:tc>
        <w:tc>
          <w:tcPr>
            <w:tcW w:w="1679" w:type="dxa"/>
            <w:gridSpan w:val="2"/>
            <w:tcBorders/>
            <w:vAlign w:val="center"/>
          </w:tcPr>
          <w:p>
            <w:pPr>
              <w:pStyle w:val="TableContents"/>
              <w:bidi w:val="0"/>
              <w:spacing w:before="0" w:after="283"/>
              <w:jc w:val="left"/>
              <w:rPr>
                <w:sz w:val="4"/>
                <w:szCs w:val="4"/>
              </w:rPr>
            </w:pPr>
            <w:r>
              <w:rPr>
                <w:sz w:val="4"/>
                <w:szCs w:val="4"/>
              </w:rPr>
            </w:r>
          </w:p>
        </w:tc>
      </w:tr>
      <w:tr>
        <w:trPr/>
        <w:tc>
          <w:tcPr>
            <w:tcW w:w="390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Thomas E. Long</w:t>
            </w:r>
          </w:p>
          <w:p>
            <w:pPr>
              <w:pStyle w:val="TableContents"/>
              <w:bidi w:val="0"/>
              <w:spacing w:before="0" w:after="20"/>
              <w:jc w:val="center"/>
              <w:rPr>
                <w:rFonts w:ascii="Times New Roman" w:hAnsi="Times New Roman"/>
                <w:sz w:val="20"/>
              </w:rPr>
            </w:pPr>
            <w:r>
              <w:rPr>
                <w:rFonts w:ascii="Times New Roman" w:hAnsi="Times New Roman"/>
                <w:sz w:val="20"/>
              </w:rPr>
              <w:t>Thomas E. Long</w:t>
            </w:r>
          </w:p>
        </w:tc>
        <w:tc>
          <w:tcPr>
            <w:tcW w:w="120"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center"/>
              <w:rPr>
                <w:rFonts w:ascii="Times New Roman" w:hAnsi="Times New Roman"/>
                <w:sz w:val="20"/>
              </w:rPr>
            </w:pPr>
            <w:r>
              <w:rPr>
                <w:rFonts w:ascii="Times New Roman" w:hAnsi="Times New Roman"/>
                <w:sz w:val="20"/>
              </w:rPr>
              <w:t>Co-Chief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(Co-Principal Executive Officer)</w:t>
            </w:r>
          </w:p>
        </w:tc>
        <w:tc>
          <w:tcPr>
            <w:tcW w:w="108"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r>
      <w:tr>
        <w:trPr>
          <w:trHeight w:val="240" w:hRule="atLeast"/>
        </w:trPr>
        <w:tc>
          <w:tcPr>
            <w:tcW w:w="3906" w:type="dxa"/>
            <w:tcBorders/>
            <w:vAlign w:val="center"/>
          </w:tcPr>
          <w:p>
            <w:pPr>
              <w:pStyle w:val="TableContents"/>
              <w:bidi w:val="0"/>
              <w:spacing w:before="0" w:after="283"/>
              <w:jc w:val="left"/>
              <w:rPr>
                <w:sz w:val="4"/>
                <w:szCs w:val="4"/>
              </w:rPr>
            </w:pPr>
            <w:r>
              <w:rPr>
                <w:sz w:val="4"/>
                <w:szCs w:val="4"/>
              </w:rPr>
            </w:r>
          </w:p>
        </w:tc>
        <w:tc>
          <w:tcPr>
            <w:tcW w:w="4620" w:type="dxa"/>
            <w:gridSpan w:val="2"/>
            <w:tcBorders/>
            <w:vAlign w:val="center"/>
          </w:tcPr>
          <w:p>
            <w:pPr>
              <w:pStyle w:val="TableContents"/>
              <w:bidi w:val="0"/>
              <w:spacing w:before="0" w:after="283"/>
              <w:jc w:val="left"/>
              <w:rPr>
                <w:sz w:val="4"/>
                <w:szCs w:val="4"/>
              </w:rPr>
            </w:pPr>
            <w:r>
              <w:rPr>
                <w:sz w:val="4"/>
                <w:szCs w:val="4"/>
              </w:rPr>
            </w:r>
          </w:p>
        </w:tc>
        <w:tc>
          <w:tcPr>
            <w:tcW w:w="1679" w:type="dxa"/>
            <w:gridSpan w:val="2"/>
            <w:tcBorders/>
            <w:vAlign w:val="center"/>
          </w:tcPr>
          <w:p>
            <w:pPr>
              <w:pStyle w:val="TableContents"/>
              <w:bidi w:val="0"/>
              <w:spacing w:before="0" w:after="283"/>
              <w:jc w:val="left"/>
              <w:rPr>
                <w:sz w:val="4"/>
                <w:szCs w:val="4"/>
              </w:rPr>
            </w:pPr>
            <w:r>
              <w:rPr>
                <w:sz w:val="4"/>
                <w:szCs w:val="4"/>
              </w:rPr>
            </w:r>
          </w:p>
        </w:tc>
      </w:tr>
      <w:tr>
        <w:trPr/>
        <w:tc>
          <w:tcPr>
            <w:tcW w:w="390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Marshall S. McCrea, III</w:t>
            </w:r>
          </w:p>
          <w:p>
            <w:pPr>
              <w:pStyle w:val="TableContents"/>
              <w:bidi w:val="0"/>
              <w:spacing w:before="0" w:after="20"/>
              <w:jc w:val="center"/>
              <w:rPr>
                <w:rFonts w:ascii="Times New Roman" w:hAnsi="Times New Roman"/>
                <w:sz w:val="20"/>
              </w:rPr>
            </w:pPr>
            <w:r>
              <w:rPr>
                <w:rFonts w:ascii="Times New Roman" w:hAnsi="Times New Roman"/>
                <w:sz w:val="20"/>
              </w:rPr>
              <w:t>Marshall S. McCrea, III</w:t>
            </w:r>
          </w:p>
        </w:tc>
        <w:tc>
          <w:tcPr>
            <w:tcW w:w="120"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center"/>
              <w:rPr>
                <w:rFonts w:ascii="Times New Roman" w:hAnsi="Times New Roman"/>
                <w:sz w:val="20"/>
              </w:rPr>
            </w:pPr>
            <w:r>
              <w:rPr>
                <w:rFonts w:ascii="Times New Roman" w:hAnsi="Times New Roman"/>
                <w:sz w:val="20"/>
              </w:rPr>
              <w:t>Co-Chief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(Co-Principal Executive Officer)</w:t>
            </w:r>
          </w:p>
        </w:tc>
        <w:tc>
          <w:tcPr>
            <w:tcW w:w="108"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r>
      <w:tr>
        <w:trPr>
          <w:trHeight w:val="240" w:hRule="atLeast"/>
        </w:trPr>
        <w:tc>
          <w:tcPr>
            <w:tcW w:w="3906" w:type="dxa"/>
            <w:tcBorders/>
            <w:vAlign w:val="center"/>
          </w:tcPr>
          <w:p>
            <w:pPr>
              <w:pStyle w:val="TableContents"/>
              <w:bidi w:val="0"/>
              <w:spacing w:before="0" w:after="283"/>
              <w:jc w:val="left"/>
              <w:rPr>
                <w:sz w:val="4"/>
                <w:szCs w:val="4"/>
              </w:rPr>
            </w:pPr>
            <w:r>
              <w:rPr>
                <w:sz w:val="4"/>
                <w:szCs w:val="4"/>
              </w:rPr>
            </w:r>
          </w:p>
        </w:tc>
        <w:tc>
          <w:tcPr>
            <w:tcW w:w="4620" w:type="dxa"/>
            <w:gridSpan w:val="2"/>
            <w:tcBorders/>
            <w:vAlign w:val="center"/>
          </w:tcPr>
          <w:p>
            <w:pPr>
              <w:pStyle w:val="TableContents"/>
              <w:bidi w:val="0"/>
              <w:spacing w:before="0" w:after="283"/>
              <w:jc w:val="left"/>
              <w:rPr>
                <w:sz w:val="4"/>
                <w:szCs w:val="4"/>
              </w:rPr>
            </w:pPr>
            <w:r>
              <w:rPr>
                <w:sz w:val="4"/>
                <w:szCs w:val="4"/>
              </w:rPr>
            </w:r>
          </w:p>
        </w:tc>
        <w:tc>
          <w:tcPr>
            <w:tcW w:w="1679" w:type="dxa"/>
            <w:gridSpan w:val="2"/>
            <w:tcBorders/>
            <w:vAlign w:val="center"/>
          </w:tcPr>
          <w:p>
            <w:pPr>
              <w:pStyle w:val="TableContents"/>
              <w:bidi w:val="0"/>
              <w:spacing w:before="0" w:after="283"/>
              <w:jc w:val="left"/>
              <w:rPr>
                <w:sz w:val="4"/>
                <w:szCs w:val="4"/>
              </w:rPr>
            </w:pPr>
            <w:r>
              <w:rPr>
                <w:sz w:val="4"/>
                <w:szCs w:val="4"/>
              </w:rPr>
            </w:r>
          </w:p>
        </w:tc>
      </w:tr>
      <w:tr>
        <w:trPr/>
        <w:tc>
          <w:tcPr>
            <w:tcW w:w="390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Dylan A. Bramhall</w:t>
            </w:r>
          </w:p>
          <w:p>
            <w:pPr>
              <w:pStyle w:val="TableContents"/>
              <w:bidi w:val="0"/>
              <w:spacing w:before="0" w:after="20"/>
              <w:jc w:val="center"/>
              <w:rPr>
                <w:rFonts w:ascii="Times New Roman" w:hAnsi="Times New Roman"/>
                <w:sz w:val="20"/>
              </w:rPr>
            </w:pPr>
            <w:r>
              <w:rPr>
                <w:rFonts w:ascii="Times New Roman" w:hAnsi="Times New Roman"/>
                <w:sz w:val="20"/>
              </w:rPr>
              <w:t>Dylan A. Bramhall</w:t>
            </w:r>
          </w:p>
        </w:tc>
        <w:tc>
          <w:tcPr>
            <w:tcW w:w="120"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center"/>
              <w:rPr>
                <w:rFonts w:ascii="Times New Roman" w:hAnsi="Times New Roman"/>
                <w:sz w:val="20"/>
              </w:rPr>
            </w:pPr>
            <w:r>
              <w:rPr>
                <w:rFonts w:ascii="Times New Roman" w:hAnsi="Times New Roman"/>
                <w:sz w:val="20"/>
              </w:rPr>
              <w:t>Executive Vice President and Group Chief</w:t>
            </w:r>
          </w:p>
          <w:p>
            <w:pPr>
              <w:pStyle w:val="TableContents"/>
              <w:bidi w:val="0"/>
              <w:spacing w:before="0" w:after="0"/>
              <w:jc w:val="center"/>
              <w:rPr>
                <w:rFonts w:ascii="Times New Roman" w:hAnsi="Times New Roman"/>
                <w:sz w:val="20"/>
              </w:rPr>
            </w:pPr>
            <w:r>
              <w:rPr>
                <w:rFonts w:ascii="Times New Roman" w:hAnsi="Times New Roman"/>
                <w:sz w:val="20"/>
              </w:rPr>
              <w:t>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Officer)</w:t>
            </w:r>
          </w:p>
        </w:tc>
        <w:tc>
          <w:tcPr>
            <w:tcW w:w="108"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r>
      <w:tr>
        <w:trPr>
          <w:trHeight w:val="240" w:hRule="atLeast"/>
        </w:trPr>
        <w:tc>
          <w:tcPr>
            <w:tcW w:w="3906" w:type="dxa"/>
            <w:tcBorders/>
            <w:vAlign w:val="center"/>
          </w:tcPr>
          <w:p>
            <w:pPr>
              <w:pStyle w:val="TableContents"/>
              <w:bidi w:val="0"/>
              <w:spacing w:before="0" w:after="283"/>
              <w:jc w:val="left"/>
              <w:rPr>
                <w:sz w:val="4"/>
                <w:szCs w:val="4"/>
              </w:rPr>
            </w:pPr>
            <w:r>
              <w:rPr>
                <w:sz w:val="4"/>
                <w:szCs w:val="4"/>
              </w:rPr>
            </w:r>
          </w:p>
        </w:tc>
        <w:tc>
          <w:tcPr>
            <w:tcW w:w="4620" w:type="dxa"/>
            <w:gridSpan w:val="2"/>
            <w:tcBorders/>
            <w:vAlign w:val="center"/>
          </w:tcPr>
          <w:p>
            <w:pPr>
              <w:pStyle w:val="TableContents"/>
              <w:bidi w:val="0"/>
              <w:spacing w:before="0" w:after="283"/>
              <w:jc w:val="left"/>
              <w:rPr>
                <w:sz w:val="4"/>
                <w:szCs w:val="4"/>
              </w:rPr>
            </w:pPr>
            <w:r>
              <w:rPr>
                <w:sz w:val="4"/>
                <w:szCs w:val="4"/>
              </w:rPr>
            </w:r>
          </w:p>
        </w:tc>
        <w:tc>
          <w:tcPr>
            <w:tcW w:w="1679" w:type="dxa"/>
            <w:gridSpan w:val="2"/>
            <w:tcBorders/>
            <w:vAlign w:val="center"/>
          </w:tcPr>
          <w:p>
            <w:pPr>
              <w:pStyle w:val="TableContents"/>
              <w:bidi w:val="0"/>
              <w:spacing w:before="0" w:after="283"/>
              <w:jc w:val="left"/>
              <w:rPr>
                <w:sz w:val="4"/>
                <w:szCs w:val="4"/>
              </w:rPr>
            </w:pPr>
            <w:r>
              <w:rPr>
                <w:sz w:val="4"/>
                <w:szCs w:val="4"/>
              </w:rPr>
            </w:r>
          </w:p>
        </w:tc>
      </w:tr>
      <w:tr>
        <w:trPr/>
        <w:tc>
          <w:tcPr>
            <w:tcW w:w="390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 Troy Sturrock</w:t>
            </w:r>
          </w:p>
          <w:p>
            <w:pPr>
              <w:pStyle w:val="TableContents"/>
              <w:bidi w:val="0"/>
              <w:spacing w:before="0" w:after="20"/>
              <w:jc w:val="center"/>
              <w:rPr>
                <w:rFonts w:ascii="Times New Roman" w:hAnsi="Times New Roman"/>
                <w:sz w:val="20"/>
              </w:rPr>
            </w:pPr>
            <w:r>
              <w:rPr>
                <w:rFonts w:ascii="Times New Roman" w:hAnsi="Times New Roman"/>
                <w:sz w:val="20"/>
              </w:rPr>
              <w:t>A. Troy Sturrock</w:t>
            </w:r>
          </w:p>
        </w:tc>
        <w:tc>
          <w:tcPr>
            <w:tcW w:w="120"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0"/>
              <w:jc w:val="center"/>
              <w:rPr>
                <w:rFonts w:ascii="Times New Roman" w:hAnsi="Times New Roman"/>
                <w:sz w:val="20"/>
              </w:rPr>
            </w:pPr>
            <w:r>
              <w:rPr>
                <w:rFonts w:ascii="Times New Roman" w:hAnsi="Times New Roman"/>
                <w:sz w:val="20"/>
              </w:rPr>
              <w:t>Group Senior Vice President and Controller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08"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r>
      <w:tr>
        <w:trPr>
          <w:trHeight w:val="240" w:hRule="atLeast"/>
        </w:trPr>
        <w:tc>
          <w:tcPr>
            <w:tcW w:w="3906" w:type="dxa"/>
            <w:tcBorders/>
            <w:vAlign w:val="center"/>
          </w:tcPr>
          <w:p>
            <w:pPr>
              <w:pStyle w:val="TableContents"/>
              <w:bidi w:val="0"/>
              <w:spacing w:before="0" w:after="283"/>
              <w:jc w:val="left"/>
              <w:rPr>
                <w:sz w:val="4"/>
                <w:szCs w:val="4"/>
              </w:rPr>
            </w:pPr>
            <w:r>
              <w:rPr>
                <w:sz w:val="4"/>
                <w:szCs w:val="4"/>
              </w:rPr>
            </w:r>
          </w:p>
        </w:tc>
        <w:tc>
          <w:tcPr>
            <w:tcW w:w="4620" w:type="dxa"/>
            <w:gridSpan w:val="2"/>
            <w:tcBorders/>
            <w:vAlign w:val="center"/>
          </w:tcPr>
          <w:p>
            <w:pPr>
              <w:pStyle w:val="TableContents"/>
              <w:bidi w:val="0"/>
              <w:spacing w:before="0" w:after="283"/>
              <w:jc w:val="left"/>
              <w:rPr>
                <w:sz w:val="4"/>
                <w:szCs w:val="4"/>
              </w:rPr>
            </w:pPr>
            <w:r>
              <w:rPr>
                <w:sz w:val="4"/>
                <w:szCs w:val="4"/>
              </w:rPr>
            </w:r>
          </w:p>
        </w:tc>
        <w:tc>
          <w:tcPr>
            <w:tcW w:w="1679" w:type="dxa"/>
            <w:gridSpan w:val="2"/>
            <w:tcBorders/>
            <w:vAlign w:val="center"/>
          </w:tcPr>
          <w:p>
            <w:pPr>
              <w:pStyle w:val="TableContents"/>
              <w:bidi w:val="0"/>
              <w:spacing w:before="0" w:after="283"/>
              <w:jc w:val="left"/>
              <w:rPr>
                <w:sz w:val="4"/>
                <w:szCs w:val="4"/>
              </w:rPr>
            </w:pPr>
            <w:r>
              <w:rPr>
                <w:sz w:val="4"/>
                <w:szCs w:val="4"/>
              </w:rPr>
            </w:r>
          </w:p>
        </w:tc>
      </w:tr>
      <w:tr>
        <w:trPr/>
        <w:tc>
          <w:tcPr>
            <w:tcW w:w="390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Steven R. Anderson</w:t>
            </w:r>
          </w:p>
        </w:tc>
        <w:tc>
          <w:tcPr>
            <w:tcW w:w="120"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r>
      <w:tr>
        <w:trPr>
          <w:trHeight w:val="240" w:hRule="atLeast"/>
        </w:trPr>
        <w:tc>
          <w:tcPr>
            <w:tcW w:w="3906" w:type="dxa"/>
            <w:tcBorders/>
            <w:vAlign w:val="center"/>
          </w:tcPr>
          <w:p>
            <w:pPr>
              <w:pStyle w:val="TableContents"/>
              <w:bidi w:val="0"/>
              <w:spacing w:before="0" w:after="283"/>
              <w:jc w:val="left"/>
              <w:rPr>
                <w:sz w:val="4"/>
                <w:szCs w:val="4"/>
              </w:rPr>
            </w:pPr>
            <w:r>
              <w:rPr>
                <w:sz w:val="4"/>
                <w:szCs w:val="4"/>
              </w:rPr>
            </w:r>
          </w:p>
        </w:tc>
        <w:tc>
          <w:tcPr>
            <w:tcW w:w="4620" w:type="dxa"/>
            <w:gridSpan w:val="2"/>
            <w:tcBorders/>
            <w:vAlign w:val="center"/>
          </w:tcPr>
          <w:p>
            <w:pPr>
              <w:pStyle w:val="TableContents"/>
              <w:bidi w:val="0"/>
              <w:spacing w:before="0" w:after="283"/>
              <w:jc w:val="left"/>
              <w:rPr>
                <w:sz w:val="4"/>
                <w:szCs w:val="4"/>
              </w:rPr>
            </w:pPr>
            <w:r>
              <w:rPr>
                <w:sz w:val="4"/>
                <w:szCs w:val="4"/>
              </w:rPr>
            </w:r>
          </w:p>
        </w:tc>
        <w:tc>
          <w:tcPr>
            <w:tcW w:w="1679" w:type="dxa"/>
            <w:gridSpan w:val="2"/>
            <w:tcBorders/>
            <w:vAlign w:val="center"/>
          </w:tcPr>
          <w:p>
            <w:pPr>
              <w:pStyle w:val="TableContents"/>
              <w:bidi w:val="0"/>
              <w:spacing w:before="0" w:after="283"/>
              <w:jc w:val="left"/>
              <w:rPr>
                <w:sz w:val="4"/>
                <w:szCs w:val="4"/>
              </w:rPr>
            </w:pPr>
            <w:r>
              <w:rPr>
                <w:sz w:val="4"/>
                <w:szCs w:val="4"/>
              </w:rPr>
            </w:r>
          </w:p>
        </w:tc>
      </w:tr>
      <w:tr>
        <w:trPr/>
        <w:tc>
          <w:tcPr>
            <w:tcW w:w="390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Michael K. Grimm</w:t>
            </w:r>
          </w:p>
        </w:tc>
        <w:tc>
          <w:tcPr>
            <w:tcW w:w="120"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r>
      <w:tr>
        <w:trPr>
          <w:trHeight w:val="240" w:hRule="atLeast"/>
        </w:trPr>
        <w:tc>
          <w:tcPr>
            <w:tcW w:w="3906" w:type="dxa"/>
            <w:tcBorders/>
            <w:vAlign w:val="center"/>
          </w:tcPr>
          <w:p>
            <w:pPr>
              <w:pStyle w:val="TableContents"/>
              <w:bidi w:val="0"/>
              <w:spacing w:before="0" w:after="283"/>
              <w:jc w:val="left"/>
              <w:rPr>
                <w:sz w:val="4"/>
                <w:szCs w:val="4"/>
              </w:rPr>
            </w:pPr>
            <w:r>
              <w:rPr>
                <w:sz w:val="4"/>
                <w:szCs w:val="4"/>
              </w:rPr>
            </w:r>
          </w:p>
        </w:tc>
        <w:tc>
          <w:tcPr>
            <w:tcW w:w="4620" w:type="dxa"/>
            <w:gridSpan w:val="2"/>
            <w:tcBorders/>
            <w:vAlign w:val="center"/>
          </w:tcPr>
          <w:p>
            <w:pPr>
              <w:pStyle w:val="TableContents"/>
              <w:bidi w:val="0"/>
              <w:spacing w:before="0" w:after="283"/>
              <w:jc w:val="left"/>
              <w:rPr>
                <w:sz w:val="4"/>
                <w:szCs w:val="4"/>
              </w:rPr>
            </w:pPr>
            <w:r>
              <w:rPr>
                <w:sz w:val="4"/>
                <w:szCs w:val="4"/>
              </w:rPr>
            </w:r>
          </w:p>
        </w:tc>
        <w:tc>
          <w:tcPr>
            <w:tcW w:w="1679" w:type="dxa"/>
            <w:gridSpan w:val="2"/>
            <w:tcBorders/>
            <w:vAlign w:val="center"/>
          </w:tcPr>
          <w:p>
            <w:pPr>
              <w:pStyle w:val="TableContents"/>
              <w:bidi w:val="0"/>
              <w:spacing w:before="0" w:after="283"/>
              <w:jc w:val="left"/>
              <w:rPr>
                <w:sz w:val="4"/>
                <w:szCs w:val="4"/>
              </w:rPr>
            </w:pPr>
            <w:r>
              <w:rPr>
                <w:sz w:val="4"/>
                <w:szCs w:val="4"/>
              </w:rPr>
            </w:r>
          </w:p>
        </w:tc>
      </w:tr>
      <w:tr>
        <w:trPr/>
        <w:tc>
          <w:tcPr>
            <w:tcW w:w="390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John W. McReynolds</w:t>
            </w:r>
          </w:p>
        </w:tc>
        <w:tc>
          <w:tcPr>
            <w:tcW w:w="120"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r>
      <w:tr>
        <w:trPr>
          <w:trHeight w:val="240" w:hRule="atLeast"/>
        </w:trPr>
        <w:tc>
          <w:tcPr>
            <w:tcW w:w="3906" w:type="dxa"/>
            <w:tcBorders/>
            <w:vAlign w:val="center"/>
          </w:tcPr>
          <w:p>
            <w:pPr>
              <w:pStyle w:val="TableContents"/>
              <w:bidi w:val="0"/>
              <w:spacing w:before="0" w:after="283"/>
              <w:jc w:val="left"/>
              <w:rPr>
                <w:sz w:val="4"/>
                <w:szCs w:val="4"/>
              </w:rPr>
            </w:pPr>
            <w:r>
              <w:rPr>
                <w:sz w:val="4"/>
                <w:szCs w:val="4"/>
              </w:rPr>
            </w:r>
          </w:p>
        </w:tc>
        <w:tc>
          <w:tcPr>
            <w:tcW w:w="4620" w:type="dxa"/>
            <w:gridSpan w:val="2"/>
            <w:tcBorders/>
            <w:vAlign w:val="center"/>
          </w:tcPr>
          <w:p>
            <w:pPr>
              <w:pStyle w:val="TableContents"/>
              <w:bidi w:val="0"/>
              <w:spacing w:before="0" w:after="283"/>
              <w:jc w:val="left"/>
              <w:rPr>
                <w:sz w:val="4"/>
                <w:szCs w:val="4"/>
              </w:rPr>
            </w:pPr>
            <w:r>
              <w:rPr>
                <w:sz w:val="4"/>
                <w:szCs w:val="4"/>
              </w:rPr>
            </w:r>
          </w:p>
        </w:tc>
        <w:tc>
          <w:tcPr>
            <w:tcW w:w="1679" w:type="dxa"/>
            <w:gridSpan w:val="2"/>
            <w:tcBorders/>
            <w:vAlign w:val="center"/>
          </w:tcPr>
          <w:p>
            <w:pPr>
              <w:pStyle w:val="TableContents"/>
              <w:bidi w:val="0"/>
              <w:spacing w:before="0" w:after="283"/>
              <w:jc w:val="left"/>
              <w:rPr>
                <w:sz w:val="4"/>
                <w:szCs w:val="4"/>
              </w:rPr>
            </w:pPr>
            <w:r>
              <w:rPr>
                <w:sz w:val="4"/>
                <w:szCs w:val="4"/>
              </w:rPr>
            </w:r>
          </w:p>
        </w:tc>
      </w:tr>
      <w:tr>
        <w:trPr/>
        <w:tc>
          <w:tcPr>
            <w:tcW w:w="390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James R. Perry</w:t>
            </w:r>
          </w:p>
        </w:tc>
        <w:tc>
          <w:tcPr>
            <w:tcW w:w="120"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r>
      <w:tr>
        <w:trPr>
          <w:trHeight w:val="240" w:hRule="atLeast"/>
        </w:trPr>
        <w:tc>
          <w:tcPr>
            <w:tcW w:w="3906" w:type="dxa"/>
            <w:tcBorders/>
            <w:vAlign w:val="center"/>
          </w:tcPr>
          <w:p>
            <w:pPr>
              <w:pStyle w:val="TableContents"/>
              <w:bidi w:val="0"/>
              <w:spacing w:before="0" w:after="283"/>
              <w:jc w:val="left"/>
              <w:rPr>
                <w:sz w:val="4"/>
                <w:szCs w:val="4"/>
              </w:rPr>
            </w:pPr>
            <w:r>
              <w:rPr>
                <w:sz w:val="4"/>
                <w:szCs w:val="4"/>
              </w:rPr>
            </w:r>
          </w:p>
        </w:tc>
        <w:tc>
          <w:tcPr>
            <w:tcW w:w="4620" w:type="dxa"/>
            <w:gridSpan w:val="2"/>
            <w:tcBorders/>
            <w:vAlign w:val="center"/>
          </w:tcPr>
          <w:p>
            <w:pPr>
              <w:pStyle w:val="TableContents"/>
              <w:bidi w:val="0"/>
              <w:spacing w:before="0" w:after="283"/>
              <w:jc w:val="left"/>
              <w:rPr>
                <w:sz w:val="4"/>
                <w:szCs w:val="4"/>
              </w:rPr>
            </w:pPr>
            <w:r>
              <w:rPr>
                <w:sz w:val="4"/>
                <w:szCs w:val="4"/>
              </w:rPr>
            </w:r>
          </w:p>
        </w:tc>
        <w:tc>
          <w:tcPr>
            <w:tcW w:w="1679" w:type="dxa"/>
            <w:gridSpan w:val="2"/>
            <w:tcBorders/>
            <w:vAlign w:val="center"/>
          </w:tcPr>
          <w:p>
            <w:pPr>
              <w:pStyle w:val="TableContents"/>
              <w:bidi w:val="0"/>
              <w:spacing w:before="0" w:after="283"/>
              <w:jc w:val="left"/>
              <w:rPr>
                <w:sz w:val="4"/>
                <w:szCs w:val="4"/>
              </w:rPr>
            </w:pPr>
            <w:r>
              <w:rPr>
                <w:sz w:val="4"/>
                <w:szCs w:val="4"/>
              </w:rPr>
            </w:r>
          </w:p>
        </w:tc>
      </w:tr>
      <w:tr>
        <w:trPr/>
        <w:tc>
          <w:tcPr>
            <w:tcW w:w="390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Matthew S. Ramsey</w:t>
            </w:r>
          </w:p>
        </w:tc>
        <w:tc>
          <w:tcPr>
            <w:tcW w:w="120" w:type="dxa"/>
            <w:tcBorders/>
            <w:vAlign w:val="bottom"/>
          </w:tcPr>
          <w:p>
            <w:pPr>
              <w:pStyle w:val="TableContents"/>
              <w:bidi w:val="0"/>
              <w:spacing w:before="0" w:after="283"/>
              <w:jc w:val="left"/>
              <w:rPr/>
            </w:pPr>
            <w:r>
              <w:rPr/>
              <w:t>  </w:t>
            </w:r>
          </w:p>
        </w:tc>
        <w:tc>
          <w:tcPr>
            <w:tcW w:w="4500" w:type="dxa"/>
            <w:tcBorders/>
          </w:tcPr>
          <w:p>
            <w:pPr>
              <w:pStyle w:val="TableContents"/>
              <w:bidi w:val="0"/>
              <w:spacing w:before="0" w:after="283"/>
              <w:jc w:val="center"/>
              <w:rPr/>
            </w:pPr>
            <w:r>
              <w:rPr/>
              <w:t>Director</w:t>
            </w:r>
          </w:p>
        </w:tc>
        <w:tc>
          <w:tcPr>
            <w:tcW w:w="108" w:type="dxa"/>
            <w:tcBorders/>
            <w:vAlign w:val="bottom"/>
          </w:tcPr>
          <w:p>
            <w:pPr>
              <w:pStyle w:val="TableContents"/>
              <w:bidi w:val="0"/>
              <w:spacing w:before="0" w:after="283"/>
              <w:jc w:val="left"/>
              <w:rPr/>
            </w:pPr>
            <w:r>
              <w:rPr/>
              <w:t> </w:t>
            </w:r>
          </w:p>
        </w:tc>
        <w:tc>
          <w:tcPr>
            <w:tcW w:w="15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Dylan A. Bramhall, by signing his name hereto, does hereby sign this document on behalf of each of the above-noted directors of the Registrant pursuant to powers of attorney duly executed by such persons.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Dylan A. Bramhall</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Dylan A. Bramhall</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2" w:name="d91263dex51.htm"/>
      <w:bookmarkStart w:id="3" w:name="ksd91263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19250" cy="200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1619250" cy="2000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July 6, 2026 </w:t>
      </w:r>
    </w:p>
    <w:p>
      <w:pPr>
        <w:pStyle w:val="TextBody"/>
        <w:bidi w:val="0"/>
        <w:spacing w:before="240" w:after="0"/>
        <w:jc w:val="left"/>
        <w:rPr>
          <w:rFonts w:ascii="Times New Roman" w:hAnsi="Times New Roman"/>
          <w:sz w:val="20"/>
        </w:rPr>
      </w:pPr>
      <w:r>
        <w:rPr>
          <w:rFonts w:ascii="Times New Roman" w:hAnsi="Times New Roman"/>
          <w:sz w:val="20"/>
        </w:rPr>
        <w:t xml:space="preserve">Energy Transfer LP </w:t>
      </w:r>
    </w:p>
    <w:p>
      <w:pPr>
        <w:pStyle w:val="TextBody"/>
        <w:bidi w:val="0"/>
        <w:spacing w:before="0" w:after="0"/>
        <w:jc w:val="left"/>
        <w:rPr>
          <w:rFonts w:ascii="Times New Roman" w:hAnsi="Times New Roman"/>
          <w:sz w:val="20"/>
        </w:rPr>
      </w:pPr>
      <w:r>
        <w:rPr>
          <w:rFonts w:ascii="Times New Roman" w:hAnsi="Times New Roman"/>
          <w:sz w:val="20"/>
        </w:rPr>
        <w:t xml:space="preserve">8111 Westchester Drive, Suite 600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75225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Energy Transfer LP, a Texas limited partnership (the “</w:t>
      </w:r>
      <w:r>
        <w:rPr>
          <w:rFonts w:ascii="Times New Roman" w:hAnsi="Times New Roman"/>
          <w:b/>
          <w:i/>
          <w:sz w:val="20"/>
        </w:rPr>
        <w:t>Partnership</w:t>
      </w:r>
      <w:r>
        <w:rPr>
          <w:rFonts w:ascii="Times New Roman" w:hAnsi="Times New Roman"/>
          <w:sz w:val="20"/>
        </w:rPr>
        <w:t>”), with respect to certain legal matters in connection with the preparation and filing of a Post-Effective Amendment No. 1 to the registration statement on Form S-3, File No. 333-279982 (the “</w:t>
      </w:r>
      <w:r>
        <w:rPr>
          <w:rFonts w:ascii="Times New Roman" w:hAnsi="Times New Roman"/>
          <w:b/>
          <w:i/>
          <w:sz w:val="20"/>
        </w:rPr>
        <w:t>Registration Statement</w:t>
      </w:r>
      <w:r>
        <w:rPr>
          <w:rFonts w:ascii="Times New Roman" w:hAnsi="Times New Roman"/>
          <w:sz w:val="20"/>
        </w:rPr>
        <w:t>”) filed on or about the date hereof with the U.S. Securities and Exchange Commission (the “</w:t>
      </w:r>
      <w:r>
        <w:rPr>
          <w:rFonts w:ascii="Times New Roman" w:hAnsi="Times New Roman"/>
          <w:b/>
          <w:i/>
          <w:sz w:val="20"/>
        </w:rPr>
        <w:t>Commission</w:t>
      </w:r>
      <w:r>
        <w:rPr>
          <w:rFonts w:ascii="Times New Roman" w:hAnsi="Times New Roman"/>
          <w:sz w:val="20"/>
        </w:rPr>
        <w:t>”) in connection with the registration by the Partnership under the Securities Act of 1933, as amended (the “</w:t>
      </w:r>
      <w:r>
        <w:rPr>
          <w:rFonts w:ascii="Times New Roman" w:hAnsi="Times New Roman"/>
          <w:b/>
          <w:i/>
          <w:sz w:val="20"/>
        </w:rPr>
        <w:t>Act</w:t>
      </w:r>
      <w:r>
        <w:rPr>
          <w:rFonts w:ascii="Times New Roman" w:hAnsi="Times New Roman"/>
          <w:sz w:val="20"/>
        </w:rPr>
        <w:t xml:space="preserve">”), of the offer and sale by the Partnership from time to time, pursuant to Rule 415 under the Securities Act,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debt securities, in one or more series (the “</w:t>
            </w:r>
            <w:r>
              <w:rPr>
                <w:rFonts w:ascii="Times New Roman" w:hAnsi="Times New Roman"/>
                <w:b/>
                <w:i/>
                <w:sz w:val="20"/>
              </w:rPr>
              <w:t>Debt Securities</w:t>
            </w:r>
            <w:r>
              <w:rPr>
                <w:rFonts w:ascii="Times New Roman" w:hAnsi="Times New Roman"/>
                <w:sz w:val="20"/>
              </w:rPr>
              <w:t>”) to be issued under that certain indenture, dated as of December 14, 2022, entered into between the Partnership, as issuer, and U.S. Bank National Association, as trustee (the “</w:t>
            </w:r>
            <w:r>
              <w:rPr>
                <w:rFonts w:ascii="Times New Roman" w:hAnsi="Times New Roman"/>
                <w:b/>
                <w:i/>
                <w:sz w:val="20"/>
              </w:rPr>
              <w:t>Base Indenture</w:t>
            </w:r>
            <w:r>
              <w:rPr>
                <w:rFonts w:ascii="Times New Roman" w:hAnsi="Times New Roman"/>
                <w:sz w:val="20"/>
              </w:rPr>
              <w:t>”), as it may be amended or supplemented from time to time by one or more supplemental indentures (as so amended or supplemented, the “</w:t>
            </w:r>
            <w:r>
              <w:rPr>
                <w:rFonts w:ascii="Times New Roman" w:hAnsi="Times New Roman"/>
                <w:b/>
                <w:i/>
                <w:sz w:val="20"/>
              </w:rPr>
              <w:t>Indenture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common units representing limited partner interests in the Partnership (the “</w:t>
            </w:r>
            <w:r>
              <w:rPr>
                <w:rFonts w:ascii="Times New Roman" w:hAnsi="Times New Roman"/>
                <w:b/>
                <w:i/>
                <w:sz w:val="20"/>
              </w:rPr>
              <w:t>Common Units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preferred units representing limited partner interests in the Partnership (the “</w:t>
            </w:r>
            <w:r>
              <w:rPr>
                <w:rFonts w:ascii="Times New Roman" w:hAnsi="Times New Roman"/>
                <w:b/>
                <w:i/>
                <w:sz w:val="20"/>
              </w:rPr>
              <w:t>Preferred Units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The Debt Securities, the Common Units and the Preferred Units are collectively referred to as the “</w:t>
      </w:r>
      <w:r>
        <w:rPr>
          <w:rFonts w:ascii="Times New Roman" w:hAnsi="Times New Roman"/>
          <w:b/>
          <w:i/>
          <w:sz w:val="20"/>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Registration Statement includes a base prospectus (the “</w:t>
      </w:r>
      <w:r>
        <w:rPr>
          <w:rFonts w:ascii="Times New Roman" w:hAnsi="Times New Roman"/>
          <w:b/>
          <w:i/>
          <w:sz w:val="20"/>
        </w:rPr>
        <w:t>Prospectus</w:t>
      </w:r>
      <w:r>
        <w:rPr>
          <w:rFonts w:ascii="Times New Roman" w:hAnsi="Times New Roman"/>
          <w:sz w:val="20"/>
        </w:rPr>
        <w:t>”), contained in the Registration Statement to which this opinion is an exhibit. The Securities will be offered in amounts, at prices and on terms to be determined in light of market conditions at the time of sale and to be set forth in supplements (each, a “</w:t>
      </w:r>
      <w:r>
        <w:rPr>
          <w:rFonts w:ascii="Times New Roman" w:hAnsi="Times New Roman"/>
          <w:b/>
          <w:i/>
          <w:sz w:val="20"/>
        </w:rPr>
        <w:t>Prospectus Supplement</w:t>
      </w:r>
      <w:r>
        <w:rPr>
          <w:rFonts w:ascii="Times New Roman" w:hAnsi="Times New Roman"/>
          <w:sz w:val="20"/>
        </w:rPr>
        <w:t xml:space="preserve">”) to the Prospectus, subject to the amount described above.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5"/>
        <w:gridCol w:w="120"/>
        <w:gridCol w:w="4940"/>
      </w:tblGrid>
      <w:tr>
        <w:trPr/>
        <w:tc>
          <w:tcPr>
            <w:tcW w:w="51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40" w:type="dxa"/>
            <w:tcBorders/>
            <w:vAlign w:val="center"/>
          </w:tcPr>
          <w:p>
            <w:pPr>
              <w:pStyle w:val="TableContents"/>
              <w:bidi w:val="0"/>
              <w:spacing w:before="0" w:after="283"/>
              <w:jc w:val="left"/>
              <w:rPr>
                <w:sz w:val="4"/>
                <w:szCs w:val="4"/>
              </w:rPr>
            </w:pPr>
            <w:r>
              <w:rPr>
                <w:sz w:val="4"/>
                <w:szCs w:val="4"/>
              </w:rPr>
            </w:r>
          </w:p>
        </w:tc>
      </w:tr>
      <w:tr>
        <w:trPr/>
        <w:tc>
          <w:tcPr>
            <w:tcW w:w="5145" w:type="dxa"/>
            <w:tcBorders/>
          </w:tcPr>
          <w:p>
            <w:pPr>
              <w:pStyle w:val="TableContents"/>
              <w:bidi w:val="0"/>
              <w:spacing w:before="0" w:after="0"/>
              <w:jc w:val="left"/>
              <w:rPr>
                <w:rFonts w:ascii="Times New Roman" w:hAnsi="Times New Roman"/>
                <w:b/>
                <w:sz w:val="20"/>
              </w:rPr>
            </w:pPr>
            <w:r>
              <w:rPr>
                <w:rFonts w:ascii="Times New Roman" w:hAnsi="Times New Roman"/>
                <w:b/>
                <w:sz w:val="20"/>
              </w:rPr>
              <w:t>Vinson &amp; Elkins LLP Attorneys at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Austin Brussels Dallas Denver Dubai Dublin Houston London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Los Angeles New York Richmond San Francisco Tokyo Washington</w:t>
            </w:r>
          </w:p>
        </w:tc>
        <w:tc>
          <w:tcPr>
            <w:tcW w:w="120" w:type="dxa"/>
            <w:tcBorders/>
            <w:vAlign w:val="bottom"/>
          </w:tcPr>
          <w:p>
            <w:pPr>
              <w:pStyle w:val="TableContents"/>
              <w:bidi w:val="0"/>
              <w:spacing w:before="0" w:after="283"/>
              <w:jc w:val="left"/>
              <w:rPr/>
            </w:pPr>
            <w:r>
              <w:rPr/>
              <w:t>  </w:t>
            </w:r>
          </w:p>
        </w:tc>
        <w:tc>
          <w:tcPr>
            <w:tcW w:w="4940" w:type="dxa"/>
            <w:tcBorders/>
          </w:tcPr>
          <w:p>
            <w:pPr>
              <w:pStyle w:val="TableContents"/>
              <w:bidi w:val="0"/>
              <w:spacing w:before="0" w:after="0"/>
              <w:jc w:val="left"/>
              <w:rPr>
                <w:rFonts w:ascii="Times New Roman" w:hAnsi="Times New Roman"/>
                <w:sz w:val="20"/>
              </w:rPr>
            </w:pPr>
            <w:r>
              <w:rPr>
                <w:rFonts w:ascii="Times New Roman" w:hAnsi="Times New Roman"/>
                <w:sz w:val="20"/>
              </w:rPr>
              <w:t>Texas Tower, 845 Texas Avenue, Suite 4700</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Houston, TX 77002</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 xml:space="preserve">Tel </w:t>
            </w:r>
            <w:r>
              <w:rPr>
                <w:rFonts w:ascii="Times New Roman" w:hAnsi="Times New Roman"/>
                <w:sz w:val="20"/>
              </w:rPr>
              <w:t xml:space="preserve">+1.713.758.2222 </w:t>
            </w:r>
            <w:r>
              <w:rPr>
                <w:rFonts w:ascii="Times New Roman" w:hAnsi="Times New Roman"/>
                <w:b/>
                <w:sz w:val="20"/>
              </w:rPr>
              <w:t xml:space="preserve">Fax </w:t>
            </w:r>
            <w:r>
              <w:rPr>
                <w:rFonts w:ascii="Times New Roman" w:hAnsi="Times New Roman"/>
                <w:sz w:val="20"/>
              </w:rPr>
              <w:t>+1.713.758.2346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19"/>
        <w:gridCol w:w="123"/>
        <w:gridCol w:w="4863"/>
      </w:tblGrid>
      <w:tr>
        <w:trPr/>
        <w:tc>
          <w:tcPr>
            <w:tcW w:w="521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63" w:type="dxa"/>
            <w:tcBorders/>
            <w:vAlign w:val="center"/>
          </w:tcPr>
          <w:p>
            <w:pPr>
              <w:pStyle w:val="TableContents"/>
              <w:bidi w:val="0"/>
              <w:spacing w:before="0" w:after="283"/>
              <w:jc w:val="left"/>
              <w:rPr>
                <w:sz w:val="4"/>
                <w:szCs w:val="4"/>
              </w:rPr>
            </w:pPr>
            <w:r>
              <w:rPr>
                <w:sz w:val="4"/>
                <w:szCs w:val="4"/>
              </w:rPr>
            </w:r>
          </w:p>
        </w:tc>
      </w:tr>
      <w:tr>
        <w:trPr/>
        <w:tc>
          <w:tcPr>
            <w:tcW w:w="5219" w:type="dxa"/>
            <w:tcBorders/>
          </w:tcPr>
          <w:p>
            <w:pPr>
              <w:pStyle w:val="TableContents"/>
              <w:bidi w:val="0"/>
              <w:spacing w:before="0" w:after="283"/>
              <w:jc w:val="left"/>
              <w:rPr/>
            </w:pPr>
            <w:r>
              <w:rPr/>
              <w:drawing>
                <wp:inline distT="0" distB="0" distL="0" distR="0">
                  <wp:extent cx="495300" cy="200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495300" cy="20002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4863" w:type="dxa"/>
            <w:tcBorders/>
            <w:vAlign w:val="center"/>
          </w:tcPr>
          <w:p>
            <w:pPr>
              <w:pStyle w:val="TableContents"/>
              <w:bidi w:val="0"/>
              <w:spacing w:before="0" w:after="283"/>
              <w:jc w:val="right"/>
              <w:rPr/>
            </w:pPr>
            <w:r>
              <w:rPr/>
              <w:t xml:space="preserve">July 6, 2026 Page 2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In rendering the opinions set forth below, we have examined and relied upon (i) the Texas Business Organizations Code (the “</w:t>
      </w:r>
      <w:r>
        <w:rPr>
          <w:rFonts w:ascii="Times New Roman" w:hAnsi="Times New Roman"/>
          <w:b/>
          <w:i/>
          <w:sz w:val="20"/>
        </w:rPr>
        <w:t>TBOC</w:t>
      </w:r>
      <w:r>
        <w:rPr>
          <w:rFonts w:ascii="Times New Roman" w:hAnsi="Times New Roman"/>
          <w:sz w:val="20"/>
        </w:rPr>
        <w:t>”), (ii) the internal laws of the State of New York, (iii) the Registration Statement, including the Prospectus, (iv) the Indenture, incorporated by reference as Exhibit 4.1 to the Registration Statement, (v) the Agreement of Limited Partnership of the Partnership, dated July 6, 2026, (the “</w:t>
      </w:r>
      <w:r>
        <w:rPr>
          <w:rFonts w:ascii="Times New Roman" w:hAnsi="Times New Roman"/>
          <w:b/>
          <w:i/>
          <w:sz w:val="20"/>
        </w:rPr>
        <w:t>Partnership Agreement</w:t>
      </w:r>
      <w:r>
        <w:rPr>
          <w:rFonts w:ascii="Times New Roman" w:hAnsi="Times New Roman"/>
          <w:sz w:val="20"/>
        </w:rPr>
        <w:t xml:space="preserve">”), (vi) the Certificate of Formation filed with the Secretary of State of the State of Texas on July 2, 2026, pursuant to the TBOC, and (vii) such other certificates, statutes and other instruments and documents as we consider appropriate for purposes of the opinions hereafter expressed. In addition, we have reviewed such questions of law as we consider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this opinion, we have assumed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Prospectus Supplements will have been prepared and filed with the Commission describing the Securities offered thereby and will comply with applicable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Securities will be issued and sold in compliance with applicable federal and state securities laws and in the manner stated in the Registration Statement and the appropriate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and terms of any Securities, the issuance, sale and delivery thereof by the Partnership and the incurrence and performance of its obligations thereunder or in respect thereof in accordance with the terms thereof, will be in full compliance with, and will not violate, the formation documents and agreements of the Partnership or any applicable law, rule, regulation, order, judgment, decree, award or agreement binding upon it, or to which the issuance, sale and delivery of such Securities, or the incurrence or performance of such obligations, may be subject, or violate any applicable public policy, or be subject to any defense in law or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definitive purchase, underwriting or similar agreement with respect to any Securities offered will have been duly authorized and validly executed and delivered by the Partnership and the other parties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issuable upon conversion, exchange or exercise of any Security being offered will be duly authorized, created, and, if appropriate, reserved for issuance upon such conversion, exercise or exchange.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to the assumptions, qualifications, limitations and exceptions set forth herein,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Debt Securities, when (i) the Partnership has taken all necessary action to duly authorize and approve the issuance and terms of such Debt Securities, the terms of the offering thereof and related matters; and (ii) such Debt Securities have been duly authorized, executed, authenticated, issued and delivered in accordance with the provisions of the Indenture and the applicable definitive purchase, underwriting or similar agreement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19"/>
        <w:gridCol w:w="123"/>
        <w:gridCol w:w="4863"/>
      </w:tblGrid>
      <w:tr>
        <w:trPr/>
        <w:tc>
          <w:tcPr>
            <w:tcW w:w="521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63" w:type="dxa"/>
            <w:tcBorders/>
            <w:vAlign w:val="center"/>
          </w:tcPr>
          <w:p>
            <w:pPr>
              <w:pStyle w:val="TableContents"/>
              <w:bidi w:val="0"/>
              <w:spacing w:before="0" w:after="283"/>
              <w:jc w:val="left"/>
              <w:rPr>
                <w:sz w:val="4"/>
                <w:szCs w:val="4"/>
              </w:rPr>
            </w:pPr>
            <w:r>
              <w:rPr>
                <w:sz w:val="4"/>
                <w:szCs w:val="4"/>
              </w:rPr>
            </w:r>
          </w:p>
        </w:tc>
      </w:tr>
      <w:tr>
        <w:trPr/>
        <w:tc>
          <w:tcPr>
            <w:tcW w:w="5219" w:type="dxa"/>
            <w:tcBorders/>
          </w:tcPr>
          <w:p>
            <w:pPr>
              <w:pStyle w:val="TableContents"/>
              <w:bidi w:val="0"/>
              <w:spacing w:before="0" w:after="283"/>
              <w:jc w:val="left"/>
              <w:rPr/>
            </w:pPr>
            <w:r>
              <w:rPr/>
              <w:drawing>
                <wp:inline distT="0" distB="0" distL="0" distR="0">
                  <wp:extent cx="495300" cy="200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495300" cy="20002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4863" w:type="dxa"/>
            <w:tcBorders/>
            <w:vAlign w:val="center"/>
          </w:tcPr>
          <w:p>
            <w:pPr>
              <w:pStyle w:val="TableContents"/>
              <w:bidi w:val="0"/>
              <w:spacing w:before="0" w:after="283"/>
              <w:jc w:val="right"/>
              <w:rPr/>
            </w:pPr>
            <w:r>
              <w:rPr/>
              <w:t xml:space="preserve">July 6, 2026 Page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approved by the Partnership, upon payment of the consideration thereof or provided for therein, such Debt Securities will be legally issued and will constitute valid and legally binding obligations of the Partnership, enforceable against the Partnership in accordance with their terms, except as such enforcement may be limited by (x) applicable bankruptcy, insolvency, fraudulent transfer, reorganization, moratorium or similar laws from time to time in effect affecting creditors’ rights and remedies generally and general principles of equity (regardless of whether such principles are considered in a proceeding in equity or at law) and (y) public policy, applicable law relating to fiduciary duties and indemnification and an implied covenant of good faith and fair dealing.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Common Units, when (i) the Partnership has taken all necessary action to approve the issuance of such Common Units, the terms of the offering thereof and related matters; and (ii) the Common Units have been issued and delivered in accordance with the terms of the applicable definitive purchase, underwriting or similar agreement approved by the Partnership upon payment of the consideration thereof or provided for therein, then the Common Units will be validly issued and, under the TBOC, purchasers of Common Units will have no obligation to make further payments for their purchase of Common Units or contributions to the Partnership solely by reason of their ownership of Common Units or their status as limited partners of the Partnership, and no personal liability for the debts, obligations and liabilities of the Partnership, whether arising in contract, tort or otherwise, solely by reason of being limited partners of the Partnership.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Preferred Units, when (i) the Partnership has taken all necessary action to approve the issuance of such Preferred Units, the terms of the offering thereof and related matters; and (ii) the Preferred Units have been issued and delivered in accordance with the terms of the applicable definitive purchase, underwriting or similar agreement approved by the Partnership upon payment of the consideration thereof or provided for therein, then the Preferred Units will be validly issued and, under the TBOC, purchasers of Preferred Units will have no obligation to make further payments for their purchase of Preferred Units or contributions to the Partnership solely by reason of their ownership of Preferred Units or their status as limited partners of the Partnership, and no personal liability for the debts, obligations and liabilities of the Partnership, whether arising in contract, tort or otherwise, solely by reason of being limited partners of the Partnership.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expressed herein are qualified in the following respects: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to any facts material to the opinion contained herein, we have made no independent investigation of such facts and have relied, to the extent that we deem such reliance proper, upon certificates of public officials and officers or other representatives of the general partner of the Partnership and the Partnership.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19"/>
        <w:gridCol w:w="123"/>
        <w:gridCol w:w="4863"/>
      </w:tblGrid>
      <w:tr>
        <w:trPr/>
        <w:tc>
          <w:tcPr>
            <w:tcW w:w="521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63" w:type="dxa"/>
            <w:tcBorders/>
            <w:vAlign w:val="center"/>
          </w:tcPr>
          <w:p>
            <w:pPr>
              <w:pStyle w:val="TableContents"/>
              <w:bidi w:val="0"/>
              <w:spacing w:before="0" w:after="283"/>
              <w:jc w:val="left"/>
              <w:rPr>
                <w:sz w:val="4"/>
                <w:szCs w:val="4"/>
              </w:rPr>
            </w:pPr>
            <w:r>
              <w:rPr>
                <w:sz w:val="4"/>
                <w:szCs w:val="4"/>
              </w:rPr>
            </w:r>
          </w:p>
        </w:tc>
      </w:tr>
      <w:tr>
        <w:trPr/>
        <w:tc>
          <w:tcPr>
            <w:tcW w:w="5219" w:type="dxa"/>
            <w:tcBorders/>
          </w:tcPr>
          <w:p>
            <w:pPr>
              <w:pStyle w:val="TableContents"/>
              <w:bidi w:val="0"/>
              <w:spacing w:before="0" w:after="283"/>
              <w:jc w:val="left"/>
              <w:rPr/>
            </w:pPr>
            <w:r>
              <w:rPr/>
              <w:drawing>
                <wp:inline distT="0" distB="0" distL="0" distR="0">
                  <wp:extent cx="495300" cy="200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495300" cy="200025"/>
                          </a:xfrm>
                          <a:prstGeom prst="rect">
                            <a:avLst/>
                          </a:prstGeom>
                        </pic:spPr>
                      </pic:pic>
                    </a:graphicData>
                  </a:graphic>
                </wp:inline>
              </w:drawing>
            </w:r>
            <w:r>
              <w:rPr/>
              <w:t xml:space="preserve"> </w:t>
            </w:r>
          </w:p>
        </w:tc>
        <w:tc>
          <w:tcPr>
            <w:tcW w:w="123" w:type="dxa"/>
            <w:tcBorders/>
            <w:vAlign w:val="bottom"/>
          </w:tcPr>
          <w:p>
            <w:pPr>
              <w:pStyle w:val="TableContents"/>
              <w:bidi w:val="0"/>
              <w:spacing w:before="0" w:after="283"/>
              <w:jc w:val="left"/>
              <w:rPr/>
            </w:pPr>
            <w:r>
              <w:rPr/>
              <w:t>  </w:t>
            </w:r>
          </w:p>
        </w:tc>
        <w:tc>
          <w:tcPr>
            <w:tcW w:w="4863" w:type="dxa"/>
            <w:tcBorders/>
            <w:vAlign w:val="center"/>
          </w:tcPr>
          <w:p>
            <w:pPr>
              <w:pStyle w:val="TableContents"/>
              <w:bidi w:val="0"/>
              <w:spacing w:before="0" w:after="283"/>
              <w:jc w:val="right"/>
              <w:rPr/>
            </w:pPr>
            <w:r>
              <w:rPr/>
              <w:t xml:space="preserve">July 6, 2026 Page 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assumed, without independent verification, that the certificates, if any, for the Common Units will conform to the specimens thereof examined by us and will have been duly countersigned by a transfer agent and duly registered by a registrar of the Common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assumed that (i) all information contained in all documents reviewed by us is accurate and complete, (ii) each such document submitted to us as an original is authentic and each such document submitted to us as a copy conforms to an authentic original of such document, (iii) all signatures on each such document examined by us are genuine, (iv) each person signing the documents we examined had the legal capacity and authority to do so and (v) each certificate from governmental officials reviewed by us is accurate, complete and authentic, and all official public records are accurate and complete.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express no opinions concerning (i) the validity or enforceability of any provisions contained in the Indentures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opinion is limited in all respects to U.S. federal laws, the laws of the State of New York and the TBOC, and we express no opinion with respect to the applicability thereto, or the effect thereon, of the laws of any other jurisdiction or, in the case of Texas, any other laws, or as to any matters of municipal law or the laws of any local agencies within any state.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references to this firm under the caption “Legal Matters” in the Prospectus and to the filing of this opinion as an exhibit to the Registration Statement. By giving such consent, we do not admit that we are within the category of persons whose consent is required under Section 7 of the Securities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Vinson &amp; Elkins L.L.P.</w:t>
            </w:r>
          </w:p>
        </w:tc>
      </w:tr>
    </w:tbl>
    <w:p>
      <w:pPr>
        <w:pStyle w:val="TextBody"/>
        <w:bidi w:val="0"/>
        <w:spacing w:before="0" w:after="0"/>
        <w:jc w:val="right"/>
        <w:rPr>
          <w:rFonts w:ascii="Times New Roman" w:hAnsi="Times New Roman"/>
          <w:b/>
          <w:sz w:val="20"/>
        </w:rPr>
      </w:pPr>
      <w:bookmarkStart w:id="4" w:name="d91263dex232.htm"/>
      <w:bookmarkStart w:id="5" w:name="ksd91263dex232"/>
      <w:bookmarkEnd w:id="4"/>
      <w:bookmarkEnd w:id="5"/>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issued our reports dated February 19, 2026, with respect to the consolidated financial statements and internal control over financial reporting of Energy Transfer LP included in the Annual Report on Form 10-K for the year ended December 31, 2025, which are incorporated by reference in this Registration Statement. We consent to the incorporation by reference of the aforementioned reports in this Registration Statement, and to the use of our name as it appears under the caption “Experts.” </w:t>
      </w:r>
    </w:p>
    <w:p>
      <w:pPr>
        <w:pStyle w:val="TextBody"/>
        <w:bidi w:val="0"/>
        <w:spacing w:before="240" w:after="0"/>
        <w:jc w:val="left"/>
        <w:rPr>
          <w:rFonts w:ascii="Times New Roman" w:hAnsi="Times New Roman"/>
          <w:sz w:val="20"/>
        </w:rPr>
      </w:pPr>
      <w:r>
        <w:rPr>
          <w:rFonts w:ascii="Times New Roman" w:hAnsi="Times New Roman"/>
          <w:sz w:val="20"/>
        </w:rPr>
        <w:t xml:space="preserve">/s/ GRANT THORNTON LLP </w:t>
      </w:r>
    </w:p>
    <w:p>
      <w:pPr>
        <w:pStyle w:val="TextBody"/>
        <w:bidi w:val="0"/>
        <w:spacing w:before="240" w:after="0"/>
        <w:jc w:val="left"/>
        <w:rPr>
          <w:rFonts w:ascii="Times New Roman" w:hAnsi="Times New Roman"/>
          <w:sz w:val="20"/>
        </w:rPr>
      </w:pPr>
      <w:r>
        <w:rPr>
          <w:rFonts w:ascii="Times New Roman" w:hAnsi="Times New Roman"/>
          <w:sz w:val="20"/>
        </w:rPr>
        <w:t xml:space="preserve">Dallas, Texas </w:t>
      </w:r>
    </w:p>
    <w:p>
      <w:pPr>
        <w:pStyle w:val="TextBody"/>
        <w:bidi w:val="0"/>
        <w:spacing w:before="0" w:after="0"/>
        <w:jc w:val="left"/>
        <w:rPr>
          <w:rFonts w:ascii="Times New Roman" w:hAnsi="Times New Roman"/>
          <w:sz w:val="20"/>
        </w:rPr>
      </w:pPr>
      <w:r>
        <w:rPr>
          <w:rFonts w:ascii="Times New Roman" w:hAnsi="Times New Roman"/>
          <w:sz w:val="20"/>
        </w:rPr>
        <w:t xml:space="preserve">July 6,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76187/000119312526295529/d109647dex31.htm" TargetMode="External"/><Relationship Id="rId3" Type="http://schemas.openxmlformats.org/officeDocument/2006/relationships/hyperlink" Target="http://www.sec.gov/Archives/edgar/data/1276187/000119312526295529/d109647dex32.htm" TargetMode="External"/><Relationship Id="rId4" Type="http://schemas.openxmlformats.org/officeDocument/2006/relationships/hyperlink" Target="http://www.sec.gov/Archives/edgar/data/1276187/000119312522304790/d433404dex41.htm" TargetMode="External"/><Relationship Id="rId5" Type="http://schemas.openxmlformats.org/officeDocument/2006/relationships/hyperlink" Target="http://www.sec.gov/Archives/edgar/data/1276187/000127618721000067/et06-30x2021ex221.htm" TargetMode="External"/><Relationship Id="rId6" Type="http://schemas.openxmlformats.org/officeDocument/2006/relationships/hyperlink" Target="http://www.sec.gov/Archives/edgar/data/1276187/000119312522304790/d433404dex41.htm"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4548</Words>
  <Characters>24329</Characters>
  <CharactersWithSpaces>28955</CharactersWithSpaces>
  <Paragraphs>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