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445770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411480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2680" w:hanging="203"/>
        <w:spacing w:after="0"/>
        <w:tabs>
          <w:tab w:leader="none" w:pos="2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60" w:hanging="190"/>
        <w:spacing w:after="0"/>
        <w:tabs>
          <w:tab w:leader="none" w:pos="2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31" w:lineRule="exact"/>
        <w:rPr>
          <w:rFonts w:ascii="MS PGothic" w:cs="MS PGothic" w:eastAsia="MS PGothic" w:hAnsi="MS PGothic"/>
          <w:sz w:val="16"/>
          <w:szCs w:val="16"/>
          <w:color w:val="auto"/>
        </w:rPr>
      </w:pPr>
    </w:p>
    <w:p>
      <w:pPr>
        <w:ind w:left="3220"/>
        <w:spacing w:after="0"/>
        <w:rPr>
          <w:rFonts w:ascii="MS PGothic" w:cs="MS PGothic" w:eastAsia="MS PGothic" w:hAnsi="MS PGothic"/>
          <w:sz w:val="16"/>
          <w:szCs w:val="16"/>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1-2921</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PANHANDLE EASTERN PIPE LINE COMPANY, LP</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44-0382470</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2">
            <w:col w:w="7480" w:space="380"/>
            <w:col w:w="33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Westchester Drive, Suite 600, Dallas, Texas 75225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7"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1"/>
        </w:trPr>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2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1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Panhandle Eastern Pipe Line Company, LP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9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11"/>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6"/>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380" w:type="dxa"/>
            <w:vAlign w:val="bottom"/>
            <w:gridSpan w:val="4"/>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44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7280" w:type="dxa"/>
            <w:vAlign w:val="bottom"/>
            <w:gridSpan w:val="9"/>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600" w:type="dxa"/>
            <w:vAlign w:val="bottom"/>
            <w:gridSpan w:val="1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Partners’ Capital</w:t>
            </w:r>
          </w:p>
        </w:tc>
        <w:tc>
          <w:tcPr>
            <w:tcW w:w="5820" w:type="dxa"/>
            <w:vAlign w:val="bottom"/>
            <w:gridSpan w:val="6"/>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360" w:type="dxa"/>
            <w:vAlign w:val="bottom"/>
            <w:gridSpan w:val="3"/>
          </w:tcPr>
          <w:p>
            <w:pPr>
              <w:spacing w:after="0"/>
              <w:rPr>
                <w:sz w:val="22"/>
                <w:szCs w:val="22"/>
                <w:color w:val="auto"/>
              </w:rPr>
            </w:pPr>
          </w:p>
        </w:tc>
        <w:tc>
          <w:tcPr>
            <w:tcW w:w="7460" w:type="dxa"/>
            <w:vAlign w:val="bottom"/>
            <w:gridSpan w:val="10"/>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540" w:type="dxa"/>
            <w:vAlign w:val="bottom"/>
            <w:gridSpan w:val="11"/>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63"/>
        </w:trPr>
        <w:tc>
          <w:tcPr>
            <w:tcW w:w="20" w:type="dxa"/>
            <w:vAlign w:val="bottom"/>
          </w:tcPr>
          <w:p>
            <w:pPr>
              <w:spacing w:after="0"/>
              <w:rPr>
                <w:sz w:val="22"/>
                <w:szCs w:val="22"/>
                <w:color w:val="auto"/>
              </w:rPr>
            </w:pPr>
          </w:p>
        </w:tc>
        <w:tc>
          <w:tcPr>
            <w:tcW w:w="68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220" w:type="dxa"/>
            <w:vAlign w:val="bottom"/>
            <w:gridSpan w:val="3"/>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00" w:type="dxa"/>
            <w:vAlign w:val="bottom"/>
            <w:tcBorders>
              <w:top w:val="single" w:sz="8" w:color="0000FF"/>
            </w:tcBorders>
            <w:gridSpan w:val="2"/>
          </w:tcPr>
          <w:p>
            <w:pPr>
              <w:spacing w:after="0"/>
              <w:rPr>
                <w:sz w:val="22"/>
                <w:szCs w:val="22"/>
                <w:color w:val="auto"/>
              </w:rPr>
            </w:pPr>
          </w:p>
        </w:tc>
        <w:tc>
          <w:tcPr>
            <w:tcW w:w="7760" w:type="dxa"/>
            <w:vAlign w:val="bottom"/>
            <w:gridSpan w:val="1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480" w:type="dxa"/>
            <w:vAlign w:val="bottom"/>
            <w:gridSpan w:val="1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540" w:type="dxa"/>
            <w:vAlign w:val="bottom"/>
            <w:tcBorders>
              <w:top w:val="single" w:sz="8" w:color="0000FF"/>
            </w:tcBorders>
          </w:tcPr>
          <w:p>
            <w:pPr>
              <w:spacing w:after="0"/>
              <w:rPr>
                <w:sz w:val="22"/>
                <w:szCs w:val="22"/>
                <w:color w:val="auto"/>
              </w:rPr>
            </w:pPr>
          </w:p>
        </w:tc>
        <w:tc>
          <w:tcPr>
            <w:tcW w:w="8980" w:type="dxa"/>
            <w:vAlign w:val="bottom"/>
            <w:gridSpan w:val="1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2"/>
                <w:szCs w:val="22"/>
                <w:color w:val="auto"/>
              </w:rPr>
            </w:pPr>
          </w:p>
        </w:tc>
      </w:tr>
      <w:tr>
        <w:trPr>
          <w:trHeight w:val="669"/>
        </w:trPr>
        <w:tc>
          <w:tcPr>
            <w:tcW w:w="2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100" w:type="dxa"/>
            <w:vAlign w:val="bottom"/>
            <w:gridSpan w:val="15"/>
          </w:tcPr>
          <w:p>
            <w:pPr>
              <w:jc w:val="center"/>
              <w:ind w:left="4010"/>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certain acronyms and terms used throughout this document:</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Energy Transfer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Energy Transfer LP, the parent company of PEPL</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Federal Energy Regulatory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GAAP</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Sea Robin Pipeline Company, LLC</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Pan Gas Storage LLC (d.b.a. Southwest Gas)</w:t>
      </w:r>
    </w:p>
    <w:p>
      <w:pPr>
        <w:spacing w:after="0" w:line="77"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Trillion British thermal units</w:t>
      </w:r>
    </w:p>
    <w:p>
      <w:pPr>
        <w:spacing w:after="0" w:line="88"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Trunkline Gas Company, LLC</w:t>
      </w:r>
    </w:p>
    <w:p>
      <w:pPr>
        <w:spacing w:after="0" w:line="179"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excluding historical information, as well as some statements by Panhandle Eastern Pipe Line Company, LP and its subsidiaries (“PEPL” or the “Company”) in periodic press releases and some oral statements of PEPL officials during presentations about the Company, include forward-looking statements. These forward-looking statements are identified as any statement that does not relate strictly to historical or current facts. Statements using words such as “anticipate,” “project,” “expect,” “plan,” “goal,” “forecast,” “estimate,” “intend,” “continue,” “believe,” “may,” “will” or similar expressions help identify forward-looking statements. Although the Company believes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Company’s actual results may vary materially from those anticipated, projected,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“Part I — Item 1A. Risk Factors” in the Company’s Annual Report on Form 10-K for the year ended December 31, 2021 filed with the SEC on February 18, 2022.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7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760" w:type="dxa"/>
            <w:vAlign w:val="bottom"/>
            <w:gridSpan w:val="4"/>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5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4"/>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from related companies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Exchanges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bottom w:val="single" w:sz="8" w:color="CCEEFF"/>
            </w:tcBorders>
            <w:gridSpan w:val="5"/>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LIABILITIES AND PARTNERS’ CAPITAL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280" w:type="dxa"/>
            <w:vAlign w:val="bottom"/>
          </w:tcPr>
          <w:p>
            <w:pPr>
              <w:spacing w:after="0"/>
              <w:rPr>
                <w:sz w:val="24"/>
                <w:szCs w:val="24"/>
                <w:color w:val="auto"/>
              </w:rPr>
            </w:pPr>
          </w:p>
        </w:tc>
        <w:tc>
          <w:tcPr>
            <w:tcW w:w="698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Note payable to related company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60" w:type="dxa"/>
            <w:vAlign w:val="bottom"/>
            <w:gridSpan w:val="6"/>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Partners’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826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5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relating to postretirement benefit plans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8780" w:type="dxa"/>
            <w:vAlign w:val="bottom"/>
            <w:gridSpan w:val="8"/>
          </w:tcPr>
          <w:p>
            <w:pPr>
              <w:ind w:left="248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80" w:type="dxa"/>
            <w:vAlign w:val="bottom"/>
            <w:tcBorders>
              <w:bottom w:val="single" w:sz="8" w:color="auto"/>
            </w:tcBorders>
            <w:gridSpan w:val="9"/>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CONSOLIDATED STATEMENTS OF PARTNERS’ CAPITAL</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8"/>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FOR THE SIX MONTHS ENDED JUNE 30, 2022 AND 2021</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(Dollars in millions)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rPr>
              <w:t>(unaudited)</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1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Income</w:t>
            </w:r>
          </w:p>
        </w:tc>
        <w:tc>
          <w:tcPr>
            <w:tcW w:w="38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80" w:type="dxa"/>
            <w:vAlign w:val="bottom"/>
            <w:tcBorders>
              <w:top w:val="single" w:sz="8" w:color="CCEEFF"/>
            </w:tcBorders>
            <w:gridSpan w:val="3"/>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9"/>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880" w:type="dxa"/>
            <w:vAlign w:val="bottom"/>
            <w:gridSpan w:val="3"/>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75"/>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Accumulated Other</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 Capital</w:t>
            </w:r>
          </w:p>
        </w:tc>
        <w:tc>
          <w:tcPr>
            <w:tcW w:w="80" w:type="dxa"/>
            <w:vAlign w:val="bottom"/>
          </w:tcPr>
          <w:p>
            <w:pPr>
              <w:spacing w:after="0"/>
              <w:rPr>
                <w:sz w:val="20"/>
                <w:szCs w:val="20"/>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80" w:type="dxa"/>
            <w:vAlign w:val="bottom"/>
            <w:tcBorders>
              <w:top w:val="single" w:sz="8" w:color="CCEEFF"/>
            </w:tcBorders>
            <w:gridSpan w:val="3"/>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9"/>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30"/>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3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288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PANHANDLE EASTERN PIPE LINE COMPANY, LP</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5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(Dollars in millions)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60" w:type="dxa"/>
            <w:vAlign w:val="bottom"/>
            <w:gridSpan w:val="5"/>
            <w:vMerge w:val="continue"/>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82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0"/>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Related company note activity</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8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gridSpan w:val="5"/>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Non-cash activity - Accrued capital expenditures</w:t>
            </w:r>
          </w:p>
        </w:tc>
        <w:tc>
          <w:tcPr>
            <w:tcW w:w="960" w:type="dxa"/>
            <w:vAlign w:val="bottom"/>
            <w:tcBorders>
              <w:bottom w:val="single" w:sz="8" w:color="auto"/>
            </w:tcBorders>
            <w:shd w:val="clear" w:color="auto" w:fill="CCEEFF"/>
          </w:tcPr>
          <w:p>
            <w:pPr>
              <w:jc w:val="right"/>
              <w:ind w:right="7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5"/>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gridSpan w:val="5"/>
          </w:tcPr>
          <w:p>
            <w:pPr>
              <w:ind w:left="180"/>
              <w:spacing w:after="0" w:line="203" w:lineRule="exact"/>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PANHANDLE EASTERN PIPE LINE COMPANY,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ind w:left="340" w:right="6740" w:hanging="332"/>
        <w:spacing w:after="0" w:line="440"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ORGANIZATION AND BASIS OF PRESENTATION </w:t>
      </w:r>
      <w:r>
        <w:rPr>
          <w:rFonts w:ascii="Times New Roman" w:cs="Times New Roman" w:eastAsia="Times New Roman" w:hAnsi="Times New Roman"/>
          <w:sz w:val="18"/>
          <w:szCs w:val="18"/>
          <w:b w:val="1"/>
          <w:bCs w:val="1"/>
          <w:color w:val="auto"/>
        </w:rPr>
        <w:t>Organization</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PEPL and its subsidiaries primarily operate interstate pipelines that transport natural gas from the Gulf of Mexico, South Texas and the Panhandle region of Texas and Oklahoma to major United States markets in the Midwest and Great Lakes regions, as well as natural gas storage assets. These operations are subject to the rules and regulations of the FERC. PEPL’s subsidiaries are Trunkline, Sea Robin and Southwest Gas.</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Southern Union Panhandle LLC, an indirect wholly-owned subsidiary of Energy Transfer, owns a 1% general partner interest in PEPL, and Energy Transfer indirectly owns a 99% limited partner interest in PEPL.</w:t>
      </w:r>
    </w:p>
    <w:p>
      <w:pPr>
        <w:spacing w:after="0" w:line="10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financial information included in this Form 10-Q has been prepared on the same basis as the audited consolidated financial statements included in the Company’s Annual Report on Form 10-K for the year ended December 31, 2021. In the opinion of the Company’s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footnote disclosures normally included in annual consolidated financial statements prepared in accordance with GAAP have been omitted pursuant to the rules and regulations of the SEC.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consolidated financial statements have been prepared in conformity with GAAP, which includes the use of estimates and assumptions made by management that affect the reported amounts of assets, liabilities, revenues, expenses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related party activity included in our consolidated statements of operations: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278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380" w:type="dxa"/>
            <w:vAlign w:val="bottom"/>
          </w:tcPr>
          <w:p>
            <w:pPr>
              <w:spacing w:after="0"/>
              <w:rPr>
                <w:sz w:val="18"/>
                <w:szCs w:val="18"/>
                <w:color w:val="auto"/>
              </w:rPr>
            </w:pPr>
          </w:p>
        </w:tc>
      </w:tr>
      <w:tr>
        <w:trPr>
          <w:trHeight w:val="239"/>
        </w:trPr>
        <w:tc>
          <w:tcPr>
            <w:tcW w:w="45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color w:val="auto"/>
                <w:w w:val="99"/>
              </w:rPr>
              <w:t>June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color w:val="auto"/>
                <w:w w:val="99"/>
              </w:rPr>
              <w:t>June 30,</w:t>
            </w:r>
          </w:p>
        </w:tc>
        <w:tc>
          <w:tcPr>
            <w:tcW w:w="380" w:type="dxa"/>
            <w:vAlign w:val="bottom"/>
            <w:tcBorders>
              <w:bottom w:val="single" w:sz="8" w:color="auto"/>
            </w:tcBorders>
          </w:tcPr>
          <w:p>
            <w:pPr>
              <w:spacing w:after="0"/>
              <w:rPr>
                <w:sz w:val="20"/>
                <w:szCs w:val="20"/>
                <w:color w:val="auto"/>
              </w:rPr>
            </w:pPr>
          </w:p>
        </w:tc>
      </w:tr>
      <w:tr>
        <w:trPr>
          <w:trHeight w:val="227"/>
        </w:trPr>
        <w:tc>
          <w:tcPr>
            <w:tcW w:w="45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19"/>
                <w:szCs w:val="19"/>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1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$29 million and $221 million, respectively, outstanding under a note payable to its parent. The note payable accrues interest monthly with an annual interest rate of 4.99% as of June 30, 2022 and matures on July 31,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2022 and December 31, 2021, other non-current assets included $36 million and $39 million, respectively, of investments carried at fair value. At June 30, 2022, $23 million in equity securities were valued at Level 1 and $13 million in fixed income securities were valued at Level 2. At December 31, 2021, $26 million in equity securities were valued at Level 1 and $13 million in fixed income securities were valued at Level 2. During the three months ended June 30, 2022 and 2021, the Company recognized $4 million in unrealized losses and $1 million in unrealized gains, respectively, on equity securities. During the six months ended June 30, 2022 and 2021, the Company recognized $6 million in unrealized losses and $3 million in unrealized gains, respectively, on equity securities. Unrealized gains and losses on equity securities are reflected in other, net in our consolidated statements of operations. The carrying amounts of cash and cash equivalents, accounts receivable and accounts payable approximate fair value. Based on the estimated borrowing rates currently available to the Company and its subsidiaries for loans with similar terms and average maturities, the aggregate fair value of the Company’s consolidated debt obligations (excluding related company balances) was $227 million and $253 million at June 30, 2022 and December 31, 2021, respectively. The fair value of the Company’s consolidated debt obligations is a Level 2 valuation based on the observable inputs used for similar liabilities. The Company did not have any Level 3 instruments measured at fair value at June 30, 2022 or December 31, 2021, and there were no transfers between hierarchy levels during the periods presented.</w:t>
      </w:r>
    </w:p>
    <w:p>
      <w:pPr>
        <w:spacing w:after="0" w:line="131" w:lineRule="exact"/>
        <w:rPr>
          <w:rFonts w:ascii="Times New Roman" w:cs="Times New Roman" w:eastAsia="Times New Roman" w:hAnsi="Times New Roman"/>
          <w:sz w:val="18"/>
          <w:szCs w:val="18"/>
          <w:b w:val="1"/>
          <w:bCs w:val="1"/>
          <w:color w:val="auto"/>
        </w:rPr>
      </w:pPr>
    </w:p>
    <w:p>
      <w:pPr>
        <w:ind w:left="340" w:right="2300" w:hanging="332"/>
        <w:spacing w:after="0" w:line="440"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REGULATORY MATTERS, COMMITMENTS, CONTINGENCIES AND ENVIRONMENTAL LIABILITIES </w:t>
      </w:r>
      <w:r>
        <w:rPr>
          <w:rFonts w:ascii="Times New Roman" w:cs="Times New Roman" w:eastAsia="Times New Roman" w:hAnsi="Times New Roman"/>
          <w:sz w:val="18"/>
          <w:szCs w:val="18"/>
          <w:b w:val="1"/>
          <w:bCs w:val="1"/>
          <w:color w:val="auto"/>
        </w:rPr>
        <w:t>Contingent Residual Support Agreement with ET</w:t>
      </w:r>
    </w:p>
    <w:p>
      <w:pPr>
        <w:spacing w:after="0" w:line="1"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 contingent residual support agreement with Energy Transfer and Citrus ETP Finance LLC, the Company provides contingent, residual support to Citrus ETP Finance LLC with respect to Citrus ETP Finance LLC’s obligations to Energy Transfer to support the payment of certain ET senior notes. As of June 30, 2022, $1 billion in principal amount of such supported Energy Transfer senior notes remains outstanding.</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FERC Proceedings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FERC.</w:t>
      </w:r>
    </w:p>
    <w:p>
      <w:pPr>
        <w:spacing w:after="0" w:line="1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subject to federal, state and local laws, rules and regulations regarding water quality, hazardous and solid waste management, air quality control and other environmental matters. These laws, rules and regulations require the Company to conduct its operations in a specified manner and to obtain and comply with a wide variety of environmental regulations, licenses, permits, inspections and other approvals. Failure to comply with environmental laws, rules and regulations may expose the Company to significant fines, penalties and/or interruptions in operations. The Company’s environmental policies and procedures are designed to achieve compliance with such applicable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responsible for environmental remediation at certain sites on its natural gas transmission systems for contamination resulting from the past use of lubricants containing polychlorinated biphenyls (“PCBs”) in compressed air systems; the past use of paints containing PCBs; and the prior use of wastewater collection facilities and other on-site disposal areas. The Company has implemented a program to remediate such contamination. The primary remaining remediation activity on the Company’s systems is associated with past use of paints containing PCBs or PCB impacts to equipment surfaces and to a building at one location. The PCB assessments are ongoing and the related estimated remediation costs are subject to further change. Other remediation typically involves the management of contaminated soils and may involve remediation of groundwater. Activities vary with site conditions and locations, the extent and nature of the contamination, remedial requirements, complexity and sharing of responsibility. The ultimate liability and total costs associated with these sites will depend upon many factors. If remediation activities involve statutory joint and several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liability provisions, strict liability, or cost recovery or contribution actions, the Company could potentially be held responsible for contamination caused by other parties. In some instances, the Company may share liability associated with contamination with other potentially responsible parties. The Company may also benefit from contractual indemnities that cover some or all of the cleanup costs. These sites are generally managed in the normal course of business or operations.</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environmental remediation activities are undertaken in cooperation with and under the oversight of appropriate regulatory agencies, enabling the Company under certain circumstances to take advantage of various voluntary cleanup programs in order to perform the remediation in the most effective and efficient manner.</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had accrued $1 million in non-current liabilities as of June 30, 2022 and December 31, 2021 to cover environmental remediation actions where management believes a loss is probable and reasonably estimable. The Company is not able to estimate the possible loss or range of loss in excess of amounts accrued. The Company does not have any material environmental remediation matters assessed as reasonably possible.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Liabilities for Litigation and Other Claims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litigation and other claim costs when management believes a loss is probable and reasonably estimable. When management believes there is at least a reasonable possibility that a material loss or an additional material loss may have been incurred, the Company discloses (i) an estimate of the possible loss or range of loss in excess of the amount accrued; or (ii) a statement that such an estimate cannot be made. As of June 30, 2022 and December 31, 2021, the Company had accrued liabilities for litigation and other contingencies of $107 million and $73 million, respectively, included in other non-current liabilities on the consolidated balance sheets. The Company does not have any material litigation or other claim contingency matters assessed as probable or reasonably possible that would require disclosure in the financial statements.</w:t>
      </w: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subject to the laws and regulations of states and other jurisdictions concerning the identification, reporting and escheatment (the transfer of property to the state) of unclaimed or abandoned funds, and is subject to audit and examination for compliance with these requirements. The Company is currently being examined by a third party auditor on behalf of nine states for compliance with unclaimed property laws, and there are no material claim contingencies associated with the examination.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 has been prepared pursuant to the reduced disclosure format permitted by General Instruction H to Form 10-Q. Accordingly, this Item 2 includes only management’s narrative analysis of the results of operations and should be read in conjunction with (i) our historical consolidated financial statements and accompanying notes thereto included elsewhere in this Quarterly Report on Form 10-Q and (ii) our Annual Report on Form 10-K for the year ended December 31, 2021 filed with the SEC on February 18,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8260" w:type="dxa"/>
            <w:vAlign w:val="bottom"/>
          </w:tcPr>
          <w:p>
            <w:pPr>
              <w:spacing w:after="0"/>
              <w:rPr>
                <w:sz w:val="24"/>
                <w:szCs w:val="24"/>
                <w:color w:val="auto"/>
              </w:rPr>
            </w:pPr>
          </w:p>
        </w:tc>
        <w:tc>
          <w:tcPr>
            <w:tcW w:w="25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w:t>
            </w:r>
          </w:p>
        </w:tc>
        <w:tc>
          <w:tcPr>
            <w:tcW w:w="44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June 30,</w:t>
            </w:r>
          </w:p>
        </w:tc>
        <w:tc>
          <w:tcPr>
            <w:tcW w:w="440" w:type="dxa"/>
            <w:vAlign w:val="bottom"/>
            <w:tcBorders>
              <w:bottom w:val="single" w:sz="8" w:color="auto"/>
            </w:tcBorders>
          </w:tcPr>
          <w:p>
            <w:pPr>
              <w:spacing w:after="0"/>
              <w:rPr>
                <w:sz w:val="20"/>
                <w:szCs w:val="20"/>
                <w:color w:val="auto"/>
              </w:rPr>
            </w:pPr>
          </w:p>
        </w:tc>
      </w:tr>
      <w:tr>
        <w:trPr>
          <w:trHeight w:val="227"/>
        </w:trPr>
        <w:tc>
          <w:tcPr>
            <w:tcW w:w="826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and storage of natural gas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Operational gas sales</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company</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volumes transported (TBtu):</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PEPL</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Trunkline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4"/>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Robin</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and storage of natural gas</w:t>
      </w:r>
      <w:r>
        <w:rPr>
          <w:rFonts w:ascii="Times New Roman" w:cs="Times New Roman" w:eastAsia="Times New Roman" w:hAnsi="Times New Roman"/>
          <w:sz w:val="18"/>
          <w:szCs w:val="18"/>
          <w:color w:val="auto"/>
        </w:rPr>
        <w:t>. Transportation and storage of natural gas decreased for the six months ended June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primarily due to less capacity sold.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gas sales</w:t>
      </w:r>
      <w:r>
        <w:rPr>
          <w:rFonts w:ascii="Times New Roman" w:cs="Times New Roman" w:eastAsia="Times New Roman" w:hAnsi="Times New Roman"/>
          <w:sz w:val="18"/>
          <w:szCs w:val="18"/>
          <w:color w:val="auto"/>
        </w:rPr>
        <w:t>. Operational gas sales for the six months ended June 30, 2021 were due to the impact of Winter Storm Uri in February 2021.</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Operating and maintenance expenses increased for the six months ended June 30, 2022 compared to the same period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primarily due to higher ad valorem taxes and increased direct costs due to level of activity and price increases.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 related company</w:t>
      </w:r>
      <w:r>
        <w:rPr>
          <w:rFonts w:ascii="Times New Roman" w:cs="Times New Roman" w:eastAsia="Times New Roman" w:hAnsi="Times New Roman"/>
          <w:sz w:val="18"/>
          <w:szCs w:val="18"/>
          <w:color w:val="auto"/>
        </w:rPr>
        <w:t>. Interest expense — related company decreased for the six months ended June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primarily due to lower average borrowings outstanding under a note payable due to the Company’s parent.</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net decreased for the six months ended June 30, 2022 compared to the same period in the prior year primarily due to unrealized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partially offset by a reduction of non-service cost components of the Company’s postretirement benefit plan.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3, Quantitative and Qualitative Disclosures About Market Risk, has been omitted from this report pursuant to the reduced disclosure format permitted by General Instruction H to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senior management, including the Co-Chief Executive Officers and the Chief Financial Officer of our General Partner, we evaluated our disclosure controls and procedures, as such term is defined under Rule 13a–15(e) promulgated under the Exchange Act. Based on this evaluation, the Co-Chief Executive Officers and the Chief Financial Officer of our General Partner concluded that our disclosure controls and procedures were effective as of June 30, 2022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Co-Chief Executive Officers and Chief Financial Officer of our General Partner,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or Rule 15d-15(f) of the Exchange Act)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or has property subject to litigation and other proceedings, including matters arising under provisions relating to the protection of the environment, as described in Note 4 in “Part I - Item 1. Financial Statements” in this Quarterly Report on Form 10-Q and in Note 8 in “Part II - Item 8. Financial Statements and Supplementary Data” in the Company’s Form 10-K for the year ended December 31, 2021.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federal and state requirements for the protection of the environment, including those for the discharge of hazardous materials and remediation of contaminated sites. As a result, the Company is a party to or has property subject to various other lawsuits or proceedings involving environmental protection matters. For information regarding these matters, see Note 4 in “Part I - Item 1. Financial Statements” in this Quarterly Report on Form 10-Q and Note 8 in “Part II - Item 8. Financial Statements and Supplementary Data” in the Company’s Form 10-K for the year ended December 31, 2021.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“Part I - Item 1A. Risk Factors” in the Company’s Annual Report on Form 10-K for the year ended December 31, 2021 filed with the SEC on February 18, 2022.</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60" w:type="dxa"/>
            <w:vAlign w:val="bottom"/>
            <w:gridSpan w:val="7"/>
          </w:tcPr>
          <w:p>
            <w:pPr>
              <w:ind w:left="11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78"/>
        </w:trPr>
        <w:tc>
          <w:tcPr>
            <w:tcW w:w="11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indicated, as part of this report:</w:t>
            </w:r>
          </w:p>
        </w:tc>
        <w:tc>
          <w:tcPr>
            <w:tcW w:w="0" w:type="dxa"/>
            <w:vAlign w:val="bottom"/>
          </w:tcPr>
          <w:p>
            <w:pPr>
              <w:spacing w:after="0"/>
              <w:rPr>
                <w:sz w:val="1"/>
                <w:szCs w:val="1"/>
                <w:color w:val="auto"/>
              </w:rPr>
            </w:pPr>
          </w:p>
        </w:tc>
      </w:tr>
      <w:tr>
        <w:trPr>
          <w:trHeight w:val="459"/>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96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62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5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Rule 13a-14(a) or 15d-14(a) of the Securities Exchange Act of 1934</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or 15d-14(a) of the Securities Exchange Act of 1934 pursuant to</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our Consolidated Balance Sheets; (ii) our Consolidated Statements</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of Operations and Comprehensive Income; (iii) our Consolidated Statements of Partners’ Capital; (iv) our Consolidated Statements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Cash Flows; and (v) the notes to our Consolidated Financial Statements</w:t>
            </w:r>
          </w:p>
        </w:tc>
        <w:tc>
          <w:tcPr>
            <w:tcW w:w="0" w:type="dxa"/>
            <w:vAlign w:val="bottom"/>
          </w:tcPr>
          <w:p>
            <w:pPr>
              <w:spacing w:after="0"/>
              <w:rPr>
                <w:sz w:val="1"/>
                <w:szCs w:val="1"/>
                <w:color w:val="auto"/>
              </w:rPr>
            </w:pPr>
          </w:p>
        </w:tc>
      </w:tr>
      <w:tr>
        <w:trPr>
          <w:trHeight w:val="265"/>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ind w:left="1640" w:hanging="921"/>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640" w:hanging="966"/>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Panhandle Eastern Pipe Line Company, LP has duly caused this report to be signed on its behalf by the undersigned thereunto duly authorized.</w:t>
      </w: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PANHANDLE EASTERN PIPE LINE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7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A. Troy Sturrock</w:t>
            </w:r>
          </w:p>
        </w:tc>
      </w:tr>
      <w:tr>
        <w:trPr>
          <w:trHeight w:val="218"/>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r>
      <w:tr>
        <w:trPr>
          <w:trHeight w:val="180"/>
        </w:trPr>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Controller (duly authorized to sign on behalf of the</w:t>
            </w:r>
          </w:p>
        </w:tc>
      </w:tr>
      <w:tr>
        <w:trPr>
          <w:trHeight w:val="234"/>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913"/>
        </w:trPr>
        <w:tc>
          <w:tcPr>
            <w:tcW w:w="3220" w:type="dxa"/>
            <w:vAlign w:val="bottom"/>
          </w:tcPr>
          <w:p>
            <w:pPr>
              <w:spacing w:after="0"/>
              <w:rPr>
                <w:sz w:val="24"/>
                <w:szCs w:val="24"/>
                <w:color w:val="auto"/>
              </w:rPr>
            </w:pPr>
          </w:p>
        </w:tc>
        <w:tc>
          <w:tcPr>
            <w:tcW w:w="7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98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Panhandle Eastern Pipe Line Company, LP (the “registrant”);</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5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8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June 30, 2022,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4,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June 30, 2022,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4,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Thomas E. Long</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p>
      <w:pPr>
        <w:sectPr>
          <w:pgSz w:w="11900" w:h="16838" w:orient="portrait"/>
          <w:cols w:equalWidth="0" w:num="1">
            <w:col w:w="11240"/>
          </w:cols>
          <w:pgMar w:left="320" w:top="98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Panhandle Eastern Pipe Line Company, LP (the “Company”) on Form 10-Q for the quarter ended June 30, 2022,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4, 2022</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wp:posOffset>
            </wp:positionV>
            <wp:extent cx="2160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Bradford D. Whitehurst</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Panhandle Eastern Pipe Line Company, LP and furnished to the Securities and Exchange Commission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2022-08-04T10:31:59Z</dcterms:created>
  <dcterms:modified xsi:type="dcterms:W3CDTF">2022-08-04T10:31:59Z</dcterms:modified>
</cp:coreProperties>
</file>