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29864dposam.htm"/>
      <w:bookmarkStart w:id="1" w:name="ksd29864dposam"/>
      <w:bookmarkEnd w:id="0"/>
      <w:bookmarkEnd w:id="1"/>
      <w:r>
        <w:rPr>
          <w:rFonts w:ascii="Times New Roman" w:hAnsi="Times New Roman"/>
          <w:b/>
          <w:sz w:val="20"/>
        </w:rPr>
        <w:t xml:space="preserve">As filed with the Securities and Exchange Commission on July 17,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333-146300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POST-EFFECTIVE AMENDMENT NO. 1 </w:t>
      </w:r>
    </w:p>
    <w:p>
      <w:pPr>
        <w:pStyle w:val="TextBody"/>
        <w:bidi w:val="0"/>
        <w:spacing w:before="0" w:after="0"/>
        <w:jc w:val="center"/>
        <w:rPr>
          <w:rFonts w:ascii="Times New Roman" w:hAnsi="Times New Roman"/>
          <w:b/>
          <w:sz w:val="36"/>
        </w:rPr>
      </w:pPr>
      <w:r>
        <w:rPr>
          <w:rFonts w:ascii="Times New Roman" w:hAnsi="Times New Roman"/>
          <w:b/>
          <w:sz w:val="36"/>
        </w:rPr>
        <w:t xml:space="preserve">ON FORM S-3 </w:t>
      </w:r>
    </w:p>
    <w:p>
      <w:pPr>
        <w:pStyle w:val="TextBody"/>
        <w:bidi w:val="0"/>
        <w:spacing w:before="0" w:after="0"/>
        <w:jc w:val="center"/>
        <w:rPr>
          <w:rFonts w:ascii="Times New Roman" w:hAnsi="Times New Roman"/>
          <w:b/>
          <w:sz w:val="36"/>
        </w:rPr>
      </w:pPr>
      <w:r>
        <w:rPr>
          <w:rFonts w:ascii="Times New Roman" w:hAnsi="Times New Roman"/>
          <w:b/>
          <w:sz w:val="36"/>
        </w:rPr>
        <w:t xml:space="preserve">TO </w:t>
      </w:r>
    </w:p>
    <w:p>
      <w:pPr>
        <w:pStyle w:val="TextBody"/>
        <w:bidi w:val="0"/>
        <w:spacing w:before="0" w:after="0"/>
        <w:jc w:val="center"/>
        <w:rPr>
          <w:rFonts w:ascii="Times New Roman" w:hAnsi="Times New Roman"/>
          <w:b/>
          <w:sz w:val="36"/>
        </w:rPr>
      </w:pPr>
      <w:r>
        <w:rPr>
          <w:rFonts w:ascii="Times New Roman" w:hAnsi="Times New Roman"/>
          <w:b/>
          <w:sz w:val="36"/>
        </w:rPr>
        <w:t xml:space="preserve">FORM S-3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ENERGY TRANSFER LP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Texas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30-0108820</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8111 Westchester Drive, Suite 600 </w:t>
      </w:r>
    </w:p>
    <w:p>
      <w:pPr>
        <w:pStyle w:val="TextBody"/>
        <w:bidi w:val="0"/>
        <w:spacing w:before="0" w:after="0"/>
        <w:jc w:val="center"/>
        <w:rPr>
          <w:rFonts w:ascii="Times New Roman" w:hAnsi="Times New Roman"/>
          <w:b/>
          <w:sz w:val="20"/>
        </w:rPr>
      </w:pPr>
      <w:r>
        <w:rPr>
          <w:rFonts w:ascii="Times New Roman" w:hAnsi="Times New Roman"/>
          <w:b/>
          <w:sz w:val="20"/>
        </w:rPr>
        <w:t xml:space="preserve">Dallas, Texas 75225 </w:t>
      </w:r>
    </w:p>
    <w:p>
      <w:pPr>
        <w:pStyle w:val="TextBody"/>
        <w:bidi w:val="0"/>
        <w:spacing w:before="0" w:after="0"/>
        <w:jc w:val="center"/>
        <w:rPr>
          <w:rFonts w:ascii="Times New Roman" w:hAnsi="Times New Roman"/>
          <w:b/>
          <w:sz w:val="20"/>
        </w:rPr>
      </w:pPr>
      <w:r>
        <w:rPr>
          <w:rFonts w:ascii="Times New Roman" w:hAnsi="Times New Roman"/>
          <w:b/>
          <w:sz w:val="20"/>
        </w:rPr>
        <w:t xml:space="preserve">(214) 981-0700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Thomas E. Long </w:t>
      </w:r>
    </w:p>
    <w:p>
      <w:pPr>
        <w:pStyle w:val="TextBody"/>
        <w:bidi w:val="0"/>
        <w:spacing w:before="0" w:after="0"/>
        <w:jc w:val="center"/>
        <w:rPr>
          <w:rFonts w:ascii="Times New Roman" w:hAnsi="Times New Roman"/>
          <w:b/>
          <w:sz w:val="20"/>
        </w:rPr>
      </w:pPr>
      <w:r>
        <w:rPr>
          <w:rFonts w:ascii="Times New Roman" w:hAnsi="Times New Roman"/>
          <w:b/>
          <w:sz w:val="20"/>
        </w:rPr>
        <w:t xml:space="preserve">Co-Chief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0" w:after="0"/>
        <w:jc w:val="center"/>
        <w:rPr>
          <w:rFonts w:ascii="Times New Roman" w:hAnsi="Times New Roman"/>
          <w:b/>
          <w:sz w:val="20"/>
        </w:rPr>
      </w:pPr>
      <w:r>
        <w:rPr>
          <w:rFonts w:ascii="Times New Roman" w:hAnsi="Times New Roman"/>
          <w:b/>
          <w:sz w:val="20"/>
        </w:rPr>
        <w:t xml:space="preserve">8111 Westchester Drive, Suite 600 </w:t>
      </w:r>
    </w:p>
    <w:p>
      <w:pPr>
        <w:pStyle w:val="TextBody"/>
        <w:bidi w:val="0"/>
        <w:spacing w:before="0" w:after="0"/>
        <w:jc w:val="center"/>
        <w:rPr>
          <w:rFonts w:ascii="Times New Roman" w:hAnsi="Times New Roman"/>
          <w:b/>
          <w:sz w:val="20"/>
        </w:rPr>
      </w:pPr>
      <w:r>
        <w:rPr>
          <w:rFonts w:ascii="Times New Roman" w:hAnsi="Times New Roman"/>
          <w:b/>
          <w:sz w:val="20"/>
        </w:rPr>
        <w:t xml:space="preserve">Dallas, Texas 75225 </w:t>
      </w:r>
    </w:p>
    <w:p>
      <w:pPr>
        <w:pStyle w:val="TextBody"/>
        <w:bidi w:val="0"/>
        <w:spacing w:before="0" w:after="0"/>
        <w:jc w:val="center"/>
        <w:rPr>
          <w:rFonts w:ascii="Times New Roman" w:hAnsi="Times New Roman"/>
          <w:b/>
          <w:sz w:val="20"/>
        </w:rPr>
      </w:pPr>
      <w:r>
        <w:rPr>
          <w:rFonts w:ascii="Times New Roman" w:hAnsi="Times New Roman"/>
          <w:b/>
          <w:sz w:val="20"/>
        </w:rPr>
        <w:t xml:space="preserve">(214) 981-0700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Lande A. Spottswood </w:t>
      </w:r>
    </w:p>
    <w:p>
      <w:pPr>
        <w:pStyle w:val="TextBody"/>
        <w:bidi w:val="0"/>
        <w:spacing w:before="0" w:after="0"/>
        <w:jc w:val="center"/>
        <w:rPr>
          <w:rFonts w:ascii="Times New Roman" w:hAnsi="Times New Roman"/>
          <w:b/>
          <w:sz w:val="20"/>
        </w:rPr>
      </w:pPr>
      <w:r>
        <w:rPr>
          <w:rFonts w:ascii="Times New Roman" w:hAnsi="Times New Roman"/>
          <w:b/>
          <w:sz w:val="20"/>
        </w:rPr>
        <w:t xml:space="preserve">Jackson A. O’Maley </w:t>
      </w:r>
    </w:p>
    <w:p>
      <w:pPr>
        <w:pStyle w:val="TextBody"/>
        <w:bidi w:val="0"/>
        <w:spacing w:before="0" w:after="0"/>
        <w:jc w:val="center"/>
        <w:rPr>
          <w:rFonts w:ascii="Times New Roman" w:hAnsi="Times New Roman"/>
          <w:b/>
          <w:sz w:val="20"/>
        </w:rPr>
      </w:pPr>
      <w:r>
        <w:rPr>
          <w:rFonts w:ascii="Times New Roman" w:hAnsi="Times New Roman"/>
          <w:b/>
          <w:sz w:val="20"/>
        </w:rPr>
        <w:t xml:space="preserve">Vinson &amp; Elkins L.L.P. </w:t>
      </w:r>
    </w:p>
    <w:p>
      <w:pPr>
        <w:pStyle w:val="TextBody"/>
        <w:bidi w:val="0"/>
        <w:spacing w:before="0" w:after="0"/>
        <w:jc w:val="center"/>
        <w:rPr>
          <w:rFonts w:ascii="Times New Roman" w:hAnsi="Times New Roman"/>
          <w:b/>
          <w:sz w:val="20"/>
        </w:rPr>
      </w:pPr>
      <w:r>
        <w:rPr>
          <w:rFonts w:ascii="Times New Roman" w:hAnsi="Times New Roman"/>
          <w:b/>
          <w:sz w:val="20"/>
        </w:rPr>
        <w:t xml:space="preserve">845 Texas Ave., Suite 4700 </w:t>
      </w:r>
    </w:p>
    <w:p>
      <w:pPr>
        <w:pStyle w:val="TextBody"/>
        <w:bidi w:val="0"/>
        <w:spacing w:before="0" w:after="0"/>
        <w:jc w:val="center"/>
        <w:rPr>
          <w:rFonts w:ascii="Times New Roman" w:hAnsi="Times New Roman"/>
          <w:b/>
          <w:sz w:val="20"/>
        </w:rPr>
      </w:pPr>
      <w:r>
        <w:rPr>
          <w:rFonts w:ascii="Times New Roman" w:hAnsi="Times New Roman"/>
          <w:b/>
          <w:sz w:val="20"/>
        </w:rPr>
        <w:t xml:space="preserve">Houston, Texas 77002 </w:t>
      </w:r>
    </w:p>
    <w:p>
      <w:pPr>
        <w:pStyle w:val="TextBody"/>
        <w:bidi w:val="0"/>
        <w:spacing w:before="0" w:after="0"/>
        <w:jc w:val="center"/>
        <w:rPr>
          <w:rFonts w:ascii="Times New Roman" w:hAnsi="Times New Roman"/>
          <w:b/>
          <w:sz w:val="20"/>
        </w:rPr>
      </w:pPr>
      <w:r>
        <w:rPr>
          <w:rFonts w:ascii="Times New Roman" w:hAnsi="Times New Roman"/>
          <w:b/>
          <w:sz w:val="20"/>
        </w:rPr>
        <w:t xml:space="preserve">(713) 758-2222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b/>
          <w:sz w:val="20"/>
        </w:rPr>
        <w:t>Approximate date of commencement of proposed sale to the public</w:t>
      </w:r>
      <w:r>
        <w:rPr>
          <w:rFonts w:ascii="Times New Roman" w:hAnsi="Times New Roman"/>
          <w:sz w:val="20"/>
        </w:rPr>
        <w:t xml:space="preserve">: From time to time after this registration statement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If the only securities being registered on this Form are being offered pursuant to dividend or interest reinvestment plans, please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of 1933. ☐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July 6, 2026, Energy Transfer LP (the “Registrant”) changed its state of domicile from the State of Delaware to the State of Texas pursuant to a plan of conversion. This redomiciliation was approved by the board of directors of the general partner in reliance in part on the recommendation and Special Approval (as defined in the Delaware Partnership Agreement (as defined below)) of the Conflicts Committee (as defined in the Delaware Partnership Agreement). As a result of the redomiciliation, among other things, the affairs of the Registrant ceased to be governed by the Delaware Revised Uniform Limited Partnership Act and became subject to the Texas Business Organizations Code (the “TBOC”); the certificate of limited partnership and Fourth Amended and Restated Agreement of Limited Partnership of the Registrant (the “Delaware Partnership Agreement”) that were in effect immediately prior to the redomiciliation were replaced by a new certificate of formation filed with the Secretary of State of the State of Texas and the Agreement of Limited Partnership of the Registrant (the “Texas Partnership Agreement”) approved in connection with the redomiciliation and plan of conversion; and each common unit of the Registrant as a Delaware limited partnership was converted into a common unit of the Registrant as a Texas limited partnership. </w:t>
      </w:r>
    </w:p>
    <w:p>
      <w:pPr>
        <w:pStyle w:val="TextBody"/>
        <w:bidi w:val="0"/>
        <w:spacing w:before="240" w:after="0"/>
        <w:jc w:val="left"/>
        <w:rPr/>
      </w:pPr>
      <w:r>
        <w:rPr>
          <w:rFonts w:ascii="Times New Roman" w:hAnsi="Times New Roman"/>
          <w:sz w:val="20"/>
        </w:rPr>
        <w:t xml:space="preserve">Pursuant to Rule 414 under the Securities Act of 1933, as amended (the “Securities Act”), on the date hereof the Registrant is filing this Post-Effective Amendment No. 1 to the Registration Statement on Form S-3, File No. 333-146300, as amended by Pre-Effective Amendment No. 1 to the Registration Statement on Form S-3, File No. 333-146300 (the “Registration Statement”), solely to reflect the change in the Registrant’s state of domicile as a result of the redomiciliation or as necessary to keep the Registration Statement from being misleading in any material respect. The Registration Statement was originally filed by the Registrant with the Securities and Exchange Commission (the “SEC”) on </w:t>
      </w:r>
      <w:hyperlink r:id="rId2">
        <w:r>
          <w:rPr>
            <w:rStyle w:val="InternetLink"/>
            <w:rFonts w:ascii="Times New Roman" w:hAnsi="Times New Roman"/>
            <w:sz w:val="20"/>
          </w:rPr>
          <w:t>September 25, 2007</w:t>
        </w:r>
      </w:hyperlink>
      <w:r>
        <w:rPr>
          <w:rFonts w:ascii="Times New Roman" w:hAnsi="Times New Roman"/>
          <w:sz w:val="20"/>
        </w:rPr>
        <w:t xml:space="preserve"> and was amended on </w:t>
      </w:r>
      <w:hyperlink r:id="rId3">
        <w:r>
          <w:rPr>
            <w:rStyle w:val="InternetLink"/>
            <w:rFonts w:ascii="Times New Roman" w:hAnsi="Times New Roman"/>
            <w:sz w:val="20"/>
          </w:rPr>
          <w:t>October 19, 2007</w:t>
        </w:r>
      </w:hyperlink>
      <w:r>
        <w:rPr>
          <w:rFonts w:ascii="Times New Roman" w:hAnsi="Times New Roman"/>
          <w:sz w:val="20"/>
        </w:rPr>
        <w:t xml:space="preserve">. Pursuant to Rule 414(d), the Registrant expressly adopts the Registration Statement, as modified by this Post-Effective Amendment No. 1, as its own for all purposes of the Securities Act and Securities Exchange Act of 1934, as amended (the “Exchange Act”), as a result of the redomiciliation.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14.</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this item is incorporated by reference from Item 14 of the Registrant’s Registration Statement on Form S-3 (File No. 333-146300), filed with the SEC on September 25, 2007, as amended.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15.</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provided in the Texas Partnership Agreement, which is incorporated herein by reference, the Registrant will generally indemnify its general partner, officers, directors and affiliates of its general partner to the fullest extent permitted by law against all losses, claims, damages or similar events; provided, that the indemnitee will not be indemnified and held harmless if there has been a final and non-appealable judgment entered by a court of competent jurisdiction determining that, in respect of the matter for which the indemnitee is seeking indemnification, the indemnitee acted in bad faith or engaged in fraud, willful misconduct, or in the case of a criminal matter, acted with knowledge that the indemnitee’s conduct was unlawful. To the fullest extent permitted by applicable law, Chapter 8 of the TBOC shall not apply to the Registrant, any partners or any indemnitee.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indemnification provisions of the Texas Partnership Agreement purport to include indemnification for liabilities arising under the Securities Act, in the opinion of the SEC, such indemnification is contrary to public policy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also maintains insurance coverage under a policy insuring its directors and officers against certain liabilities which they may incur in their capacity as such.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16.</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7"/>
        <w:gridCol w:w="671"/>
        <w:gridCol w:w="8687"/>
      </w:tblGrid>
      <w:tr>
        <w:trPr/>
        <w:tc>
          <w:tcPr>
            <w:tcW w:w="847" w:type="dxa"/>
            <w:tcBorders/>
            <w:vAlign w:val="center"/>
          </w:tcPr>
          <w:p>
            <w:pPr>
              <w:pStyle w:val="TableContents"/>
              <w:bidi w:val="0"/>
              <w:spacing w:before="0" w:after="283"/>
              <w:jc w:val="left"/>
              <w:rPr>
                <w:sz w:val="4"/>
                <w:szCs w:val="4"/>
              </w:rPr>
            </w:pPr>
            <w:r>
              <w:rPr>
                <w:sz w:val="4"/>
                <w:szCs w:val="4"/>
              </w:rPr>
            </w:r>
          </w:p>
        </w:tc>
        <w:tc>
          <w:tcPr>
            <w:tcW w:w="671" w:type="dxa"/>
            <w:tcBorders/>
            <w:vAlign w:val="bottom"/>
          </w:tcPr>
          <w:p>
            <w:pPr>
              <w:pStyle w:val="TableContents"/>
              <w:bidi w:val="0"/>
              <w:spacing w:before="0" w:after="283"/>
              <w:jc w:val="left"/>
              <w:rPr>
                <w:sz w:val="4"/>
                <w:szCs w:val="4"/>
              </w:rPr>
            </w:pPr>
            <w:r>
              <w:rPr>
                <w:sz w:val="4"/>
                <w:szCs w:val="4"/>
              </w:rPr>
            </w:r>
          </w:p>
        </w:tc>
        <w:tc>
          <w:tcPr>
            <w:tcW w:w="8687" w:type="dxa"/>
            <w:tcBorders/>
            <w:vAlign w:val="center"/>
          </w:tcPr>
          <w:p>
            <w:pPr>
              <w:pStyle w:val="TableContents"/>
              <w:bidi w:val="0"/>
              <w:spacing w:before="0" w:after="283"/>
              <w:jc w:val="left"/>
              <w:rPr>
                <w:sz w:val="4"/>
                <w:szCs w:val="4"/>
              </w:rPr>
            </w:pPr>
            <w:r>
              <w:rPr>
                <w:sz w:val="4"/>
                <w:szCs w:val="4"/>
              </w:rPr>
            </w:r>
          </w:p>
        </w:tc>
      </w:tr>
      <w:tr>
        <w:trPr/>
        <w:tc>
          <w:tcPr>
            <w:tcW w:w="8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71" w:type="dxa"/>
            <w:tcBorders/>
            <w:vAlign w:val="bottom"/>
          </w:tcPr>
          <w:p>
            <w:pPr>
              <w:pStyle w:val="TableContents"/>
              <w:bidi w:val="0"/>
              <w:spacing w:before="0" w:after="283"/>
              <w:jc w:val="left"/>
              <w:rPr/>
            </w:pPr>
            <w:r>
              <w:rPr/>
              <w:t>  </w:t>
            </w:r>
          </w:p>
        </w:tc>
        <w:tc>
          <w:tcPr>
            <w:tcW w:w="868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 </w:t>
            </w:r>
            <w:r>
              <w:rPr/>
              <w:t>3.1</w:t>
            </w:r>
          </w:p>
        </w:tc>
        <w:tc>
          <w:tcPr>
            <w:tcW w:w="671" w:type="dxa"/>
            <w:tcBorders/>
            <w:vAlign w:val="bottom"/>
          </w:tcPr>
          <w:p>
            <w:pPr>
              <w:pStyle w:val="TableContents"/>
              <w:bidi w:val="0"/>
              <w:spacing w:before="0" w:after="283"/>
              <w:jc w:val="left"/>
              <w:rPr/>
            </w:pPr>
            <w:r>
              <w:rPr/>
              <w:t>  </w:t>
            </w:r>
          </w:p>
        </w:tc>
        <w:tc>
          <w:tcPr>
            <w:tcW w:w="8687" w:type="dxa"/>
            <w:tcBorders/>
          </w:tcPr>
          <w:p>
            <w:pPr>
              <w:pStyle w:val="TableContents"/>
              <w:bidi w:val="0"/>
              <w:spacing w:before="0" w:after="283"/>
              <w:jc w:val="left"/>
              <w:rPr/>
            </w:pPr>
            <w:hyperlink r:id="rId4">
              <w:r>
                <w:rPr>
                  <w:rStyle w:val="InternetLink"/>
                </w:rPr>
                <w:t xml:space="preserve">Certificate of Formation of Energy Transfer LP, dated as of July 6, 2026 (incorporated by reference to Exhibit 3.1 of Form 8-K12B (File No. 1-32740) filed by Energy Transfer LP on July 6, 2026)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 </w:t>
            </w:r>
            <w:r>
              <w:rPr/>
              <w:t>3.2</w:t>
            </w:r>
          </w:p>
        </w:tc>
        <w:tc>
          <w:tcPr>
            <w:tcW w:w="671" w:type="dxa"/>
            <w:tcBorders/>
            <w:vAlign w:val="bottom"/>
          </w:tcPr>
          <w:p>
            <w:pPr>
              <w:pStyle w:val="TableContents"/>
              <w:bidi w:val="0"/>
              <w:spacing w:before="0" w:after="283"/>
              <w:jc w:val="left"/>
              <w:rPr/>
            </w:pPr>
            <w:r>
              <w:rPr/>
              <w:t>  </w:t>
            </w:r>
          </w:p>
        </w:tc>
        <w:tc>
          <w:tcPr>
            <w:tcW w:w="8687" w:type="dxa"/>
            <w:tcBorders/>
          </w:tcPr>
          <w:p>
            <w:pPr>
              <w:pStyle w:val="TableContents"/>
              <w:bidi w:val="0"/>
              <w:spacing w:before="0" w:after="283"/>
              <w:jc w:val="left"/>
              <w:rPr/>
            </w:pPr>
            <w:hyperlink r:id="rId5">
              <w:r>
                <w:rPr>
                  <w:rStyle w:val="InternetLink"/>
                </w:rPr>
                <w:t xml:space="preserve">Agreement of Limited Partnership of Energy Transfer LP, dated as of July 6, 2026 (incorporated by reference to Exhibit 3.2 of Form 8-K12B (File No. 1-32740) filed by Energy Transfer LP on July 6, 2026)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 </w:t>
            </w:r>
            <w:r>
              <w:rPr/>
              <w:t>5.1*</w:t>
            </w:r>
          </w:p>
        </w:tc>
        <w:tc>
          <w:tcPr>
            <w:tcW w:w="671" w:type="dxa"/>
            <w:tcBorders/>
            <w:vAlign w:val="bottom"/>
          </w:tcPr>
          <w:p>
            <w:pPr>
              <w:pStyle w:val="TableContents"/>
              <w:bidi w:val="0"/>
              <w:spacing w:before="0" w:after="283"/>
              <w:jc w:val="left"/>
              <w:rPr/>
            </w:pPr>
            <w:r>
              <w:rPr/>
              <w:t>  </w:t>
            </w:r>
          </w:p>
        </w:tc>
        <w:tc>
          <w:tcPr>
            <w:tcW w:w="8687" w:type="dxa"/>
            <w:tcBorders/>
          </w:tcPr>
          <w:p>
            <w:pPr>
              <w:pStyle w:val="TableContents"/>
              <w:bidi w:val="0"/>
              <w:spacing w:before="0" w:after="283"/>
              <w:jc w:val="left"/>
              <w:rPr/>
            </w:pPr>
            <w:hyperlink w:anchor="d29864dex51.htm">
              <w:r>
                <w:rPr>
                  <w:rStyle w:val="InternetLink"/>
                </w:rPr>
                <w:t xml:space="preserve">Opinion of Vinson &amp; Elkins L.L.P.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23.1*</w:t>
            </w:r>
          </w:p>
        </w:tc>
        <w:tc>
          <w:tcPr>
            <w:tcW w:w="671" w:type="dxa"/>
            <w:tcBorders/>
            <w:vAlign w:val="bottom"/>
          </w:tcPr>
          <w:p>
            <w:pPr>
              <w:pStyle w:val="TableContents"/>
              <w:bidi w:val="0"/>
              <w:spacing w:before="0" w:after="283"/>
              <w:jc w:val="left"/>
              <w:rPr/>
            </w:pPr>
            <w:r>
              <w:rPr/>
              <w:t>  </w:t>
            </w:r>
          </w:p>
        </w:tc>
        <w:tc>
          <w:tcPr>
            <w:tcW w:w="8687" w:type="dxa"/>
            <w:tcBorders/>
          </w:tcPr>
          <w:p>
            <w:pPr>
              <w:pStyle w:val="TableContents"/>
              <w:bidi w:val="0"/>
              <w:spacing w:before="0" w:after="283"/>
              <w:jc w:val="left"/>
              <w:rPr/>
            </w:pPr>
            <w:hyperlink w:anchor="d29864dex51.htm">
              <w:r>
                <w:rPr>
                  <w:rStyle w:val="InternetLink"/>
                </w:rPr>
                <w:t xml:space="preserve">Consent of Vinson &amp; Elkins L.L.P. (included in Exhibit 5.1)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23.2*</w:t>
            </w:r>
          </w:p>
        </w:tc>
        <w:tc>
          <w:tcPr>
            <w:tcW w:w="671" w:type="dxa"/>
            <w:tcBorders/>
            <w:vAlign w:val="bottom"/>
          </w:tcPr>
          <w:p>
            <w:pPr>
              <w:pStyle w:val="TableContents"/>
              <w:bidi w:val="0"/>
              <w:spacing w:before="0" w:after="283"/>
              <w:jc w:val="left"/>
              <w:rPr/>
            </w:pPr>
            <w:r>
              <w:rPr/>
              <w:t>  </w:t>
            </w:r>
          </w:p>
        </w:tc>
        <w:tc>
          <w:tcPr>
            <w:tcW w:w="8687" w:type="dxa"/>
            <w:tcBorders/>
          </w:tcPr>
          <w:p>
            <w:pPr>
              <w:pStyle w:val="TableContents"/>
              <w:bidi w:val="0"/>
              <w:spacing w:before="0" w:after="283"/>
              <w:jc w:val="left"/>
              <w:rPr/>
            </w:pPr>
            <w:hyperlink w:anchor="d29864dex232.htm">
              <w:r>
                <w:rPr>
                  <w:rStyle w:val="InternetLink"/>
                </w:rPr>
                <w:t xml:space="preserve">Consent of Grant Thornton LLP, independent registered public accounting firm </w:t>
              </w:r>
            </w:hyperlink>
          </w:p>
        </w:tc>
      </w:tr>
      <w:tr>
        <w:trPr>
          <w:trHeight w:val="120" w:hRule="atLeast"/>
        </w:trPr>
        <w:tc>
          <w:tcPr>
            <w:tcW w:w="847" w:type="dxa"/>
            <w:tcBorders/>
            <w:vAlign w:val="center"/>
          </w:tcPr>
          <w:p>
            <w:pPr>
              <w:pStyle w:val="TableContents"/>
              <w:bidi w:val="0"/>
              <w:spacing w:before="0" w:after="283"/>
              <w:jc w:val="left"/>
              <w:rPr>
                <w:sz w:val="4"/>
                <w:szCs w:val="4"/>
              </w:rPr>
            </w:pPr>
            <w:r>
              <w:rPr>
                <w:sz w:val="4"/>
                <w:szCs w:val="4"/>
              </w:rPr>
            </w:r>
          </w:p>
        </w:tc>
        <w:tc>
          <w:tcPr>
            <w:tcW w:w="9358" w:type="dxa"/>
            <w:gridSpan w:val="2"/>
            <w:tcBorders/>
            <w:vAlign w:val="center"/>
          </w:tcPr>
          <w:p>
            <w:pPr>
              <w:pStyle w:val="TableContents"/>
              <w:bidi w:val="0"/>
              <w:spacing w:before="0" w:after="283"/>
              <w:jc w:val="left"/>
              <w:rPr>
                <w:sz w:val="4"/>
                <w:szCs w:val="4"/>
              </w:rPr>
            </w:pPr>
            <w:r>
              <w:rPr>
                <w:sz w:val="4"/>
                <w:szCs w:val="4"/>
              </w:rPr>
            </w:r>
          </w:p>
        </w:tc>
      </w:tr>
      <w:tr>
        <w:trPr/>
        <w:tc>
          <w:tcPr>
            <w:tcW w:w="847" w:type="dxa"/>
            <w:tcBorders/>
          </w:tcPr>
          <w:p>
            <w:pPr>
              <w:pStyle w:val="TableContents"/>
              <w:bidi w:val="0"/>
              <w:spacing w:before="0" w:after="283"/>
              <w:jc w:val="left"/>
              <w:rPr/>
            </w:pPr>
            <w:r>
              <w:rPr/>
              <w:t>24.1*</w:t>
            </w:r>
          </w:p>
        </w:tc>
        <w:tc>
          <w:tcPr>
            <w:tcW w:w="671" w:type="dxa"/>
            <w:tcBorders/>
            <w:vAlign w:val="bottom"/>
          </w:tcPr>
          <w:p>
            <w:pPr>
              <w:pStyle w:val="TableContents"/>
              <w:bidi w:val="0"/>
              <w:spacing w:before="0" w:after="283"/>
              <w:jc w:val="left"/>
              <w:rPr/>
            </w:pPr>
            <w:r>
              <w:rPr/>
              <w:t>  </w:t>
            </w:r>
          </w:p>
        </w:tc>
        <w:tc>
          <w:tcPr>
            <w:tcW w:w="8687" w:type="dxa"/>
            <w:tcBorders/>
          </w:tcPr>
          <w:p>
            <w:pPr>
              <w:pStyle w:val="TableContents"/>
              <w:bidi w:val="0"/>
              <w:spacing w:before="0" w:after="283"/>
              <w:jc w:val="left"/>
              <w:rPr/>
            </w:pPr>
            <w:hyperlink w:anchor="ii29864_1">
              <w:r>
                <w:rPr>
                  <w:rStyle w:val="InternetLink"/>
                </w:rPr>
                <w:t xml:space="preserve">Powers of Attorney (incorporated by reference to the signature pages hereto)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17.</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2"/>
        <w:gridCol w:w="8883"/>
      </w:tblGrid>
      <w:tr>
        <w:trPr/>
        <w:tc>
          <w:tcPr>
            <w:tcW w:w="1322" w:type="dxa"/>
            <w:tcBorders/>
            <w:vAlign w:val="center"/>
          </w:tcPr>
          <w:p>
            <w:pPr>
              <w:pStyle w:val="TableContents"/>
              <w:bidi w:val="0"/>
              <w:spacing w:before="0" w:after="283"/>
              <w:jc w:val="left"/>
              <w:rPr/>
            </w:pPr>
            <w:r>
              <w:rPr/>
              <w:t> </w:t>
            </w:r>
          </w:p>
        </w:tc>
        <w:tc>
          <w:tcPr>
            <w:tcW w:w="8883" w:type="dxa"/>
            <w:tcBorders/>
          </w:tcPr>
          <w:p>
            <w:pPr>
              <w:pStyle w:val="TableContents"/>
              <w:bidi w:val="0"/>
              <w:spacing w:before="0" w:after="283"/>
              <w:jc w:val="left"/>
              <w:rPr/>
            </w:pPr>
            <w:r>
              <w:rPr/>
              <w:t xml:space="preserve">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(a)(1)(ii) and (a)(1)(iii) above do not apply if the registration statement is on Form S-3 and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a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ii29864_1"/>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Dallas, Texas, on July 17,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ENERGY TRANSFER LP</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LE GP, LLC, its general partner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Dylan A. Bramhall</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Dylan A. Bramhall</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Executive Vice President and Group Chief Financial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hereby constitutes and appoints Thomas E. Long, James M. Wright, Jr. and William J. Healy, and each of them, any of whom may act without the joinder of the other, as his true and lawful attorneys-in-fact and agents, with full power of substitution and resubstitution for him in any and all capacities, to sign any or all amendments or post-effective amendments to this registration statement, and to file the same, with exhibits hereto and other documents in connection therewith or in connection with the registration of the securities under the Securities Act of 1933, as amended, with the Securities and Exchange Commission, granting unto such attorneys-in-fact and agents full power and authority to do and perform each and every act and thing requisite and necessary in connection with such matters and hereby ratifying and confirming all that such attorneys-in-fact and agents or his substitutes may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indicated, which are with LE GP, LLC, the general partner of Energy Transfer LP, on July 17,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58"/>
        <w:gridCol w:w="125"/>
        <w:gridCol w:w="6122"/>
      </w:tblGrid>
      <w:tr>
        <w:trPr/>
        <w:tc>
          <w:tcPr>
            <w:tcW w:w="395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122" w:type="dxa"/>
            <w:tcBorders/>
            <w:vAlign w:val="center"/>
          </w:tcPr>
          <w:p>
            <w:pPr>
              <w:pStyle w:val="TableContents"/>
              <w:bidi w:val="0"/>
              <w:spacing w:before="0" w:after="283"/>
              <w:jc w:val="left"/>
              <w:rPr>
                <w:sz w:val="4"/>
                <w:szCs w:val="4"/>
              </w:rPr>
            </w:pPr>
            <w:r>
              <w:rPr>
                <w:sz w:val="4"/>
                <w:szCs w:val="4"/>
              </w:rPr>
            </w:r>
          </w:p>
        </w:tc>
      </w:tr>
      <w:tr>
        <w:trPr/>
        <w:tc>
          <w:tcPr>
            <w:tcW w:w="395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5" w:type="dxa"/>
            <w:tcBorders/>
            <w:vAlign w:val="bottom"/>
          </w:tcPr>
          <w:p>
            <w:pPr>
              <w:pStyle w:val="TableContents"/>
              <w:bidi w:val="0"/>
              <w:spacing w:before="0" w:after="283"/>
              <w:jc w:val="left"/>
              <w:rPr/>
            </w:pPr>
            <w:r>
              <w:rPr/>
              <w:t>  </w:t>
            </w:r>
          </w:p>
        </w:tc>
        <w:tc>
          <w:tcPr>
            <w:tcW w:w="612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3958" w:type="dxa"/>
            <w:tcBorders/>
            <w:vAlign w:val="center"/>
          </w:tcPr>
          <w:p>
            <w:pPr>
              <w:pStyle w:val="TableContents"/>
              <w:bidi w:val="0"/>
              <w:spacing w:before="0" w:after="283"/>
              <w:jc w:val="left"/>
              <w:rPr>
                <w:sz w:val="4"/>
                <w:szCs w:val="4"/>
              </w:rPr>
            </w:pPr>
            <w:r>
              <w:rPr>
                <w:sz w:val="4"/>
                <w:szCs w:val="4"/>
              </w:rPr>
            </w:r>
          </w:p>
        </w:tc>
        <w:tc>
          <w:tcPr>
            <w:tcW w:w="6247" w:type="dxa"/>
            <w:gridSpan w:val="2"/>
            <w:tcBorders/>
            <w:vAlign w:val="center"/>
          </w:tcPr>
          <w:p>
            <w:pPr>
              <w:pStyle w:val="TableContents"/>
              <w:bidi w:val="0"/>
              <w:spacing w:before="0" w:after="283"/>
              <w:jc w:val="left"/>
              <w:rPr>
                <w:sz w:val="4"/>
                <w:szCs w:val="4"/>
              </w:rPr>
            </w:pPr>
            <w:r>
              <w:rPr>
                <w:sz w:val="4"/>
                <w:szCs w:val="4"/>
              </w:rPr>
            </w:r>
          </w:p>
        </w:tc>
      </w:tr>
      <w:tr>
        <w:trPr/>
        <w:tc>
          <w:tcPr>
            <w:tcW w:w="395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Kelcy L. Warren</w:t>
            </w:r>
          </w:p>
          <w:p>
            <w:pPr>
              <w:pStyle w:val="TableContents"/>
              <w:bidi w:val="0"/>
              <w:spacing w:before="0" w:after="20"/>
              <w:jc w:val="center"/>
              <w:rPr>
                <w:rFonts w:ascii="Times New Roman" w:hAnsi="Times New Roman"/>
                <w:sz w:val="20"/>
              </w:rPr>
            </w:pPr>
            <w:r>
              <w:rPr>
                <w:rFonts w:ascii="Times New Roman" w:hAnsi="Times New Roman"/>
                <w:sz w:val="20"/>
              </w:rPr>
              <w:t>Kelcy L. Warren</w:t>
            </w:r>
          </w:p>
        </w:tc>
        <w:tc>
          <w:tcPr>
            <w:tcW w:w="125" w:type="dxa"/>
            <w:tcBorders/>
            <w:vAlign w:val="bottom"/>
          </w:tcPr>
          <w:p>
            <w:pPr>
              <w:pStyle w:val="TableContents"/>
              <w:bidi w:val="0"/>
              <w:spacing w:before="0" w:after="283"/>
              <w:jc w:val="left"/>
              <w:rPr/>
            </w:pPr>
            <w:r>
              <w:rPr/>
              <w:t>  </w:t>
            </w:r>
          </w:p>
        </w:tc>
        <w:tc>
          <w:tcPr>
            <w:tcW w:w="6122" w:type="dxa"/>
            <w:tcBorders/>
          </w:tcPr>
          <w:p>
            <w:pPr>
              <w:pStyle w:val="TableContents"/>
              <w:bidi w:val="0"/>
              <w:spacing w:before="0" w:after="283"/>
              <w:jc w:val="center"/>
              <w:rPr/>
            </w:pPr>
            <w:r>
              <w:rPr/>
              <w:t>Executive Chairman</w:t>
            </w:r>
          </w:p>
        </w:tc>
      </w:tr>
      <w:tr>
        <w:trPr>
          <w:trHeight w:val="240" w:hRule="atLeast"/>
        </w:trPr>
        <w:tc>
          <w:tcPr>
            <w:tcW w:w="3958" w:type="dxa"/>
            <w:tcBorders/>
            <w:vAlign w:val="center"/>
          </w:tcPr>
          <w:p>
            <w:pPr>
              <w:pStyle w:val="TableContents"/>
              <w:bidi w:val="0"/>
              <w:spacing w:before="0" w:after="283"/>
              <w:jc w:val="left"/>
              <w:rPr>
                <w:sz w:val="4"/>
                <w:szCs w:val="4"/>
              </w:rPr>
            </w:pPr>
            <w:r>
              <w:rPr>
                <w:sz w:val="4"/>
                <w:szCs w:val="4"/>
              </w:rPr>
            </w:r>
          </w:p>
        </w:tc>
        <w:tc>
          <w:tcPr>
            <w:tcW w:w="6247" w:type="dxa"/>
            <w:gridSpan w:val="2"/>
            <w:tcBorders/>
            <w:vAlign w:val="center"/>
          </w:tcPr>
          <w:p>
            <w:pPr>
              <w:pStyle w:val="TableContents"/>
              <w:bidi w:val="0"/>
              <w:spacing w:before="0" w:after="283"/>
              <w:jc w:val="left"/>
              <w:rPr>
                <w:sz w:val="4"/>
                <w:szCs w:val="4"/>
              </w:rPr>
            </w:pPr>
            <w:r>
              <w:rPr>
                <w:sz w:val="4"/>
                <w:szCs w:val="4"/>
              </w:rPr>
            </w:r>
          </w:p>
        </w:tc>
      </w:tr>
      <w:tr>
        <w:trPr/>
        <w:tc>
          <w:tcPr>
            <w:tcW w:w="395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Thomas E. Long</w:t>
            </w:r>
          </w:p>
          <w:p>
            <w:pPr>
              <w:pStyle w:val="TableContents"/>
              <w:bidi w:val="0"/>
              <w:spacing w:before="0" w:after="20"/>
              <w:jc w:val="center"/>
              <w:rPr>
                <w:rFonts w:ascii="Times New Roman" w:hAnsi="Times New Roman"/>
                <w:sz w:val="20"/>
              </w:rPr>
            </w:pPr>
            <w:r>
              <w:rPr>
                <w:rFonts w:ascii="Times New Roman" w:hAnsi="Times New Roman"/>
                <w:sz w:val="20"/>
              </w:rPr>
              <w:t>Thomas E. Long</w:t>
            </w:r>
          </w:p>
        </w:tc>
        <w:tc>
          <w:tcPr>
            <w:tcW w:w="125" w:type="dxa"/>
            <w:tcBorders/>
            <w:vAlign w:val="bottom"/>
          </w:tcPr>
          <w:p>
            <w:pPr>
              <w:pStyle w:val="TableContents"/>
              <w:bidi w:val="0"/>
              <w:spacing w:before="0" w:after="283"/>
              <w:jc w:val="left"/>
              <w:rPr/>
            </w:pPr>
            <w:r>
              <w:rPr/>
              <w:t>  </w:t>
            </w:r>
          </w:p>
        </w:tc>
        <w:tc>
          <w:tcPr>
            <w:tcW w:w="6122" w:type="dxa"/>
            <w:tcBorders/>
          </w:tcPr>
          <w:p>
            <w:pPr>
              <w:pStyle w:val="TableContents"/>
              <w:bidi w:val="0"/>
              <w:spacing w:before="0" w:after="0"/>
              <w:jc w:val="center"/>
              <w:rPr>
                <w:rFonts w:ascii="Times New Roman" w:hAnsi="Times New Roman"/>
                <w:sz w:val="20"/>
              </w:rPr>
            </w:pPr>
            <w:r>
              <w:rPr>
                <w:rFonts w:ascii="Times New Roman" w:hAnsi="Times New Roman"/>
                <w:sz w:val="20"/>
              </w:rPr>
              <w:t>Co-Chief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(Co-Principal Executive Officer)</w:t>
            </w:r>
          </w:p>
        </w:tc>
      </w:tr>
      <w:tr>
        <w:trPr>
          <w:trHeight w:val="240" w:hRule="atLeast"/>
        </w:trPr>
        <w:tc>
          <w:tcPr>
            <w:tcW w:w="3958" w:type="dxa"/>
            <w:tcBorders/>
            <w:vAlign w:val="center"/>
          </w:tcPr>
          <w:p>
            <w:pPr>
              <w:pStyle w:val="TableContents"/>
              <w:bidi w:val="0"/>
              <w:spacing w:before="0" w:after="283"/>
              <w:jc w:val="left"/>
              <w:rPr>
                <w:sz w:val="4"/>
                <w:szCs w:val="4"/>
              </w:rPr>
            </w:pPr>
            <w:r>
              <w:rPr>
                <w:sz w:val="4"/>
                <w:szCs w:val="4"/>
              </w:rPr>
            </w:r>
          </w:p>
        </w:tc>
        <w:tc>
          <w:tcPr>
            <w:tcW w:w="6247" w:type="dxa"/>
            <w:gridSpan w:val="2"/>
            <w:tcBorders/>
            <w:vAlign w:val="center"/>
          </w:tcPr>
          <w:p>
            <w:pPr>
              <w:pStyle w:val="TableContents"/>
              <w:bidi w:val="0"/>
              <w:spacing w:before="0" w:after="283"/>
              <w:jc w:val="left"/>
              <w:rPr>
                <w:sz w:val="4"/>
                <w:szCs w:val="4"/>
              </w:rPr>
            </w:pPr>
            <w:r>
              <w:rPr>
                <w:sz w:val="4"/>
                <w:szCs w:val="4"/>
              </w:rPr>
            </w:r>
          </w:p>
        </w:tc>
      </w:tr>
      <w:tr>
        <w:trPr/>
        <w:tc>
          <w:tcPr>
            <w:tcW w:w="395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Marshall S. McCrea, III</w:t>
            </w:r>
          </w:p>
          <w:p>
            <w:pPr>
              <w:pStyle w:val="TableContents"/>
              <w:bidi w:val="0"/>
              <w:spacing w:before="0" w:after="20"/>
              <w:jc w:val="center"/>
              <w:rPr>
                <w:rFonts w:ascii="Times New Roman" w:hAnsi="Times New Roman"/>
                <w:sz w:val="20"/>
              </w:rPr>
            </w:pPr>
            <w:r>
              <w:rPr>
                <w:rFonts w:ascii="Times New Roman" w:hAnsi="Times New Roman"/>
                <w:sz w:val="20"/>
              </w:rPr>
              <w:t>Marshall S. McCrea, III</w:t>
            </w:r>
          </w:p>
        </w:tc>
        <w:tc>
          <w:tcPr>
            <w:tcW w:w="125" w:type="dxa"/>
            <w:tcBorders/>
            <w:vAlign w:val="bottom"/>
          </w:tcPr>
          <w:p>
            <w:pPr>
              <w:pStyle w:val="TableContents"/>
              <w:bidi w:val="0"/>
              <w:spacing w:before="0" w:after="283"/>
              <w:jc w:val="left"/>
              <w:rPr/>
            </w:pPr>
            <w:r>
              <w:rPr/>
              <w:t>  </w:t>
            </w:r>
          </w:p>
        </w:tc>
        <w:tc>
          <w:tcPr>
            <w:tcW w:w="6122" w:type="dxa"/>
            <w:tcBorders/>
          </w:tcPr>
          <w:p>
            <w:pPr>
              <w:pStyle w:val="TableContents"/>
              <w:bidi w:val="0"/>
              <w:spacing w:before="0" w:after="0"/>
              <w:jc w:val="center"/>
              <w:rPr>
                <w:rFonts w:ascii="Times New Roman" w:hAnsi="Times New Roman"/>
                <w:sz w:val="20"/>
              </w:rPr>
            </w:pPr>
            <w:r>
              <w:rPr>
                <w:rFonts w:ascii="Times New Roman" w:hAnsi="Times New Roman"/>
                <w:sz w:val="20"/>
              </w:rPr>
              <w:t>Co-Chief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(Co-Principal Executive Officer)</w:t>
            </w:r>
          </w:p>
        </w:tc>
      </w:tr>
      <w:tr>
        <w:trPr>
          <w:trHeight w:val="240" w:hRule="atLeast"/>
        </w:trPr>
        <w:tc>
          <w:tcPr>
            <w:tcW w:w="3958" w:type="dxa"/>
            <w:tcBorders/>
            <w:vAlign w:val="center"/>
          </w:tcPr>
          <w:p>
            <w:pPr>
              <w:pStyle w:val="TableContents"/>
              <w:bidi w:val="0"/>
              <w:spacing w:before="0" w:after="283"/>
              <w:jc w:val="left"/>
              <w:rPr>
                <w:sz w:val="4"/>
                <w:szCs w:val="4"/>
              </w:rPr>
            </w:pPr>
            <w:r>
              <w:rPr>
                <w:sz w:val="4"/>
                <w:szCs w:val="4"/>
              </w:rPr>
            </w:r>
          </w:p>
        </w:tc>
        <w:tc>
          <w:tcPr>
            <w:tcW w:w="6247" w:type="dxa"/>
            <w:gridSpan w:val="2"/>
            <w:tcBorders/>
            <w:vAlign w:val="center"/>
          </w:tcPr>
          <w:p>
            <w:pPr>
              <w:pStyle w:val="TableContents"/>
              <w:bidi w:val="0"/>
              <w:spacing w:before="0" w:after="283"/>
              <w:jc w:val="left"/>
              <w:rPr>
                <w:sz w:val="4"/>
                <w:szCs w:val="4"/>
              </w:rPr>
            </w:pPr>
            <w:r>
              <w:rPr>
                <w:sz w:val="4"/>
                <w:szCs w:val="4"/>
              </w:rPr>
            </w:r>
          </w:p>
        </w:tc>
      </w:tr>
      <w:tr>
        <w:trPr/>
        <w:tc>
          <w:tcPr>
            <w:tcW w:w="395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Dylan A. Bramhall</w:t>
            </w:r>
          </w:p>
          <w:p>
            <w:pPr>
              <w:pStyle w:val="TableContents"/>
              <w:bidi w:val="0"/>
              <w:spacing w:before="0" w:after="20"/>
              <w:jc w:val="center"/>
              <w:rPr>
                <w:rFonts w:ascii="Times New Roman" w:hAnsi="Times New Roman"/>
                <w:sz w:val="20"/>
              </w:rPr>
            </w:pPr>
            <w:r>
              <w:rPr>
                <w:rFonts w:ascii="Times New Roman" w:hAnsi="Times New Roman"/>
                <w:sz w:val="20"/>
              </w:rPr>
              <w:t>Dylan A. Bramhall</w:t>
            </w:r>
          </w:p>
        </w:tc>
        <w:tc>
          <w:tcPr>
            <w:tcW w:w="125" w:type="dxa"/>
            <w:tcBorders/>
            <w:vAlign w:val="bottom"/>
          </w:tcPr>
          <w:p>
            <w:pPr>
              <w:pStyle w:val="TableContents"/>
              <w:bidi w:val="0"/>
              <w:spacing w:before="0" w:after="283"/>
              <w:jc w:val="left"/>
              <w:rPr/>
            </w:pPr>
            <w:r>
              <w:rPr/>
              <w:t>  </w:t>
            </w:r>
          </w:p>
        </w:tc>
        <w:tc>
          <w:tcPr>
            <w:tcW w:w="6122" w:type="dxa"/>
            <w:tcBorders/>
          </w:tcPr>
          <w:p>
            <w:pPr>
              <w:pStyle w:val="TableContents"/>
              <w:bidi w:val="0"/>
              <w:spacing w:before="0" w:after="0"/>
              <w:jc w:val="center"/>
              <w:rPr>
                <w:rFonts w:ascii="Times New Roman" w:hAnsi="Times New Roman"/>
                <w:sz w:val="20"/>
              </w:rPr>
            </w:pPr>
            <w:r>
              <w:rPr>
                <w:rFonts w:ascii="Times New Roman" w:hAnsi="Times New Roman"/>
                <w:sz w:val="20"/>
              </w:rPr>
              <w:t>Executive Vice President and Group 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w:t>
            </w:r>
          </w:p>
        </w:tc>
      </w:tr>
      <w:tr>
        <w:trPr>
          <w:trHeight w:val="240" w:hRule="atLeast"/>
        </w:trPr>
        <w:tc>
          <w:tcPr>
            <w:tcW w:w="3958" w:type="dxa"/>
            <w:tcBorders/>
            <w:vAlign w:val="center"/>
          </w:tcPr>
          <w:p>
            <w:pPr>
              <w:pStyle w:val="TableContents"/>
              <w:bidi w:val="0"/>
              <w:spacing w:before="0" w:after="283"/>
              <w:jc w:val="left"/>
              <w:rPr>
                <w:sz w:val="4"/>
                <w:szCs w:val="4"/>
              </w:rPr>
            </w:pPr>
            <w:r>
              <w:rPr>
                <w:sz w:val="4"/>
                <w:szCs w:val="4"/>
              </w:rPr>
            </w:r>
          </w:p>
        </w:tc>
        <w:tc>
          <w:tcPr>
            <w:tcW w:w="6247" w:type="dxa"/>
            <w:gridSpan w:val="2"/>
            <w:tcBorders/>
            <w:vAlign w:val="center"/>
          </w:tcPr>
          <w:p>
            <w:pPr>
              <w:pStyle w:val="TableContents"/>
              <w:bidi w:val="0"/>
              <w:spacing w:before="0" w:after="283"/>
              <w:jc w:val="left"/>
              <w:rPr>
                <w:sz w:val="4"/>
                <w:szCs w:val="4"/>
              </w:rPr>
            </w:pPr>
            <w:r>
              <w:rPr>
                <w:sz w:val="4"/>
                <w:szCs w:val="4"/>
              </w:rPr>
            </w:r>
          </w:p>
        </w:tc>
      </w:tr>
      <w:tr>
        <w:trPr/>
        <w:tc>
          <w:tcPr>
            <w:tcW w:w="395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 Troy Sturrock</w:t>
            </w:r>
          </w:p>
          <w:p>
            <w:pPr>
              <w:pStyle w:val="TableContents"/>
              <w:bidi w:val="0"/>
              <w:spacing w:before="0" w:after="20"/>
              <w:jc w:val="center"/>
              <w:rPr>
                <w:rFonts w:ascii="Times New Roman" w:hAnsi="Times New Roman"/>
                <w:sz w:val="20"/>
              </w:rPr>
            </w:pPr>
            <w:r>
              <w:rPr>
                <w:rFonts w:ascii="Times New Roman" w:hAnsi="Times New Roman"/>
                <w:sz w:val="20"/>
              </w:rPr>
              <w:t>A. Troy Sturrock</w:t>
            </w:r>
          </w:p>
        </w:tc>
        <w:tc>
          <w:tcPr>
            <w:tcW w:w="125" w:type="dxa"/>
            <w:tcBorders/>
            <w:vAlign w:val="bottom"/>
          </w:tcPr>
          <w:p>
            <w:pPr>
              <w:pStyle w:val="TableContents"/>
              <w:bidi w:val="0"/>
              <w:spacing w:before="0" w:after="283"/>
              <w:jc w:val="left"/>
              <w:rPr/>
            </w:pPr>
            <w:r>
              <w:rPr/>
              <w:t>  </w:t>
            </w:r>
          </w:p>
        </w:tc>
        <w:tc>
          <w:tcPr>
            <w:tcW w:w="6122" w:type="dxa"/>
            <w:tcBorders/>
          </w:tcPr>
          <w:p>
            <w:pPr>
              <w:pStyle w:val="TableContents"/>
              <w:bidi w:val="0"/>
              <w:spacing w:before="0" w:after="0"/>
              <w:jc w:val="center"/>
              <w:rPr>
                <w:rFonts w:ascii="Times New Roman" w:hAnsi="Times New Roman"/>
                <w:sz w:val="20"/>
              </w:rPr>
            </w:pPr>
            <w:r>
              <w:rPr>
                <w:rFonts w:ascii="Times New Roman" w:hAnsi="Times New Roman"/>
                <w:sz w:val="20"/>
              </w:rPr>
              <w:t>Group Senior Vice President and Controller</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r>
      <w:tr>
        <w:trPr>
          <w:trHeight w:val="240" w:hRule="atLeast"/>
        </w:trPr>
        <w:tc>
          <w:tcPr>
            <w:tcW w:w="3958" w:type="dxa"/>
            <w:tcBorders/>
            <w:vAlign w:val="center"/>
          </w:tcPr>
          <w:p>
            <w:pPr>
              <w:pStyle w:val="TableContents"/>
              <w:bidi w:val="0"/>
              <w:spacing w:before="0" w:after="283"/>
              <w:jc w:val="left"/>
              <w:rPr>
                <w:sz w:val="4"/>
                <w:szCs w:val="4"/>
              </w:rPr>
            </w:pPr>
            <w:r>
              <w:rPr>
                <w:sz w:val="4"/>
                <w:szCs w:val="4"/>
              </w:rPr>
            </w:r>
          </w:p>
        </w:tc>
        <w:tc>
          <w:tcPr>
            <w:tcW w:w="6247" w:type="dxa"/>
            <w:gridSpan w:val="2"/>
            <w:tcBorders/>
            <w:vAlign w:val="center"/>
          </w:tcPr>
          <w:p>
            <w:pPr>
              <w:pStyle w:val="TableContents"/>
              <w:bidi w:val="0"/>
              <w:spacing w:before="0" w:after="283"/>
              <w:jc w:val="left"/>
              <w:rPr>
                <w:sz w:val="4"/>
                <w:szCs w:val="4"/>
              </w:rPr>
            </w:pPr>
            <w:r>
              <w:rPr>
                <w:sz w:val="4"/>
                <w:szCs w:val="4"/>
              </w:rPr>
            </w:r>
          </w:p>
        </w:tc>
      </w:tr>
      <w:tr>
        <w:trPr/>
        <w:tc>
          <w:tcPr>
            <w:tcW w:w="395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Steven R. Anderson</w:t>
            </w:r>
          </w:p>
          <w:p>
            <w:pPr>
              <w:pStyle w:val="TableContents"/>
              <w:bidi w:val="0"/>
              <w:spacing w:before="0" w:after="20"/>
              <w:jc w:val="center"/>
              <w:rPr>
                <w:rFonts w:ascii="Times New Roman" w:hAnsi="Times New Roman"/>
                <w:sz w:val="20"/>
              </w:rPr>
            </w:pPr>
            <w:r>
              <w:rPr>
                <w:rFonts w:ascii="Times New Roman" w:hAnsi="Times New Roman"/>
                <w:sz w:val="20"/>
              </w:rPr>
              <w:t>Steven R. Anderson</w:t>
            </w:r>
          </w:p>
        </w:tc>
        <w:tc>
          <w:tcPr>
            <w:tcW w:w="125" w:type="dxa"/>
            <w:tcBorders/>
            <w:vAlign w:val="bottom"/>
          </w:tcPr>
          <w:p>
            <w:pPr>
              <w:pStyle w:val="TableContents"/>
              <w:bidi w:val="0"/>
              <w:spacing w:before="0" w:after="283"/>
              <w:jc w:val="left"/>
              <w:rPr/>
            </w:pPr>
            <w:r>
              <w:rPr/>
              <w:t>  </w:t>
            </w:r>
          </w:p>
        </w:tc>
        <w:tc>
          <w:tcPr>
            <w:tcW w:w="6122" w:type="dxa"/>
            <w:tcBorders/>
          </w:tcPr>
          <w:p>
            <w:pPr>
              <w:pStyle w:val="TableContents"/>
              <w:bidi w:val="0"/>
              <w:spacing w:before="0" w:after="283"/>
              <w:jc w:val="center"/>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14"/>
        <w:gridCol w:w="123"/>
        <w:gridCol w:w="6068"/>
      </w:tblGrid>
      <w:tr>
        <w:trPr/>
        <w:tc>
          <w:tcPr>
            <w:tcW w:w="401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68" w:type="dxa"/>
            <w:tcBorders/>
            <w:vAlign w:val="center"/>
          </w:tcPr>
          <w:p>
            <w:pPr>
              <w:pStyle w:val="TableContents"/>
              <w:bidi w:val="0"/>
              <w:spacing w:before="0" w:after="283"/>
              <w:jc w:val="left"/>
              <w:rPr>
                <w:sz w:val="4"/>
                <w:szCs w:val="4"/>
              </w:rPr>
            </w:pPr>
            <w:r>
              <w:rPr>
                <w:sz w:val="4"/>
                <w:szCs w:val="4"/>
              </w:rPr>
            </w:r>
          </w:p>
        </w:tc>
      </w:tr>
      <w:tr>
        <w:trPr/>
        <w:tc>
          <w:tcPr>
            <w:tcW w:w="401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3" w:type="dxa"/>
            <w:tcBorders/>
            <w:vAlign w:val="bottom"/>
          </w:tcPr>
          <w:p>
            <w:pPr>
              <w:pStyle w:val="TableContents"/>
              <w:bidi w:val="0"/>
              <w:spacing w:before="0" w:after="283"/>
              <w:jc w:val="left"/>
              <w:rPr/>
            </w:pPr>
            <w:r>
              <w:rPr/>
              <w:t>  </w:t>
            </w:r>
          </w:p>
        </w:tc>
        <w:tc>
          <w:tcPr>
            <w:tcW w:w="60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c>
          <w:tcPr>
            <w:tcW w:w="4014" w:type="dxa"/>
            <w:tcBorders/>
          </w:tcPr>
          <w:p>
            <w:pPr>
              <w:pStyle w:val="TableContents"/>
              <w:bidi w:val="0"/>
              <w:spacing w:before="0" w:after="0"/>
              <w:jc w:val="left"/>
              <w:rPr/>
            </w:pPr>
            <w:r>
              <w:rPr/>
              <w:t> </w:t>
            </w:r>
          </w:p>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Michael K. Grimm</w:t>
            </w:r>
          </w:p>
          <w:p>
            <w:pPr>
              <w:pStyle w:val="TableContents"/>
              <w:bidi w:val="0"/>
              <w:spacing w:before="0" w:after="20"/>
              <w:jc w:val="center"/>
              <w:rPr>
                <w:rFonts w:ascii="Times New Roman" w:hAnsi="Times New Roman"/>
                <w:sz w:val="20"/>
              </w:rPr>
            </w:pPr>
            <w:r>
              <w:rPr>
                <w:rFonts w:ascii="Times New Roman" w:hAnsi="Times New Roman"/>
                <w:sz w:val="20"/>
              </w:rPr>
              <w:t>Michael K. Grimm</w:t>
            </w:r>
          </w:p>
        </w:tc>
        <w:tc>
          <w:tcPr>
            <w:tcW w:w="123" w:type="dxa"/>
            <w:tcBorders/>
            <w:vAlign w:val="bottom"/>
          </w:tcPr>
          <w:p>
            <w:pPr>
              <w:pStyle w:val="TableContents"/>
              <w:bidi w:val="0"/>
              <w:spacing w:before="0" w:after="283"/>
              <w:jc w:val="left"/>
              <w:rPr/>
            </w:pPr>
            <w:r>
              <w:rPr/>
              <w:t>  </w:t>
            </w:r>
          </w:p>
        </w:tc>
        <w:tc>
          <w:tcPr>
            <w:tcW w:w="6068" w:type="dxa"/>
            <w:tcBorders/>
          </w:tcPr>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Director</w:t>
            </w:r>
          </w:p>
        </w:tc>
      </w:tr>
      <w:tr>
        <w:trPr>
          <w:trHeight w:val="240" w:hRule="atLeast"/>
        </w:trPr>
        <w:tc>
          <w:tcPr>
            <w:tcW w:w="4014" w:type="dxa"/>
            <w:tcBorders/>
            <w:vAlign w:val="center"/>
          </w:tcPr>
          <w:p>
            <w:pPr>
              <w:pStyle w:val="TableContents"/>
              <w:bidi w:val="0"/>
              <w:spacing w:before="0" w:after="283"/>
              <w:jc w:val="left"/>
              <w:rPr>
                <w:sz w:val="4"/>
                <w:szCs w:val="4"/>
              </w:rPr>
            </w:pPr>
            <w:r>
              <w:rPr>
                <w:sz w:val="4"/>
                <w:szCs w:val="4"/>
              </w:rPr>
            </w:r>
          </w:p>
        </w:tc>
        <w:tc>
          <w:tcPr>
            <w:tcW w:w="6191" w:type="dxa"/>
            <w:gridSpan w:val="2"/>
            <w:tcBorders/>
            <w:vAlign w:val="center"/>
          </w:tcPr>
          <w:p>
            <w:pPr>
              <w:pStyle w:val="TableContents"/>
              <w:bidi w:val="0"/>
              <w:spacing w:before="0" w:after="283"/>
              <w:jc w:val="left"/>
              <w:rPr>
                <w:sz w:val="4"/>
                <w:szCs w:val="4"/>
              </w:rPr>
            </w:pPr>
            <w:r>
              <w:rPr>
                <w:sz w:val="4"/>
                <w:szCs w:val="4"/>
              </w:rPr>
            </w:r>
          </w:p>
        </w:tc>
      </w:tr>
      <w:tr>
        <w:trPr/>
        <w:tc>
          <w:tcPr>
            <w:tcW w:w="401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John W. McReynolds</w:t>
            </w:r>
          </w:p>
          <w:p>
            <w:pPr>
              <w:pStyle w:val="TableContents"/>
              <w:bidi w:val="0"/>
              <w:spacing w:before="0" w:after="20"/>
              <w:jc w:val="center"/>
              <w:rPr>
                <w:rFonts w:ascii="Times New Roman" w:hAnsi="Times New Roman"/>
                <w:sz w:val="20"/>
              </w:rPr>
            </w:pPr>
            <w:r>
              <w:rPr>
                <w:rFonts w:ascii="Times New Roman" w:hAnsi="Times New Roman"/>
                <w:sz w:val="20"/>
              </w:rPr>
              <w:t>John W. McReynolds</w:t>
            </w:r>
          </w:p>
        </w:tc>
        <w:tc>
          <w:tcPr>
            <w:tcW w:w="123" w:type="dxa"/>
            <w:tcBorders/>
            <w:vAlign w:val="bottom"/>
          </w:tcPr>
          <w:p>
            <w:pPr>
              <w:pStyle w:val="TableContents"/>
              <w:bidi w:val="0"/>
              <w:spacing w:before="0" w:after="283"/>
              <w:jc w:val="left"/>
              <w:rPr/>
            </w:pPr>
            <w:r>
              <w:rPr/>
              <w:t>  </w:t>
            </w:r>
          </w:p>
        </w:tc>
        <w:tc>
          <w:tcPr>
            <w:tcW w:w="6068" w:type="dxa"/>
            <w:tcBorders/>
          </w:tcPr>
          <w:p>
            <w:pPr>
              <w:pStyle w:val="TableContents"/>
              <w:bidi w:val="0"/>
              <w:spacing w:before="0" w:after="283"/>
              <w:jc w:val="center"/>
              <w:rPr/>
            </w:pPr>
            <w:r>
              <w:rPr/>
              <w:t>Director</w:t>
            </w:r>
          </w:p>
        </w:tc>
      </w:tr>
      <w:tr>
        <w:trPr>
          <w:trHeight w:val="240" w:hRule="atLeast"/>
        </w:trPr>
        <w:tc>
          <w:tcPr>
            <w:tcW w:w="4014" w:type="dxa"/>
            <w:tcBorders/>
            <w:vAlign w:val="center"/>
          </w:tcPr>
          <w:p>
            <w:pPr>
              <w:pStyle w:val="TableContents"/>
              <w:bidi w:val="0"/>
              <w:spacing w:before="0" w:after="283"/>
              <w:jc w:val="left"/>
              <w:rPr>
                <w:sz w:val="4"/>
                <w:szCs w:val="4"/>
              </w:rPr>
            </w:pPr>
            <w:r>
              <w:rPr>
                <w:sz w:val="4"/>
                <w:szCs w:val="4"/>
              </w:rPr>
            </w:r>
          </w:p>
        </w:tc>
        <w:tc>
          <w:tcPr>
            <w:tcW w:w="6191" w:type="dxa"/>
            <w:gridSpan w:val="2"/>
            <w:tcBorders/>
            <w:vAlign w:val="center"/>
          </w:tcPr>
          <w:p>
            <w:pPr>
              <w:pStyle w:val="TableContents"/>
              <w:bidi w:val="0"/>
              <w:spacing w:before="0" w:after="283"/>
              <w:jc w:val="left"/>
              <w:rPr>
                <w:sz w:val="4"/>
                <w:szCs w:val="4"/>
              </w:rPr>
            </w:pPr>
            <w:r>
              <w:rPr>
                <w:sz w:val="4"/>
                <w:szCs w:val="4"/>
              </w:rPr>
            </w:r>
          </w:p>
        </w:tc>
      </w:tr>
      <w:tr>
        <w:trPr/>
        <w:tc>
          <w:tcPr>
            <w:tcW w:w="401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James R. Perry</w:t>
            </w:r>
          </w:p>
          <w:p>
            <w:pPr>
              <w:pStyle w:val="TableContents"/>
              <w:bidi w:val="0"/>
              <w:spacing w:before="0" w:after="20"/>
              <w:jc w:val="center"/>
              <w:rPr>
                <w:rFonts w:ascii="Times New Roman" w:hAnsi="Times New Roman"/>
                <w:sz w:val="20"/>
              </w:rPr>
            </w:pPr>
            <w:r>
              <w:rPr>
                <w:rFonts w:ascii="Times New Roman" w:hAnsi="Times New Roman"/>
                <w:sz w:val="20"/>
              </w:rPr>
              <w:t>James R. Perry</w:t>
            </w:r>
          </w:p>
        </w:tc>
        <w:tc>
          <w:tcPr>
            <w:tcW w:w="123" w:type="dxa"/>
            <w:tcBorders/>
            <w:vAlign w:val="bottom"/>
          </w:tcPr>
          <w:p>
            <w:pPr>
              <w:pStyle w:val="TableContents"/>
              <w:bidi w:val="0"/>
              <w:spacing w:before="0" w:after="283"/>
              <w:jc w:val="left"/>
              <w:rPr/>
            </w:pPr>
            <w:r>
              <w:rPr/>
              <w:t>  </w:t>
            </w:r>
          </w:p>
        </w:tc>
        <w:tc>
          <w:tcPr>
            <w:tcW w:w="6068" w:type="dxa"/>
            <w:tcBorders/>
          </w:tcPr>
          <w:p>
            <w:pPr>
              <w:pStyle w:val="TableContents"/>
              <w:bidi w:val="0"/>
              <w:spacing w:before="0" w:after="283"/>
              <w:jc w:val="center"/>
              <w:rPr/>
            </w:pPr>
            <w:r>
              <w:rPr/>
              <w:t>Director</w:t>
            </w:r>
          </w:p>
        </w:tc>
      </w:tr>
      <w:tr>
        <w:trPr>
          <w:trHeight w:val="240" w:hRule="atLeast"/>
        </w:trPr>
        <w:tc>
          <w:tcPr>
            <w:tcW w:w="4014" w:type="dxa"/>
            <w:tcBorders/>
            <w:vAlign w:val="center"/>
          </w:tcPr>
          <w:p>
            <w:pPr>
              <w:pStyle w:val="TableContents"/>
              <w:bidi w:val="0"/>
              <w:spacing w:before="0" w:after="283"/>
              <w:jc w:val="left"/>
              <w:rPr>
                <w:sz w:val="4"/>
                <w:szCs w:val="4"/>
              </w:rPr>
            </w:pPr>
            <w:r>
              <w:rPr>
                <w:sz w:val="4"/>
                <w:szCs w:val="4"/>
              </w:rPr>
            </w:r>
          </w:p>
        </w:tc>
        <w:tc>
          <w:tcPr>
            <w:tcW w:w="6191" w:type="dxa"/>
            <w:gridSpan w:val="2"/>
            <w:tcBorders/>
            <w:vAlign w:val="center"/>
          </w:tcPr>
          <w:p>
            <w:pPr>
              <w:pStyle w:val="TableContents"/>
              <w:bidi w:val="0"/>
              <w:spacing w:before="0" w:after="283"/>
              <w:jc w:val="left"/>
              <w:rPr>
                <w:sz w:val="4"/>
                <w:szCs w:val="4"/>
              </w:rPr>
            </w:pPr>
            <w:r>
              <w:rPr>
                <w:sz w:val="4"/>
                <w:szCs w:val="4"/>
              </w:rPr>
            </w:r>
          </w:p>
        </w:tc>
      </w:tr>
      <w:tr>
        <w:trPr/>
        <w:tc>
          <w:tcPr>
            <w:tcW w:w="401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Matthew S. Ramsey</w:t>
            </w:r>
          </w:p>
          <w:p>
            <w:pPr>
              <w:pStyle w:val="TableContents"/>
              <w:bidi w:val="0"/>
              <w:spacing w:before="0" w:after="20"/>
              <w:jc w:val="center"/>
              <w:rPr>
                <w:rFonts w:ascii="Times New Roman" w:hAnsi="Times New Roman"/>
                <w:sz w:val="20"/>
              </w:rPr>
            </w:pPr>
            <w:r>
              <w:rPr>
                <w:rFonts w:ascii="Times New Roman" w:hAnsi="Times New Roman"/>
                <w:sz w:val="20"/>
              </w:rPr>
              <w:t>Matthew S. Ramsey</w:t>
            </w:r>
          </w:p>
        </w:tc>
        <w:tc>
          <w:tcPr>
            <w:tcW w:w="123" w:type="dxa"/>
            <w:tcBorders/>
            <w:vAlign w:val="bottom"/>
          </w:tcPr>
          <w:p>
            <w:pPr>
              <w:pStyle w:val="TableContents"/>
              <w:bidi w:val="0"/>
              <w:spacing w:before="0" w:after="283"/>
              <w:jc w:val="left"/>
              <w:rPr/>
            </w:pPr>
            <w:r>
              <w:rPr/>
              <w:t>  </w:t>
            </w:r>
          </w:p>
        </w:tc>
        <w:tc>
          <w:tcPr>
            <w:tcW w:w="6068" w:type="dxa"/>
            <w:tcBorders/>
          </w:tcPr>
          <w:p>
            <w:pPr>
              <w:pStyle w:val="TableContents"/>
              <w:bidi w:val="0"/>
              <w:spacing w:before="0" w:after="283"/>
              <w:jc w:val="center"/>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p>
    <w:p>
      <w:pPr>
        <w:pStyle w:val="TextBody"/>
        <w:bidi w:val="0"/>
        <w:spacing w:before="0" w:after="0"/>
        <w:jc w:val="right"/>
        <w:rPr>
          <w:rFonts w:ascii="Times New Roman" w:hAnsi="Times New Roman"/>
          <w:b/>
          <w:sz w:val="20"/>
        </w:rPr>
      </w:pPr>
      <w:bookmarkStart w:id="3" w:name="d29864dex51.htm"/>
      <w:bookmarkStart w:id="4" w:name="ksd29864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619250" cy="200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1619250" cy="200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July 17, 2026 </w:t>
      </w:r>
    </w:p>
    <w:p>
      <w:pPr>
        <w:pStyle w:val="TextBody"/>
        <w:bidi w:val="0"/>
        <w:spacing w:before="240" w:after="0"/>
        <w:jc w:val="left"/>
        <w:rPr>
          <w:rFonts w:ascii="Times New Roman" w:hAnsi="Times New Roman"/>
          <w:sz w:val="20"/>
        </w:rPr>
      </w:pPr>
      <w:r>
        <w:rPr>
          <w:rFonts w:ascii="Times New Roman" w:hAnsi="Times New Roman"/>
          <w:sz w:val="20"/>
        </w:rPr>
        <w:t xml:space="preserve">Energy Transfer LP </w:t>
      </w:r>
    </w:p>
    <w:p>
      <w:pPr>
        <w:pStyle w:val="TextBody"/>
        <w:bidi w:val="0"/>
        <w:spacing w:before="0" w:after="0"/>
        <w:jc w:val="left"/>
        <w:rPr>
          <w:rFonts w:ascii="Times New Roman" w:hAnsi="Times New Roman"/>
          <w:sz w:val="20"/>
        </w:rPr>
      </w:pPr>
      <w:r>
        <w:rPr>
          <w:rFonts w:ascii="Times New Roman" w:hAnsi="Times New Roman"/>
          <w:sz w:val="20"/>
        </w:rPr>
        <w:t xml:space="preserve">8111 Westchester Drive, Suite 600 </w:t>
      </w:r>
    </w:p>
    <w:p>
      <w:pPr>
        <w:pStyle w:val="TextBody"/>
        <w:bidi w:val="0"/>
        <w:spacing w:before="0" w:after="0"/>
        <w:jc w:val="left"/>
        <w:rPr>
          <w:rFonts w:ascii="Times New Roman" w:hAnsi="Times New Roman"/>
          <w:sz w:val="20"/>
        </w:rPr>
      </w:pPr>
      <w:r>
        <w:rPr>
          <w:rFonts w:ascii="Times New Roman" w:hAnsi="Times New Roman"/>
          <w:sz w:val="20"/>
        </w:rPr>
        <w:t xml:space="preserve">Dallas, Texas 75225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for Energy Transfer LP, a Texas limited partnership (the “Partnership”), with respect to certain legal matters in connection with the preparation and filing of the Post-Effective Amendment No. 1 to the registration statement on Form S-3, File No. 333-146300 (as amended or supplemented, the “Registration Statement”) filed with the U.S. Securities and Exchange Commission (the “Commission”) on or about the date hereof in connection with the registration by the Partnership under the Securities Act of 1933, as amended (the “Securities Act”), of the offer and sale by the selling unitholders named in the Registration Statement (the “Selling Unitholders”) of up to an aggregate of 66,625,600 common units representing limited partner interests in the Partnership (the “Common Units”). </w:t>
      </w:r>
    </w:p>
    <w:p>
      <w:pPr>
        <w:pStyle w:val="TextBody"/>
        <w:bidi w:val="0"/>
        <w:spacing w:before="240" w:after="0"/>
        <w:jc w:val="left"/>
        <w:rPr>
          <w:rFonts w:ascii="Times New Roman" w:hAnsi="Times New Roman"/>
          <w:sz w:val="20"/>
        </w:rPr>
      </w:pPr>
      <w:r>
        <w:rPr>
          <w:rFonts w:ascii="Times New Roman" w:hAnsi="Times New Roman"/>
          <w:sz w:val="20"/>
        </w:rPr>
        <w:t xml:space="preserve">We have also participated in the preparation of a Prospectus relating to the Common Units (the “Prospectus”), which is contained in the Registration Statement to which this opinion letter is an exhibit. This opinion letter is being delivered in accordance with the requirements of Item 601(b)(5) of Regulation S-K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opinion expressed herein, we have examined, among other things, originals or copies, executed, certified or otherwise identified to our satisfaction, of (i) the Registration Statement and the exhibits thereto; (ii) the Prospectus; (iii) the organizational documents of the Partnership and LE GP, LLC, the general partner of the Partnership (the “General Partner”); (iv) certain resolutions adopted by the Board of Directors of the General Partner relating to the Registration Statement and the Prospectus and related matters; (v) the minutes and records of the corporate proceedings of the Partnership that have occurred prior to the date hereof with respect to the issuance of the Common Units, the Registration Statement, the Prospectus and related matters; and (vi) such other certificates, statutes and other instruments and documents as we considered appropriate for purposes of the opinion hereafter expressed. </w:t>
      </w:r>
    </w:p>
    <w:p>
      <w:pPr>
        <w:pStyle w:val="TextBody"/>
        <w:bidi w:val="0"/>
        <w:spacing w:before="240" w:after="0"/>
        <w:jc w:val="left"/>
        <w:rPr>
          <w:rFonts w:ascii="Times New Roman" w:hAnsi="Times New Roman"/>
          <w:sz w:val="20"/>
        </w:rPr>
      </w:pPr>
      <w:r>
        <w:rPr>
          <w:rFonts w:ascii="Times New Roman" w:hAnsi="Times New Roman"/>
          <w:sz w:val="20"/>
        </w:rPr>
        <w:t xml:space="preserve">We have also reviewed such questions of law as we have deemed necessary or appropriate. As to any facts material to our opinion contained herein, we have made no independent investigation of such facts and have relied, to the extent that we deem such reliance proper, upon certificates from officers of the Partnership and other representatives of the Partnership, and upon certificates of public officials.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the opinion set forth below, we have assumed that (i) all information contained in all documents reviewed by us is true and correct; (ii) all signatures on all documents examined by us are genuine; (iii) all documents submitted to us as originals are authentic and all documents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0"/>
              <w:jc w:val="left"/>
              <w:rPr>
                <w:rFonts w:ascii="Times New Roman" w:hAnsi="Times New Roman"/>
                <w:b/>
                <w:sz w:val="16"/>
              </w:rPr>
            </w:pPr>
            <w:r>
              <w:rPr>
                <w:rFonts w:ascii="Times New Roman" w:hAnsi="Times New Roman"/>
                <w:b/>
                <w:sz w:val="16"/>
              </w:rPr>
              <w:t>Vinson &amp; Elkins LLP Attorneys at Law</w:t>
            </w:r>
          </w:p>
          <w:p>
            <w:pPr>
              <w:pStyle w:val="TableContents"/>
              <w:bidi w:val="0"/>
              <w:spacing w:before="0" w:after="0"/>
              <w:jc w:val="left"/>
              <w:rPr>
                <w:rFonts w:ascii="Times New Roman" w:hAnsi="Times New Roman"/>
                <w:sz w:val="16"/>
              </w:rPr>
            </w:pPr>
            <w:r>
              <w:rPr>
                <w:rFonts w:ascii="Times New Roman" w:hAnsi="Times New Roman"/>
                <w:sz w:val="16"/>
              </w:rPr>
              <w:t>Austin Brussels Dallas Denver Dubai Dublin Houston London</w:t>
            </w:r>
          </w:p>
          <w:p>
            <w:pPr>
              <w:pStyle w:val="TableContents"/>
              <w:bidi w:val="0"/>
              <w:spacing w:before="0" w:after="20"/>
              <w:jc w:val="left"/>
              <w:rPr>
                <w:rFonts w:ascii="Times New Roman" w:hAnsi="Times New Roman"/>
                <w:sz w:val="16"/>
              </w:rPr>
            </w:pPr>
            <w:r>
              <w:rPr>
                <w:rFonts w:ascii="Times New Roman" w:hAnsi="Times New Roman"/>
                <w:sz w:val="16"/>
              </w:rPr>
              <w:t>Los Angeles New York Richmond San Francisco Tokyo Washington</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0"/>
              <w:jc w:val="left"/>
              <w:rPr>
                <w:rFonts w:ascii="Times New Roman" w:hAnsi="Times New Roman"/>
                <w:sz w:val="16"/>
              </w:rPr>
            </w:pPr>
            <w:r>
              <w:rPr>
                <w:rFonts w:ascii="Times New Roman" w:hAnsi="Times New Roman"/>
                <w:sz w:val="16"/>
              </w:rPr>
              <w:t>Texas Tower, 845 Texas Avenue, Suite 4700</w:t>
            </w:r>
          </w:p>
          <w:p>
            <w:pPr>
              <w:pStyle w:val="TableContents"/>
              <w:bidi w:val="0"/>
              <w:spacing w:before="0" w:after="0"/>
              <w:jc w:val="left"/>
              <w:rPr>
                <w:rFonts w:ascii="Times New Roman" w:hAnsi="Times New Roman"/>
                <w:sz w:val="16"/>
              </w:rPr>
            </w:pPr>
            <w:r>
              <w:rPr>
                <w:rFonts w:ascii="Times New Roman" w:hAnsi="Times New Roman"/>
                <w:sz w:val="16"/>
              </w:rPr>
              <w:t>Houston, TX 77002</w:t>
            </w:r>
          </w:p>
          <w:p>
            <w:pPr>
              <w:pStyle w:val="TableContents"/>
              <w:bidi w:val="0"/>
              <w:spacing w:before="0" w:after="20"/>
              <w:jc w:val="left"/>
              <w:rPr>
                <w:rFonts w:ascii="Times New Roman" w:hAnsi="Times New Roman"/>
                <w:sz w:val="16"/>
              </w:rPr>
            </w:pPr>
            <w:r>
              <w:rPr>
                <w:rFonts w:ascii="Times New Roman" w:hAnsi="Times New Roman"/>
                <w:b/>
                <w:sz w:val="16"/>
              </w:rPr>
              <w:t>Tel</w:t>
            </w:r>
            <w:r>
              <w:rPr>
                <w:rFonts w:ascii="Times New Roman" w:hAnsi="Times New Roman"/>
                <w:sz w:val="16"/>
              </w:rPr>
              <w:t xml:space="preserve"> +1.713.758.2222 </w:t>
            </w:r>
            <w:r>
              <w:rPr>
                <w:rFonts w:ascii="Times New Roman" w:hAnsi="Times New Roman"/>
                <w:b/>
                <w:sz w:val="16"/>
              </w:rPr>
              <w:t>Fax</w:t>
            </w:r>
            <w:r>
              <w:rPr>
                <w:rFonts w:ascii="Times New Roman" w:hAnsi="Times New Roman"/>
                <w:sz w:val="16"/>
              </w:rPr>
              <w:t xml:space="preserve"> +1.713.758.2346 velaw.com</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drawing>
                <wp:inline distT="0" distB="0" distL="0" distR="0">
                  <wp:extent cx="571500" cy="295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571500" cy="295275"/>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right"/>
              <w:rPr/>
            </w:pPr>
            <w:r>
              <w:rPr/>
              <w:t>July 17, 2026 Page 2</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submitted to us as copies conform to the originals of those documents; (iv) each natural person signing any document reviewed by us had the legal capacity to do so; (v) each person signing in a representative capacity (other than on behalf of the Partnership) any document reviewed by us had authority to sign in such capacity; (vi) the Registration Statement and any subsequent amendments (including additional post-effective amendments) will have become effective and comply with all applicable laws; (vii) the Partnership has timely filed all necessary reports pursuant to the Securities Exchange Act of 1934; (viii) if applicable, one or more prospectus supplements or term sheets, as applicable, will have been prepared and filed with the Commission describing the Common Units offered thereby and will comply with all applicable laws; (ix) all Common Units will be sold in compliance with applicable federal and state securities laws and in the manner stated in the Registration Statement and the Prospectus and any applicable prospectus supplement; and (x) a definitive purchase, underwriting or similar agreement with respect to any securities offered will, as applicable, have been duly authorized and validly executed and delivered by the Selling Unitholders and the other parties thereto. We express no opinion as to the requirements of or compliance with federal or state securities laws or regulations or as to the enforceability of indemnification provisions to the extent they purport to relate to liabilities resulting from or based upon negligence or any violation of federal or state securities or blue sky laws.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assumptions, qualifications, limitations and exceptions set forth herein, we are of the opinion that the Common Units are validly issued and, under the Texas Business Organizations Code (the “TBOC”), purchasers of the Common Units will have no obligation to make further payments for their purchase of the Common Units or contributions to the Partnership solely by reason of their ownership of the Common Units or their status as limited partners of the Partnership, and no personal liability for the debts, obligations and liabilities of the Partnership, whether arising in contract, tort or otherwise, solely by reason of being limited partners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in this letter is limited to the TBOC and the federal laws of the United States of America as in effect on the date hereof, and we undertake no duty to update or supplement the foregoing opinion to reflect any facts or circumstances that may hereafter come to our attention or to reflect any changes in any law that may hereafter occur or become effective. We do not express any opinion as to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an exhibit to the Registration Statement and to the use of our name in the Prospectus forming a part of the Registration Statement under the caption “Legal Matters.” In giving this consent, we do not admit that we are within the category of persons whose consent is required under Section 7 of the Securities Act.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31"/>
        <w:gridCol w:w="123"/>
        <w:gridCol w:w="4851"/>
      </w:tblGrid>
      <w:tr>
        <w:trPr/>
        <w:tc>
          <w:tcPr>
            <w:tcW w:w="523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51" w:type="dxa"/>
            <w:tcBorders/>
            <w:vAlign w:val="center"/>
          </w:tcPr>
          <w:p>
            <w:pPr>
              <w:pStyle w:val="TableContents"/>
              <w:bidi w:val="0"/>
              <w:spacing w:before="0" w:after="283"/>
              <w:jc w:val="left"/>
              <w:rPr>
                <w:sz w:val="4"/>
                <w:szCs w:val="4"/>
              </w:rPr>
            </w:pPr>
            <w:r>
              <w:rPr>
                <w:sz w:val="4"/>
                <w:szCs w:val="4"/>
              </w:rPr>
            </w:r>
          </w:p>
        </w:tc>
      </w:tr>
      <w:tr>
        <w:trPr/>
        <w:tc>
          <w:tcPr>
            <w:tcW w:w="5231" w:type="dxa"/>
            <w:tcBorders/>
          </w:tcPr>
          <w:p>
            <w:pPr>
              <w:pStyle w:val="TableContents"/>
              <w:bidi w:val="0"/>
              <w:spacing w:before="0" w:after="283"/>
              <w:jc w:val="left"/>
              <w:rPr/>
            </w:pPr>
            <w:r>
              <w:rPr/>
              <w:drawing>
                <wp:inline distT="0" distB="0" distL="0" distR="0">
                  <wp:extent cx="571500" cy="295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571500" cy="295275"/>
                          </a:xfrm>
                          <a:prstGeom prst="rect">
                            <a:avLst/>
                          </a:prstGeom>
                        </pic:spPr>
                      </pic:pic>
                    </a:graphicData>
                  </a:graphic>
                </wp:inline>
              </w:drawing>
            </w:r>
            <w:r>
              <w:rPr/>
              <w:t xml:space="preserve"> </w:t>
            </w:r>
          </w:p>
        </w:tc>
        <w:tc>
          <w:tcPr>
            <w:tcW w:w="123" w:type="dxa"/>
            <w:tcBorders/>
            <w:vAlign w:val="bottom"/>
          </w:tcPr>
          <w:p>
            <w:pPr>
              <w:pStyle w:val="TableContents"/>
              <w:bidi w:val="0"/>
              <w:spacing w:before="0" w:after="283"/>
              <w:jc w:val="left"/>
              <w:rPr/>
            </w:pPr>
            <w:r>
              <w:rPr/>
              <w:t>  </w:t>
            </w:r>
          </w:p>
        </w:tc>
        <w:tc>
          <w:tcPr>
            <w:tcW w:w="4851" w:type="dxa"/>
            <w:tcBorders/>
          </w:tcPr>
          <w:p>
            <w:pPr>
              <w:pStyle w:val="TableContents"/>
              <w:bidi w:val="0"/>
              <w:spacing w:before="0" w:after="283"/>
              <w:jc w:val="right"/>
              <w:rPr/>
            </w:pPr>
            <w:r>
              <w:rPr/>
              <w:t>July 17, 2026 Page 3</w:t>
            </w:r>
          </w:p>
        </w:tc>
      </w:tr>
    </w:tbl>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We disclaim any duty to advise you regarding any changes in, or otherwise communicate with you with respect to, the matters addressed herein.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Vinson &amp; Elkins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Vinson &amp; Elkins L.L.P.</w:t>
            </w:r>
          </w:p>
        </w:tc>
      </w:tr>
    </w:tbl>
    <w:p>
      <w:pPr>
        <w:pStyle w:val="TextBody"/>
        <w:bidi w:val="0"/>
        <w:spacing w:before="0" w:after="0"/>
        <w:jc w:val="right"/>
        <w:rPr>
          <w:rFonts w:ascii="Times New Roman" w:hAnsi="Times New Roman"/>
          <w:b/>
          <w:sz w:val="20"/>
        </w:rPr>
      </w:pPr>
      <w:bookmarkStart w:id="5" w:name="d29864dex232.htm"/>
      <w:bookmarkStart w:id="6" w:name="ksd29864dex232"/>
      <w:bookmarkEnd w:id="5"/>
      <w:bookmarkEnd w:id="6"/>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have issued our reports dated February 19, 2026, with respect to the consolidated financial statements and internal control over financial reporting of Energy Transfer LP included in the Annual Report on Form 10-K for the year ended December 31, 2025, which are incorporated by reference in this Registration Statement. We consent to the incorporation by reference of the aforementioned reports in this Registration Statement, and to the use of our name as it appears under the caption “Experts.” </w:t>
      </w:r>
    </w:p>
    <w:p>
      <w:pPr>
        <w:pStyle w:val="TextBody"/>
        <w:bidi w:val="0"/>
        <w:spacing w:before="360" w:after="0"/>
        <w:jc w:val="left"/>
        <w:rPr>
          <w:rFonts w:ascii="Times New Roman" w:hAnsi="Times New Roman"/>
          <w:sz w:val="20"/>
        </w:rPr>
      </w:pPr>
      <w:r>
        <w:rPr>
          <w:rFonts w:ascii="Times New Roman" w:hAnsi="Times New Roman"/>
          <w:sz w:val="20"/>
        </w:rPr>
        <w:t xml:space="preserve">/s/ GRANT THORNTON LLP </w:t>
      </w:r>
    </w:p>
    <w:p>
      <w:pPr>
        <w:pStyle w:val="TextBody"/>
        <w:bidi w:val="0"/>
        <w:spacing w:before="240" w:after="0"/>
        <w:jc w:val="left"/>
        <w:rPr>
          <w:rFonts w:ascii="Times New Roman" w:hAnsi="Times New Roman"/>
          <w:sz w:val="20"/>
        </w:rPr>
      </w:pPr>
      <w:r>
        <w:rPr>
          <w:rFonts w:ascii="Times New Roman" w:hAnsi="Times New Roman"/>
          <w:sz w:val="20"/>
        </w:rPr>
        <w:t xml:space="preserve">Dallas, Texas </w:t>
      </w:r>
    </w:p>
    <w:p>
      <w:pPr>
        <w:pStyle w:val="TextBody"/>
        <w:bidi w:val="0"/>
        <w:spacing w:before="0" w:after="0"/>
        <w:jc w:val="left"/>
        <w:rPr>
          <w:rFonts w:ascii="Times New Roman" w:hAnsi="Times New Roman"/>
          <w:sz w:val="20"/>
        </w:rPr>
      </w:pPr>
      <w:r>
        <w:rPr>
          <w:rFonts w:ascii="Times New Roman" w:hAnsi="Times New Roman"/>
          <w:sz w:val="20"/>
        </w:rPr>
        <w:t xml:space="preserve">July 17,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276187/000095012907004730/h48218sv3.htm" TargetMode="External"/><Relationship Id="rId3" Type="http://schemas.openxmlformats.org/officeDocument/2006/relationships/hyperlink" Target="http://www.sec.gov/Archives/edgar/data/1276187/000095012907004999/h48218a1sv3za.htm" TargetMode="External"/><Relationship Id="rId4" Type="http://schemas.openxmlformats.org/officeDocument/2006/relationships/hyperlink" Target="http://www.sec.gov/Archives/edgar/data/1276187/000119312526295529/d109647dex31.htm" TargetMode="External"/><Relationship Id="rId5" Type="http://schemas.openxmlformats.org/officeDocument/2006/relationships/hyperlink" Target="http://www.sec.gov/Archives/edgar/data/1276187/000119312526295529/d109647dex32.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4084</Words>
  <Characters>21881</Characters>
  <CharactersWithSpaces>26005</CharactersWithSpaces>
  <Paragraphs>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