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6015ds3dpos.htm"/>
      <w:bookmarkStart w:id="1" w:name="ksd146015ds3dpos"/>
      <w:bookmarkEnd w:id="0"/>
      <w:bookmarkEnd w:id="1"/>
      <w:r>
        <w:rPr>
          <w:rFonts w:ascii="Times New Roman" w:hAnsi="Times New Roman"/>
          <w:b/>
          <w:sz w:val="20"/>
        </w:rPr>
        <w:t xml:space="preserve">As filed with the Securities and Exchange Commission on July 17,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333-277605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ON FORM S-3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Texas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30-0108820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E. Long </w:t>
      </w:r>
    </w:p>
    <w:p>
      <w:pPr>
        <w:pStyle w:val="TextBody"/>
        <w:bidi w:val="0"/>
        <w:spacing w:before="0" w:after="0"/>
        <w:jc w:val="center"/>
        <w:rPr>
          <w:rFonts w:ascii="Times New Roman" w:hAnsi="Times New Roman"/>
          <w:b/>
          <w:sz w:val="20"/>
        </w:rPr>
      </w:pPr>
      <w:r>
        <w:rPr>
          <w:rFonts w:ascii="Times New Roman" w:hAnsi="Times New Roman"/>
          <w:b/>
          <w:sz w:val="20"/>
        </w:rPr>
        <w:t xml:space="preserve">Co-Chief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i/>
              </w:rPr>
            </w:pPr>
            <w:r>
              <w:rPr>
                <w:b/>
                <w:i/>
              </w:rPr>
              <w:t>Copies to:</w:t>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James M. Wright</w:t>
            </w:r>
          </w:p>
          <w:p>
            <w:pPr>
              <w:pStyle w:val="TableContents"/>
              <w:bidi w:val="0"/>
              <w:spacing w:before="0" w:after="0"/>
              <w:jc w:val="center"/>
              <w:rPr>
                <w:rFonts w:ascii="Times New Roman" w:hAnsi="Times New Roman"/>
                <w:b/>
                <w:sz w:val="20"/>
              </w:rPr>
            </w:pPr>
            <w:r>
              <w:rPr>
                <w:rFonts w:ascii="Times New Roman" w:hAnsi="Times New Roman"/>
                <w:b/>
                <w:sz w:val="20"/>
              </w:rPr>
              <w:t>Executive Vice President &amp; General Counsel</w:t>
            </w:r>
          </w:p>
          <w:p>
            <w:pPr>
              <w:pStyle w:val="TableContents"/>
              <w:bidi w:val="0"/>
              <w:spacing w:before="0" w:after="0"/>
              <w:jc w:val="center"/>
              <w:rPr>
                <w:rFonts w:ascii="Times New Roman" w:hAnsi="Times New Roman"/>
                <w:b/>
                <w:sz w:val="20"/>
              </w:rPr>
            </w:pPr>
            <w:r>
              <w:rPr>
                <w:rFonts w:ascii="Times New Roman" w:hAnsi="Times New Roman"/>
                <w:b/>
                <w:sz w:val="20"/>
              </w:rPr>
              <w:t>Energy Transfer LP</w:t>
            </w:r>
          </w:p>
          <w:p>
            <w:pPr>
              <w:pStyle w:val="TableContents"/>
              <w:bidi w:val="0"/>
              <w:spacing w:before="0" w:after="0"/>
              <w:jc w:val="center"/>
              <w:rPr>
                <w:rFonts w:ascii="Times New Roman" w:hAnsi="Times New Roman"/>
                <w:b/>
                <w:sz w:val="20"/>
              </w:rPr>
            </w:pPr>
            <w:r>
              <w:rPr>
                <w:rFonts w:ascii="Times New Roman" w:hAnsi="Times New Roman"/>
                <w:b/>
                <w:sz w:val="20"/>
              </w:rPr>
              <w:t>8111 Westchester Drive, Suite 600</w:t>
            </w:r>
          </w:p>
          <w:p>
            <w:pPr>
              <w:pStyle w:val="TableContents"/>
              <w:bidi w:val="0"/>
              <w:spacing w:before="0" w:after="0"/>
              <w:jc w:val="center"/>
              <w:rPr>
                <w:rFonts w:ascii="Times New Roman" w:hAnsi="Times New Roman"/>
                <w:b/>
                <w:sz w:val="20"/>
              </w:rPr>
            </w:pPr>
            <w:r>
              <w:rPr>
                <w:rFonts w:ascii="Times New Roman" w:hAnsi="Times New Roman"/>
                <w:b/>
                <w:sz w:val="20"/>
              </w:rPr>
              <w:t>Dallas, Texas 75225</w:t>
            </w:r>
          </w:p>
          <w:p>
            <w:pPr>
              <w:pStyle w:val="TableContents"/>
              <w:bidi w:val="0"/>
              <w:spacing w:before="0" w:after="20"/>
              <w:jc w:val="center"/>
              <w:rPr>
                <w:rFonts w:ascii="Times New Roman" w:hAnsi="Times New Roman"/>
                <w:b/>
                <w:sz w:val="20"/>
              </w:rPr>
            </w:pPr>
            <w:r>
              <w:rPr>
                <w:rFonts w:ascii="Times New Roman" w:hAnsi="Times New Roman"/>
                <w:b/>
                <w:sz w:val="20"/>
              </w:rPr>
              <w:t>(214) 981-0700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20"/>
              </w:rPr>
            </w:pPr>
            <w:r>
              <w:rPr>
                <w:rFonts w:ascii="Times New Roman" w:hAnsi="Times New Roman"/>
                <w:b/>
                <w:sz w:val="20"/>
              </w:rPr>
              <w:t>Lande A. Spottswood</w:t>
            </w:r>
          </w:p>
          <w:p>
            <w:pPr>
              <w:pStyle w:val="TableContents"/>
              <w:bidi w:val="0"/>
              <w:spacing w:before="0" w:after="0"/>
              <w:jc w:val="center"/>
              <w:rPr>
                <w:rFonts w:ascii="Times New Roman" w:hAnsi="Times New Roman"/>
                <w:b/>
                <w:sz w:val="20"/>
              </w:rPr>
            </w:pPr>
            <w:r>
              <w:rPr>
                <w:rFonts w:ascii="Times New Roman" w:hAnsi="Times New Roman"/>
                <w:b/>
                <w:sz w:val="20"/>
              </w:rPr>
              <w:t>Jackson A. O’Maley</w:t>
            </w:r>
          </w:p>
          <w:p>
            <w:pPr>
              <w:pStyle w:val="TableContents"/>
              <w:bidi w:val="0"/>
              <w:spacing w:before="0" w:after="0"/>
              <w:jc w:val="center"/>
              <w:rPr>
                <w:rFonts w:ascii="Times New Roman" w:hAnsi="Times New Roman"/>
                <w:b/>
                <w:sz w:val="20"/>
              </w:rPr>
            </w:pPr>
            <w:r>
              <w:rPr>
                <w:rFonts w:ascii="Times New Roman" w:hAnsi="Times New Roman"/>
                <w:b/>
                <w:sz w:val="20"/>
              </w:rPr>
              <w:t>Vinson &amp; Elkins L.L.P.</w:t>
            </w:r>
          </w:p>
          <w:p>
            <w:pPr>
              <w:pStyle w:val="TableContents"/>
              <w:bidi w:val="0"/>
              <w:spacing w:before="0" w:after="0"/>
              <w:jc w:val="center"/>
              <w:rPr>
                <w:rFonts w:ascii="Times New Roman" w:hAnsi="Times New Roman"/>
                <w:b/>
                <w:sz w:val="20"/>
              </w:rPr>
            </w:pPr>
            <w:r>
              <w:rPr>
                <w:rFonts w:ascii="Times New Roman" w:hAnsi="Times New Roman"/>
                <w:b/>
                <w:sz w:val="20"/>
              </w:rPr>
              <w:t>845 Texas Ave., Suite 4700</w:t>
            </w:r>
          </w:p>
          <w:p>
            <w:pPr>
              <w:pStyle w:val="TableContents"/>
              <w:bidi w:val="0"/>
              <w:spacing w:before="0" w:after="0"/>
              <w:jc w:val="center"/>
              <w:rPr>
                <w:rFonts w:ascii="Times New Roman" w:hAnsi="Times New Roman"/>
                <w:b/>
                <w:sz w:val="20"/>
              </w:rPr>
            </w:pPr>
            <w:r>
              <w:rPr>
                <w:rFonts w:ascii="Times New Roman" w:hAnsi="Times New Roman"/>
                <w:b/>
                <w:sz w:val="20"/>
              </w:rPr>
              <w:t>Houston, Texas 77002</w:t>
            </w:r>
          </w:p>
          <w:p>
            <w:pPr>
              <w:pStyle w:val="TableContents"/>
              <w:bidi w:val="0"/>
              <w:spacing w:before="0" w:after="20"/>
              <w:jc w:val="center"/>
              <w:rPr>
                <w:rFonts w:ascii="Times New Roman" w:hAnsi="Times New Roman"/>
                <w:b/>
                <w:sz w:val="20"/>
              </w:rPr>
            </w:pPr>
            <w:r>
              <w:rPr>
                <w:rFonts w:ascii="Times New Roman" w:hAnsi="Times New Roman"/>
                <w:b/>
                <w:sz w:val="20"/>
              </w:rPr>
              <w:t>(713) 758-2222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as determined by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1"/>
        <w:gridCol w:w="103"/>
        <w:gridCol w:w="4711"/>
        <w:gridCol w:w="126"/>
        <w:gridCol w:w="23"/>
        <w:gridCol w:w="103"/>
        <w:gridCol w:w="2602"/>
        <w:gridCol w:w="103"/>
        <w:gridCol w:w="253"/>
      </w:tblGrid>
      <w:tr>
        <w:trPr/>
        <w:tc>
          <w:tcPr>
            <w:tcW w:w="21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11"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602"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81" w:type="dxa"/>
            <w:tcBorders/>
            <w:vAlign w:val="center"/>
          </w:tcPr>
          <w:p>
            <w:pPr>
              <w:pStyle w:val="TableContents"/>
              <w:bidi w:val="0"/>
              <w:spacing w:before="0" w:after="283"/>
              <w:jc w:val="left"/>
              <w:rPr>
                <w:sz w:val="4"/>
                <w:szCs w:val="4"/>
              </w:rPr>
            </w:pPr>
            <w:r>
              <w:rPr>
                <w:sz w:val="4"/>
                <w:szCs w:val="4"/>
              </w:rPr>
            </w:r>
          </w:p>
        </w:tc>
        <w:tc>
          <w:tcPr>
            <w:tcW w:w="4814" w:type="dxa"/>
            <w:gridSpan w:val="2"/>
            <w:tcBorders/>
            <w:vAlign w:val="center"/>
          </w:tcPr>
          <w:p>
            <w:pPr>
              <w:pStyle w:val="TableContents"/>
              <w:bidi w:val="0"/>
              <w:spacing w:before="0" w:after="283"/>
              <w:jc w:val="left"/>
              <w:rPr>
                <w:sz w:val="4"/>
                <w:szCs w:val="4"/>
              </w:rPr>
            </w:pPr>
            <w:r>
              <w:rPr>
                <w:sz w:val="4"/>
                <w:szCs w:val="4"/>
              </w:rPr>
            </w:r>
          </w:p>
        </w:tc>
        <w:tc>
          <w:tcPr>
            <w:tcW w:w="149" w:type="dxa"/>
            <w:gridSpan w:val="2"/>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181"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11"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602"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81" w:type="dxa"/>
            <w:tcBorders/>
            <w:vAlign w:val="center"/>
          </w:tcPr>
          <w:p>
            <w:pPr>
              <w:pStyle w:val="TableContents"/>
              <w:bidi w:val="0"/>
              <w:spacing w:before="0" w:after="283"/>
              <w:jc w:val="left"/>
              <w:rPr>
                <w:sz w:val="4"/>
                <w:szCs w:val="4"/>
              </w:rPr>
            </w:pPr>
            <w:r>
              <w:rPr>
                <w:sz w:val="4"/>
                <w:szCs w:val="4"/>
              </w:rPr>
            </w:r>
          </w:p>
        </w:tc>
        <w:tc>
          <w:tcPr>
            <w:tcW w:w="4814" w:type="dxa"/>
            <w:gridSpan w:val="2"/>
            <w:tcBorders/>
            <w:vAlign w:val="center"/>
          </w:tcPr>
          <w:p>
            <w:pPr>
              <w:pStyle w:val="TableContents"/>
              <w:bidi w:val="0"/>
              <w:spacing w:before="0" w:after="283"/>
              <w:jc w:val="left"/>
              <w:rPr>
                <w:sz w:val="4"/>
                <w:szCs w:val="4"/>
              </w:rPr>
            </w:pPr>
            <w:r>
              <w:rPr>
                <w:sz w:val="4"/>
                <w:szCs w:val="4"/>
              </w:rPr>
            </w:r>
          </w:p>
        </w:tc>
        <w:tc>
          <w:tcPr>
            <w:tcW w:w="149" w:type="dxa"/>
            <w:gridSpan w:val="2"/>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18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11"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602"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Energy Transfer LP (the “Registrant”) changed its state of domicile from the State of Delaware to the State of Texas pursuant to a plan of conversion. This redomiciliation was approved by the board of directors of the general partner in reliance in part on the recommendation and Special Approval (as defined in the Delaware Partnership Agreement (as defined below)) of the Conflicts Committee (as defined in the Delaware Partnership Agreement). As a result of the redomiciliation, among other things, the affairs of the Registrant ceased to be governed by the Delaware Revised Uniform Limited Partnership Act and became subject to the Texas Business Organizations Code (the “TBOC”); the certificate of limited partnership and Fourth Amended and Restated Agreement of Limited Partnership of the Registrant (the “Delaware Partnership Agreement”) that were in effect immediately prior to the redomiciliation were replaced by a new certificate of formation filed with the Secretary of State of the State of Texas and the Agreement of Limited Partnership of the Registrant (the “Texas Partnership Agreement”) approved in connection with the redomiciliation and plan of conversion; and each common unit of the Registrant as a Delaware limited partnership was converted into a common unit of the Registrant as a Texas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414 under the Securities Act of 1933, as amended (the “Securities Act”), on the date hereof the Registrant is filing this Post-Effective Amendment No. 1 to the Registration Statement on Form S-3, File No. 333-277605 (the “Registration Statement”), solely to reflect the change in the Registrant’s state of domicile as a result of the redomiciliation or as necessary to keep the Registration Statement from being misleading in any material respect. The Registration Statement was originally filed by the Registrant with the Securities and Exchange Commission (the “SEC”) on March 1, 2024. Pursuant to Rule 414(d), the Registrant expressly adopts the Registration Statement, as modified by this Post-Effective Amendment No. 1, as its own for all purposes of the Securities Act and Securities Exchange Act of 1934, as amended (the “Exchange Act”), as a result of the redomiciliation.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Registrant’s Registration Statement on Form S-3 (File No. 333-277605), filed with the SEC on March 1, 2024. </w:t>
      </w:r>
    </w:p>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provided in the Texas Partnership Agreement, which is incorporated herein by reference, the Registrant will generally indemnify its general partner, officers, directors and affiliates of its general partner to the fullest extent permitted by law against all losses, claims, damages or similar events; provided, that the indemnitee will not be indemnified and held harmless if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 To the fullest extent permitted by applicable law, Chapter 8 of the TBOC shall not apply to the Registrant, any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indemnification provisions of the Texas Partnership Agreement purport to include indemnification for liabilities arising under the Securities Act, in the opinion of the SEC, such indemnification is contrary to public policy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insurance coverage under a policy insuring its directors and officers against certain liabilities which they may incur in their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645"/>
        <w:gridCol w:w="8360"/>
      </w:tblGrid>
      <w:tr>
        <w:trPr/>
        <w:tc>
          <w:tcPr>
            <w:tcW w:w="1200" w:type="dxa"/>
            <w:tcBorders/>
            <w:vAlign w:val="center"/>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8360" w:type="dxa"/>
            <w:tcBorders/>
            <w:vAlign w:val="center"/>
          </w:tcPr>
          <w:p>
            <w:pPr>
              <w:pStyle w:val="TableContents"/>
              <w:bidi w:val="0"/>
              <w:spacing w:before="0" w:after="283"/>
              <w:jc w:val="left"/>
              <w:rPr>
                <w:sz w:val="4"/>
                <w:szCs w:val="4"/>
              </w:rPr>
            </w:pPr>
            <w:r>
              <w:rPr>
                <w:sz w:val="4"/>
                <w:szCs w:val="4"/>
              </w:rPr>
            </w:r>
          </w:p>
        </w:tc>
      </w:tr>
      <w:tr>
        <w:trPr/>
        <w:tc>
          <w:tcPr>
            <w:tcW w:w="1200"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45" w:type="dxa"/>
            <w:tcBorders/>
            <w:vAlign w:val="bottom"/>
          </w:tcPr>
          <w:p>
            <w:pPr>
              <w:pStyle w:val="TableContents"/>
              <w:bidi w:val="0"/>
              <w:spacing w:before="0" w:after="283"/>
              <w:jc w:val="left"/>
              <w:rPr/>
            </w:pPr>
            <w:r>
              <w:rPr/>
              <w:t>  </w:t>
            </w:r>
          </w:p>
        </w:tc>
        <w:tc>
          <w:tcPr>
            <w:tcW w:w="83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3.1</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hyperlink r:id="rId2">
              <w:r>
                <w:rPr>
                  <w:rStyle w:val="InternetLink"/>
                </w:rPr>
                <w:t xml:space="preserve">Certificate of Formation of Energy Transfer LP, dated as of July 6, 2026 (incorporated by reference to Exhibit 3.1 of Form 8-K12B (File No. 1-32740) filed by Energy Transfer LP on July 6, 2026)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3.2</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hyperlink r:id="rId3">
              <w:r>
                <w:rPr>
                  <w:rStyle w:val="InternetLink"/>
                </w:rPr>
                <w:t xml:space="preserve">Agreement of Limited Partnership of Energy Transfer LP, dated as of July 6, 2026 (incorporated by reference to Exhibit 3.2 of Form 8-K12B (File No. 1-32740) filed by Energy Transfer LP on July 6, 2026)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5.1*</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hyperlink w:anchor="d146015dex51.htm">
              <w:r>
                <w:rPr>
                  <w:rStyle w:val="InternetLink"/>
                </w:rPr>
                <w:t xml:space="preserve">Opinion of Vinson &amp; Elkins L.L.P.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23.1*</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hyperlink w:anchor="d146015dex51.htm">
              <w:r>
                <w:rPr>
                  <w:rStyle w:val="InternetLink"/>
                </w:rPr>
                <w:t xml:space="preserve">Consent of Vinson &amp; Elkins L.L.P. (included in Exhibit 5.1)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23.2*</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hyperlink w:anchor="d146015dex232.htm">
              <w:r>
                <w:rPr>
                  <w:rStyle w:val="InternetLink"/>
                </w:rPr>
                <w:t xml:space="preserve">Consent of Grant Thornton LLP, independent registered public accounting firm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24.1</w:t>
            </w:r>
          </w:p>
        </w:tc>
        <w:tc>
          <w:tcPr>
            <w:tcW w:w="645" w:type="dxa"/>
            <w:tcBorders/>
            <w:vAlign w:val="bottom"/>
          </w:tcPr>
          <w:p>
            <w:pPr>
              <w:pStyle w:val="TableContents"/>
              <w:bidi w:val="0"/>
              <w:spacing w:before="0" w:after="283"/>
              <w:jc w:val="left"/>
              <w:rPr/>
            </w:pPr>
            <w:r>
              <w:rPr/>
              <w:t>  </w:t>
            </w:r>
          </w:p>
        </w:tc>
        <w:tc>
          <w:tcPr>
            <w:tcW w:w="8360" w:type="dxa"/>
            <w:tcBorders/>
          </w:tcPr>
          <w:p>
            <w:pPr>
              <w:pStyle w:val="TableContents"/>
              <w:bidi w:val="0"/>
              <w:spacing w:before="0" w:after="283"/>
              <w:jc w:val="left"/>
              <w:rPr/>
            </w:pPr>
            <w:r>
              <w:fldChar w:fldCharType="begin"/>
            </w:r>
            <w:r>
              <w:rPr>
                <w:rStyle w:val="InternetLink"/>
              </w:rPr>
              <w:instrText xml:space="preserve"> HYPERLINK "http://www.sec.gov/Archives/edgar/data/1276187/000119312524056149/d800027ds3d.htm" \l "sig"</w:instrText>
            </w:r>
            <w:r>
              <w:rPr>
                <w:rStyle w:val="InternetLink"/>
              </w:rPr>
              <w:fldChar w:fldCharType="separate"/>
            </w:r>
            <w:r>
              <w:rPr>
                <w:rStyle w:val="InternetLink"/>
              </w:rPr>
              <w:t xml:space="preserve">Powers of Attorney (incorporated by reference to Exhibit 24.1 of Energy Transfer LP’s Registration Statement on Form S-3 (File No. 333-277605) filed by Energy Transfer LP on March 1, 2024) </w:t>
            </w:r>
            <w:r>
              <w:rPr>
                <w:rStyle w:val="InternetLink"/>
              </w:rPr>
              <w:fldChar w:fldCharType="end"/>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Texas, on July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LE GP, LLC, its general partner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Dylan A. Bramhall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Executive Vice President and Group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which are with LE GP, LLC, the general partner of Energy Transfer LP, on July 17,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1"/>
        <w:gridCol w:w="109"/>
        <w:gridCol w:w="509"/>
        <w:gridCol w:w="125"/>
        <w:gridCol w:w="5301"/>
      </w:tblGrid>
      <w:tr>
        <w:trPr/>
        <w:tc>
          <w:tcPr>
            <w:tcW w:w="416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301" w:type="dxa"/>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0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3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center"/>
              <w:rPr/>
            </w:pPr>
            <w:r>
              <w:rPr/>
              <w:t>  </w:t>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Executive Chairman</w:t>
            </w:r>
          </w:p>
        </w:tc>
      </w:tr>
      <w:tr>
        <w:trPr/>
        <w:tc>
          <w:tcPr>
            <w:tcW w:w="4161" w:type="dxa"/>
            <w:tcBorders/>
          </w:tcPr>
          <w:p>
            <w:pPr>
              <w:pStyle w:val="TableContents"/>
              <w:bidi w:val="0"/>
              <w:spacing w:before="0" w:after="283"/>
              <w:jc w:val="center"/>
              <w:rPr/>
            </w:pPr>
            <w:r>
              <w:rPr/>
              <w:t>Kelcy L. Warren</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E. Long</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Co-Chief Executive Officer and Director</w:t>
            </w:r>
          </w:p>
        </w:tc>
      </w:tr>
      <w:tr>
        <w:trPr/>
        <w:tc>
          <w:tcPr>
            <w:tcW w:w="4161" w:type="dxa"/>
            <w:tcBorders/>
          </w:tcPr>
          <w:p>
            <w:pPr>
              <w:pStyle w:val="TableContents"/>
              <w:bidi w:val="0"/>
              <w:spacing w:before="0" w:after="283"/>
              <w:jc w:val="center"/>
              <w:rPr/>
            </w:pPr>
            <w:r>
              <w:rPr/>
              <w:t>Thomas E. Long</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(Co-Principal Executive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Marshall S. McCrea, III</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Co-Chief Executive Officer and Director</w:t>
            </w:r>
          </w:p>
        </w:tc>
      </w:tr>
      <w:tr>
        <w:trPr/>
        <w:tc>
          <w:tcPr>
            <w:tcW w:w="4161" w:type="dxa"/>
            <w:tcBorders/>
          </w:tcPr>
          <w:p>
            <w:pPr>
              <w:pStyle w:val="TableContents"/>
              <w:bidi w:val="0"/>
              <w:spacing w:before="0" w:after="283"/>
              <w:jc w:val="center"/>
              <w:rPr/>
            </w:pPr>
            <w:r>
              <w:rPr/>
              <w:t>Marshall S. McCrea, III</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(Co-Principal Executive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Dylan A. Bramhall</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Executive Vice President and Group Chief</w:t>
            </w:r>
          </w:p>
        </w:tc>
      </w:tr>
      <w:tr>
        <w:trPr/>
        <w:tc>
          <w:tcPr>
            <w:tcW w:w="4161" w:type="dxa"/>
            <w:tcBorders/>
          </w:tcPr>
          <w:p>
            <w:pPr>
              <w:pStyle w:val="TableContents"/>
              <w:bidi w:val="0"/>
              <w:spacing w:before="0" w:after="283"/>
              <w:jc w:val="center"/>
              <w:rPr/>
            </w:pPr>
            <w:r>
              <w:rPr/>
              <w:t>Dylan A. Bramhall</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Financial Officer</w:t>
            </w:r>
          </w:p>
        </w:tc>
      </w:tr>
      <w:tr>
        <w:trPr/>
        <w:tc>
          <w:tcPr>
            <w:tcW w:w="416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(Principal Financial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 Troy Sturrock</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Group Senior Vice President and Controller</w:t>
            </w:r>
          </w:p>
        </w:tc>
      </w:tr>
      <w:tr>
        <w:trPr/>
        <w:tc>
          <w:tcPr>
            <w:tcW w:w="4161" w:type="dxa"/>
            <w:tcBorders/>
          </w:tcPr>
          <w:p>
            <w:pPr>
              <w:pStyle w:val="TableContents"/>
              <w:bidi w:val="0"/>
              <w:spacing w:before="0" w:after="283"/>
              <w:jc w:val="center"/>
              <w:rPr/>
            </w:pPr>
            <w:r>
              <w:rPr/>
              <w:t>A. Troy Sturrock</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(Principal Accounting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Steven R. Anderson</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Michael K. Grimm</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John W. McReynolds</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James R. Perry</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Matthew S. Ramsey</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Dylan A. Bramhall, by signing his name hereto, does hereby sign this document on behalf of each of the above-noted directors of the Registrant pursuant to powers of attorney duly executed by such persons.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Dylan A. Bramhall</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2" w:name="d146015dex51.htm"/>
      <w:bookmarkStart w:id="3" w:name="ksd146015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61925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17,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for Energy Transfer LP, a Texas limited partnership (the “Partnership”) in connection with the filing on the date hereof with the Securities and Exchange Commission of a Post-Effective Amendment No. 1 to the Partnership’s registration statement on Form S-3, File No. 333-277605 (the “Registration Statement”) providing for the registration of the sale of up to 40,000,000 common units representing limited partner interests (the “Units”), which may be issued pursuant to the Partnership’s Distribution Reinvestment Plan (the “Plan”)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rendering of the opinions hereinafter set forth, we have examined (i) executed copies of the organizational documents of the Partnership and LE GP, LLC, the general partner of the Partnership (the “General Partner”); (ii) the Registration Statement; (iii) the prospectus included in the Registration Statement dated the date of the Registration Statement (the “Prospectus”); (iv) the Plan; (v) resolutions of the Board of Directors of the General Partner; and (vi) such other certificates, statutes and other instruments and documents as we considered appropriate for purposes of the opinions hereafter expressed. In addition, we reviewed such questions of law as we considered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and (iv) the Registration Statement, and any amendments thereto (including post-effective amendments), will have become effective, and all Units will be sold in compliance with applicable federal and state securities laws and in the manner specified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qualifications, limitations and exceptions set forth herein, we are of the opinion that the Units will be validly issued and, under the Texas Business Organizations Code (the “TBOC”), purchasers of the Units will have no obligation to make further payments for their purchase of the Units or contributions to the Partnership solely by reason of their ownership of the Units or their status as limited partners of the Partnership, and no personal liability for the debts, obligations and liabilities of the Partnership, whether arising in contract, tort or otherwise, solely by reason of being limited partners of the Partnership.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b/>
                <w:sz w:val="20"/>
              </w:rPr>
            </w:pPr>
            <w:r>
              <w:rPr>
                <w:rFonts w:ascii="Times New Roman" w:hAnsi="Times New Roman"/>
                <w:b/>
                <w:sz w:val="20"/>
              </w:rPr>
              <w:t>Vinson &amp; Elkins LLP Attorneys at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Texas Tower, 845 Texas Avenue, Suite 4700</w:t>
              <w:br/>
              <w:t>Houston, TX 77002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Tel</w:t>
            </w:r>
            <w:r>
              <w:rPr>
                <w:rFonts w:ascii="Times New Roman" w:hAnsi="Times New Roman"/>
                <w:sz w:val="20"/>
              </w:rPr>
              <w:t xml:space="preserve"> +1.713.758.2222 </w:t>
            </w:r>
            <w:r>
              <w:rPr>
                <w:rFonts w:ascii="Times New Roman" w:hAnsi="Times New Roman"/>
                <w:b/>
                <w:sz w:val="20"/>
              </w:rPr>
              <w:t>Fax</w:t>
            </w:r>
            <w:r>
              <w:rPr>
                <w:rFonts w:ascii="Times New Roman" w:hAnsi="Times New Roman"/>
                <w:sz w:val="20"/>
              </w:rPr>
              <w:t xml:space="preserve">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26"/>
        <w:gridCol w:w="125"/>
        <w:gridCol w:w="3160"/>
        <w:gridCol w:w="125"/>
        <w:gridCol w:w="3169"/>
      </w:tblGrid>
      <w:tr>
        <w:trPr/>
        <w:tc>
          <w:tcPr>
            <w:tcW w:w="362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3626" w:type="dxa"/>
            <w:tcBorders/>
          </w:tcPr>
          <w:p>
            <w:pPr>
              <w:pStyle w:val="TableContents"/>
              <w:bidi w:val="0"/>
              <w:spacing w:before="0" w:after="283"/>
              <w:jc w:val="left"/>
              <w:rPr/>
            </w:pPr>
            <w:r>
              <w:rPr/>
              <w:drawing>
                <wp:inline distT="0" distB="0" distL="0" distR="0">
                  <wp:extent cx="4953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495300" cy="200025"/>
                          </a:xfrm>
                          <a:prstGeom prst="rect">
                            <a:avLst/>
                          </a:prstGeom>
                        </pic:spPr>
                      </pic:pic>
                    </a:graphicData>
                  </a:graphic>
                </wp:inline>
              </w:drawing>
            </w:r>
            <w:r>
              <w:rPr/>
              <w:t xml:space="preserve"> </w:t>
            </w:r>
          </w:p>
        </w:tc>
        <w:tc>
          <w:tcPr>
            <w:tcW w:w="125"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right"/>
              <w:rPr/>
            </w:pPr>
            <w:r>
              <w:rPr/>
              <w:t>July 17, 2026 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 is limited to the TBOC and the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are expressing no opinion as to the effect of the laws of any other jurisdiction, domestic or foreign.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Vinson &amp; Elkins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Vinson &amp; Elkins L.L.P.</w:t>
            </w:r>
          </w:p>
        </w:tc>
      </w:tr>
    </w:tbl>
    <w:p>
      <w:pPr>
        <w:pStyle w:val="TextBody"/>
        <w:bidi w:val="0"/>
        <w:spacing w:before="0" w:after="0"/>
        <w:jc w:val="right"/>
        <w:rPr>
          <w:rFonts w:ascii="Times New Roman" w:hAnsi="Times New Roman"/>
          <w:b/>
          <w:sz w:val="20"/>
        </w:rPr>
      </w:pPr>
      <w:bookmarkStart w:id="4" w:name="d146015dex232.htm"/>
      <w:bookmarkStart w:id="5" w:name="ksd146015dex232"/>
      <w:bookmarkEnd w:id="4"/>
      <w:bookmarkEnd w:id="5"/>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February 19, 2026, with respect to the consolidated financial statements and internal control over financial reporting of Energy Transfer LP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GRANT THORNTON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Dallas, Texas</w:t>
            </w:r>
          </w:p>
        </w:tc>
      </w:tr>
      <w:tr>
        <w:trPr/>
        <w:tc>
          <w:tcPr>
            <w:tcW w:w="4082" w:type="dxa"/>
            <w:tcBorders/>
          </w:tcPr>
          <w:p>
            <w:pPr>
              <w:pStyle w:val="TableContents"/>
              <w:bidi w:val="0"/>
              <w:spacing w:before="0" w:after="283"/>
              <w:jc w:val="left"/>
              <w:rPr/>
            </w:pPr>
            <w:r>
              <w:rPr/>
              <w:t>July 17,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119312526295529/d109647dex31.htm" TargetMode="External"/><Relationship Id="rId3" Type="http://schemas.openxmlformats.org/officeDocument/2006/relationships/hyperlink" Target="http://www.sec.gov/Archives/edgar/data/1276187/000119312526295529/d109647d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3477</Words>
  <Characters>18624</Characters>
  <CharactersWithSpaces>22178</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