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br/>
        <w:t>SECURITIES AND EXCHANGE COMMISSION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tbl>
      <w:tblPr>
        <w:tblW w:w="8863" w:type="dxa"/>
        <w:jc w:val="center"/>
        <w:tblInd w:w="0" w:type="dxa"/>
        <w:tblLayout w:type="fixed"/>
        <w:tblCellMar>
          <w:top w:w="28" w:type="dxa"/>
          <w:left w:w="28" w:type="dxa"/>
          <w:bottom w:w="28" w:type="dxa"/>
          <w:right w:w="28" w:type="dxa"/>
        </w:tblCellMar>
      </w:tblPr>
      <w:tblGrid>
        <w:gridCol w:w="1338"/>
        <w:gridCol w:w="1168"/>
        <w:gridCol w:w="1168"/>
        <w:gridCol w:w="765"/>
        <w:gridCol w:w="765"/>
        <w:gridCol w:w="765"/>
        <w:gridCol w:w="847"/>
        <w:gridCol w:w="847"/>
        <w:gridCol w:w="1200"/>
      </w:tblGrid>
      <w:tr>
        <w:trPr/>
        <w:tc>
          <w:tcPr>
            <w:tcW w:w="133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8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4, 2026</w:t>
            </w:r>
          </w:p>
        </w:tc>
      </w:tr>
      <w:tr>
        <w:trPr/>
        <w:tc>
          <w:tcPr>
            <w:tcW w:w="8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tc>
      </w:tr>
      <w:tr>
        <w:trPr/>
        <w:tc>
          <w:tcPr>
            <w:tcW w:w="88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ENERGY TRANSFER LP</w:t>
            </w:r>
          </w:p>
        </w:tc>
      </w:tr>
      <w:tr>
        <w:trPr/>
        <w:tc>
          <w:tcPr>
            <w:tcW w:w="8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1-32740</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30-0108820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8111 Westchester Drive, Suite 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Dallas, Texas 75225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bl>
      <w:tblPr>
        <w:tblW w:w="4468" w:type="dxa"/>
        <w:jc w:val="center"/>
        <w:tblInd w:w="0" w:type="dxa"/>
        <w:tblLayout w:type="fixed"/>
        <w:tblCellMar>
          <w:top w:w="28" w:type="dxa"/>
          <w:left w:w="28" w:type="dxa"/>
          <w:bottom w:w="28" w:type="dxa"/>
          <w:right w:w="28" w:type="dxa"/>
        </w:tblCellMar>
      </w:tblPr>
      <w:tblGrid>
        <w:gridCol w:w="596"/>
        <w:gridCol w:w="527"/>
        <w:gridCol w:w="530"/>
        <w:gridCol w:w="823"/>
        <w:gridCol w:w="823"/>
        <w:gridCol w:w="1169"/>
      </w:tblGrid>
      <w:tr>
        <w:trPr/>
        <w:tc>
          <w:tcPr>
            <w:tcW w:w="59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(214)</w:t>
            </w:r>
          </w:p>
        </w:tc>
        <w:tc>
          <w:tcPr>
            <w:tcW w:w="2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981-0700</w:t>
            </w:r>
          </w:p>
        </w:tc>
      </w:tr>
      <w:tr>
        <w:trPr/>
        <w:tc>
          <w:tcPr>
            <w:tcW w:w="44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80" w:after="283"/>
        <w:ind w:left="0" w:right="0" w:hanging="36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ind w:left="0" w:right="0" w:hanging="36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ind w:left="0" w:right="0" w:hanging="36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ind w:left="0" w:right="0" w:hanging="36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968" w:type="dxa"/>
        <w:jc w:val="center"/>
        <w:tblInd w:w="0" w:type="dxa"/>
        <w:tblLayout w:type="fixed"/>
        <w:tblCellMar>
          <w:top w:w="28" w:type="dxa"/>
          <w:left w:w="28" w:type="dxa"/>
          <w:bottom w:w="28" w:type="dxa"/>
          <w:right w:w="28" w:type="dxa"/>
        </w:tblCellMar>
      </w:tblPr>
      <w:tblGrid>
        <w:gridCol w:w="1456"/>
        <w:gridCol w:w="1274"/>
        <w:gridCol w:w="1290"/>
        <w:gridCol w:w="109"/>
        <w:gridCol w:w="109"/>
        <w:gridCol w:w="109"/>
        <w:gridCol w:w="529"/>
        <w:gridCol w:w="529"/>
        <w:gridCol w:w="531"/>
        <w:gridCol w:w="109"/>
        <w:gridCol w:w="109"/>
        <w:gridCol w:w="109"/>
        <w:gridCol w:w="1085"/>
        <w:gridCol w:w="1085"/>
        <w:gridCol w:w="1535"/>
      </w:tblGrid>
      <w:tr>
        <w:trPr/>
        <w:tc>
          <w:tcPr>
            <w:tcW w:w="145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9.250% Series I Fixed Rate Perpetual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ETprI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both"/>
        <w:rPr/>
      </w:pPr>
      <w:r>
        <w:rPr>
          <w:rFonts w:ascii="Times New Roman;serif" w:hAnsi="Times New Roman;serif"/>
          <w:b w:val="false"/>
          <w:color w:val="000000"/>
          <w:sz w:val="20"/>
        </w:rPr>
        <w:t>Emerging growth company </w:t>
      </w:r>
      <w:r>
        <w:rPr>
          <w:color w:val="000000"/>
        </w:rPr>
        <w:t>☐</w:t>
      </w:r>
      <w:r>
        <w:rPr>
          <w:color w:val="231F20"/>
        </w:rPr>
        <w:t xml:space="preserve"> </w:t>
      </w:r>
    </w:p>
    <w:p>
      <w:pPr>
        <w:pStyle w:val="TextBody"/>
        <w:bidi w:val="0"/>
        <w:spacing w:lineRule="auto" w:line="288" w:before="12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4, 2026, Energy Transfer LP (the “Partnership”) issued a press release announcing its financial and operating results for the second fiscal quarter ended June 30, 2026. A copy of this press release is furnished as Exhibit 99.1 to this report and is incorporated herein by reference.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set forth in this Item 2.02 and in the attached exhibit shall be deemed to be “furnished” and not be deemed to be “filed” for purposes of the Securities Exchange Act of 1934, as amended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(d) </w:t>
      </w:r>
      <w:r>
        <w:rPr>
          <w:rFonts w:ascii="Times New Roman;serif" w:hAnsi="Times New Roman;serif"/>
          <w:b/>
          <w:color w:val="000000"/>
          <w:sz w:val="20"/>
        </w:rPr>
        <w:t>Exhibits.</w:t>
      </w:r>
      <w:r>
        <w:rPr>
          <w:color w:val="000000"/>
        </w:rPr>
        <w:t xml:space="preserve"> </w:t>
      </w:r>
      <w:r>
        <w:rPr>
          <w:rFonts w:ascii="Times New Roman;serif" w:hAnsi="Times New Roman;serif"/>
          <w:b w:val="false"/>
          <w:color w:val="000000"/>
          <w:sz w:val="20"/>
        </w:rPr>
        <w:t>In accordance with General Instruction B.2 of Form 8-K, the information set forth in the attached Exhibit 99.1 is deemed to be “furnished” and shall not be deemed to be “filed” for purposes of Section 18 of the Exchange Act.</w:t>
      </w:r>
    </w:p>
    <w:tbl>
      <w:tblPr>
        <w:tblW w:w="9265"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2178"/>
        <w:gridCol w:w="2178"/>
        <w:gridCol w:w="3098"/>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 of the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0"/>
              <w:ind w:left="0" w:right="0" w:hanging="270"/>
              <w:jc w:val="both"/>
              <w:rPr/>
            </w:pPr>
            <w:hyperlink w:anchor="ex991eterq22026.htm">
              <w:r>
                <w:rPr>
                  <w:rStyle w:val="InternetLink"/>
                  <w:rFonts w:ascii="Times New Roman;serif" w:hAnsi="Times New Roman;serif"/>
                  <w:b w:val="false"/>
                  <w:color w:val="0000FF"/>
                  <w:sz w:val="20"/>
                  <w:u w:val="single"/>
                </w:rPr>
                <w:t>Energy Transfer LP Press Release dated August 4, 2026</w:t>
              </w:r>
            </w:hyperlink>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99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365"/>
        <w:gridCol w:w="365"/>
        <w:gridCol w:w="365"/>
        <w:gridCol w:w="1449"/>
        <w:gridCol w:w="1449"/>
        <w:gridCol w:w="209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 TRANSFER 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 GP, LLC, its general partner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Dylan A. Bramhall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Dylan A. Bramhall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Group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80" w:after="283"/>
        <w:jc w:val="center"/>
        <w:rPr/>
      </w:pPr>
      <w:r>
        <w:rPr/>
        <w:drawing>
          <wp:inline distT="0" distB="0" distL="0" distR="0">
            <wp:extent cx="2600325" cy="762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00325" cy="762000"/>
                    </a:xfrm>
                    <a:prstGeom prst="rect">
                      <a:avLst/>
                    </a:prstGeom>
                  </pic:spPr>
                </pic:pic>
              </a:graphicData>
            </a:graphic>
          </wp:inline>
        </w:drawing>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ENERGY TRANSFER REPORTS SECOND QUARTER 2026 RESULTS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UPDATES 2026 FINANCIAL GUIDANCE</w:t>
      </w:r>
    </w:p>
    <w:p>
      <w:pPr>
        <w:pStyle w:val="TextBody"/>
        <w:bidi w:val="0"/>
        <w:spacing w:lineRule="auto" w:line="288" w:before="180" w:after="283"/>
        <w:jc w:val="both"/>
        <w:rPr/>
      </w:pPr>
      <w:r>
        <w:rPr>
          <w:rFonts w:ascii="Times New Roman;serif" w:hAnsi="Times New Roman;serif"/>
          <w:b/>
          <w:color w:val="000000"/>
          <w:sz w:val="20"/>
        </w:rPr>
        <w:t>Dallas – August 4, 2026</w:t>
      </w:r>
      <w:r>
        <w:rPr>
          <w:color w:val="000000"/>
        </w:rPr>
        <w:t xml:space="preserve"> </w:t>
      </w:r>
      <w:r>
        <w:rPr>
          <w:rFonts w:ascii="Times New Roman;serif" w:hAnsi="Times New Roman;serif"/>
          <w:b/>
          <w:color w:val="000000"/>
          <w:sz w:val="20"/>
        </w:rPr>
        <w:t>-</w:t>
      </w:r>
      <w:r>
        <w:rPr>
          <w:color w:val="000000"/>
        </w:rPr>
        <w:t xml:space="preserve"> </w:t>
      </w:r>
      <w:r>
        <w:rPr>
          <w:rFonts w:ascii="Times New Roman;serif" w:hAnsi="Times New Roman;serif"/>
          <w:b/>
          <w:color w:val="000000"/>
          <w:sz w:val="20"/>
        </w:rPr>
        <w:t>Energy Transfer LP (NYSE:ET)</w:t>
      </w:r>
      <w:r>
        <w:rPr>
          <w:color w:val="000000"/>
        </w:rPr>
        <w:t xml:space="preserve"> </w:t>
      </w:r>
      <w:r>
        <w:rPr>
          <w:rFonts w:ascii="Times New Roman;serif" w:hAnsi="Times New Roman;serif"/>
          <w:b w:val="false"/>
          <w:color w:val="000000"/>
          <w:sz w:val="20"/>
        </w:rPr>
        <w:t>(“Energy Transfer” or the “Partnership”) today reported financial results for the quarter ended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Energy Transfer reported net income attributable to partners for the three months ended June 30, 2026 of $2.09 billion compared to $1.16 billion for the three months ended June 30, 2025. For the three months ended June 30, 2026, net income per common unit (basic) was $0.59.</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EBITDA for the three months ended June 30, 2026 was $5.07 billion compared to $3.87 billion for the three months ended June 30, 2025, an increase of 31%.</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Distributable Cash Flow attributable to partners, as adjusted, for the three months ended June 30, 2026 was $2.59 billion compared to $1.96 billion for the three months ended June 30, 2025, an increase of 32%.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Partnership now expects its Adjusted EBITDA guidance for the full year of 2026 to range between $18.8 billion and $19.1 billion, compared to the previous range of between $18.2 billion and $18.6 billion. The Partnership expects to invest $5.6 billion to $5.9 billion in growth capital for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Growth capital expenditures in the second quarter of 2026 were $1.10 billion; maintenance capital expenditures were $307 million.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Operational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Energy Transfer’s volumes continued to grow during the second quarter of 2026 compared to the second quarter of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NGL transportation volumes were up 13%, setting a new Partnership record.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NGL exports were up 25%, setting a new Partnership record.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NGL fractionation volumes were up 3%.</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Crude oil transportation volumes were up 4%, setting a new Partnership record.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Midstream gathered volumes were up 4%, setting a new Partnership record.</w:t>
      </w:r>
    </w:p>
    <w:p>
      <w:pPr>
        <w:pStyle w:val="TextBody"/>
        <w:bidi w:val="0"/>
        <w:spacing w:lineRule="auto" w:line="288" w:before="180" w:after="283"/>
        <w:ind w:left="0" w:right="0" w:hanging="360"/>
        <w:jc w:val="both"/>
        <w:rPr>
          <w:rFonts w:ascii="Times New Roman;serif" w:hAnsi="Times New Roman;serif"/>
          <w:b/>
          <w:color w:val="000000"/>
          <w:sz w:val="20"/>
        </w:rPr>
      </w:pPr>
      <w:r>
        <w:rPr>
          <w:rFonts w:ascii="Times New Roman;serif" w:hAnsi="Times New Roman;serif"/>
          <w:b/>
          <w:color w:val="000000"/>
          <w:sz w:val="20"/>
        </w:rPr>
        <w:t>Strategic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Energy Transfer is well positioned to benefit from multiple visible growth drivers across the business.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Increasing demand for natural gas infrastructure expansion to support the growing needs for power generation and LNG exports: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Hugh Brinson Pipeline is now in commercial service and is expected to be capable of flowing the full Phase I capacity of 1.5 Bcf/d by September 1,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During the second quarter of 2026, Energy Transfer completed another 14-mile lateral off the Hugh Brinson Pipeline in Abilene, Texas, and it is now ready for service.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During the second quarter of 2026, Energy Transfer continued the development of its Desert Southwest expansion project and FERC recently completed scoping meetings in communities along the route.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May 2026, Energy Transfer announced the Springerville Lateral on Transwestern Pipeline to support the conversion of two coal-fired plants to natural gas.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Energy Transfer recently had two customers add a combined 100 MMcf/d to their existing contracts for natural gas services to their power plant or data center sites in Texas.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Energy Transfer expects to announce additional natural gas pipeline projects later this year to fuel growing power demand.</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Growing demand for Natural Gas Liquids (NGLs) exports: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June 2026, Energy Transfer announced a fully subscribed export expansion at Nederland facility. The project will increase ethane export capacity at the terminal by 240,000 barrels per day (bpd) along with 55,000 bpd of additional LPG capacity. As part of the expansion, Energy Transfer will also expand its Mont Belvieu to Nederland NGL export pipeline capacity to service the increased refrigeration capacity and will construct two additional NGL ship docks.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the second quarter of 2026, Energy Transfer completed upgrades to its Lone Star Express pipeline, which provides more than 90,000 Bbls/d of incremental Permian NGL takeaway capacity on the pipeline system.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the second quarter of 2026, Energy Transfer signed long-term transportation and/or fractionation agreements for approximately 300,000 Bbls/d on its y-grade assets that extend into the 2030s.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June 2026, Energy Transfer placed the 275 MMcf/d Mustang Draw I processing plant into service in the Midland Basin.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June and July 2026, Energy Transfer placed its third and fourth of eight planned 10-megawatt natural-gas fired electric generation facilities into service in West Texas to support the Partnership’s operations.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July 2026,</w:t>
      </w:r>
      <w:r>
        <w:rPr>
          <w:color w:val="000000"/>
        </w:rPr>
        <w:t xml:space="preserve"> </w:t>
      </w:r>
      <w:r>
        <w:rPr>
          <w:rFonts w:ascii="Times New Roman;serif" w:hAnsi="Times New Roman;serif"/>
          <w:b w:val="false"/>
          <w:color w:val="000000"/>
          <w:sz w:val="20"/>
        </w:rPr>
        <w:t>Energy Transfer announced a quarterly cash distribution of $0.3400 per common unit ($1.36 annualized) for the quarter ended June 30, 2026, which is an increase of more than 3% compared to the second quarter of 2025. This is the Partnership’s nineteenth consecutive increase to its quarterly cash distribution.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July 2026, the Partnership issued $650 million aggregate principal amount of its Series 2026A junior subordinated notes due 2057 (the “Series 2026A notes”) and $1.10 billion aggregate principal amount of its Series 2026B junior subordinated notes due 2057 (the “Series 2026B notes”). Initially, the Series 2026A notes will bear interest at an annual rate of 6.550% and the Series 2026B notes will bear interest at an annual rate of 6.700%.</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 of June 30, 2026, the Partnership’s revolving credit facility had an aggregate $3.76 billion of available borrowing capacity.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Energy Transfer benefits from a portfolio of assets with exceptional product and geographic diversity. The Partnership’s multiple segments generate high-quality, balanced earnings with no single business segment contributing more than one-third of the Partnership’s consolidated Adjusted EBITDA for the three months ended June 30, 2026.</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lineRule="auto" w:line="288" w:before="120" w:after="283"/>
        <w:jc w:val="both"/>
        <w:rPr/>
      </w:pPr>
      <w:r>
        <w:rPr>
          <w:rFonts w:ascii="Times New Roman;serif" w:hAnsi="Times New Roman;serif"/>
          <w:b w:val="false"/>
          <w:color w:val="000000"/>
          <w:sz w:val="20"/>
        </w:rPr>
        <w:t xml:space="preserve">The Partnership has scheduled a conference call for 8:00 a.m. Central Time/9:00 a.m. Eastern Time on Tuesday, August 4, 2026 to discuss its second quarter 2026 results and provide an update on the Partnership. The conference call will be broadcast live via an internet webcast, which can be accessed through </w:t>
      </w:r>
      <w:r>
        <w:rPr>
          <w:rFonts w:ascii="Times New Roman;serif" w:hAnsi="Times New Roman;serif"/>
          <w:b w:val="false"/>
          <w:color w:val="0000FF"/>
          <w:sz w:val="20"/>
          <w:u w:val="single"/>
        </w:rPr>
        <w:t>www.energytransfer.com</w:t>
      </w:r>
      <w:r>
        <w:rPr>
          <w:color w:val="000000"/>
          <w:shd w:fill="FFFFFF" w:val="clear"/>
        </w:rPr>
        <w:t xml:space="preserve"> </w:t>
      </w:r>
      <w:r>
        <w:rPr>
          <w:rFonts w:ascii="Times New Roman;serif" w:hAnsi="Times New Roman;serif"/>
          <w:b w:val="false"/>
          <w:color w:val="000000"/>
          <w:sz w:val="20"/>
          <w:shd w:fill="FFFFFF" w:val="clear"/>
        </w:rPr>
        <w:t>an</w:t>
      </w:r>
      <w:r>
        <w:rPr>
          <w:rFonts w:ascii="Times New Roman;serif" w:hAnsi="Times New Roman;serif"/>
          <w:b w:val="false"/>
          <w:color w:val="000000"/>
          <w:sz w:val="20"/>
        </w:rPr>
        <w:t>d will also be available for replay on the Partnership’s website for a limited time.</w:t>
      </w:r>
    </w:p>
    <w:p>
      <w:pPr>
        <w:pStyle w:val="TextBody"/>
        <w:bidi w:val="0"/>
        <w:spacing w:lineRule="auto" w:line="288" w:before="120" w:after="283"/>
        <w:jc w:val="both"/>
        <w:rPr/>
      </w:pPr>
      <w:r>
        <w:rPr>
          <w:rFonts w:ascii="Times New Roman;serif" w:hAnsi="Times New Roman;serif"/>
          <w:b/>
          <w:color w:val="000000"/>
          <w:sz w:val="20"/>
        </w:rPr>
        <w:t xml:space="preserve">Energy Transfer LP (NYSE: ET) </w:t>
      </w:r>
      <w:r>
        <w:rPr>
          <w:rFonts w:ascii="Times New Roman;serif" w:hAnsi="Times New Roman;serif"/>
          <w:b w:val="false"/>
          <w:color w:val="000000"/>
          <w:sz w:val="20"/>
        </w:rPr>
        <w:t xml:space="preserve">owns and operates one of the largest and most diversified portfolios of energy assets in the United States, with approximately 140,000 miles of pipeline and associated energy infrastructure. Energy Transfer’s strategic network spans 44 states with assets in all of the major U.S. production basins. Energy Transfer is a publicly traded limited partnership with core operations that include complementary natural gas midstream, intrastate and interstate transportation and storage assets; crude oil, natural gas liquids (“NGL”) and refined product transportation and terminalling assets; and NGL fractionation. Energy Transfer also owns the general partner interests, the incentive distribution rights and approximately 28 million common units (representing 15% of the aggregate outstanding common units and Class D units) of Sunoco LP (NYSE: SUN), the managing member interests in SunocoCorp LLC (NYSE: SUNC), and the general partner interests and approximately 46 million common units (representing 32% of the outstanding common units) of USA Compression Partners, LP (NYSE: USAC). For more information, visit the Energy Transfer LP website at </w:t>
      </w:r>
      <w:r>
        <w:rPr>
          <w:rFonts w:ascii="Times New Roman;serif" w:hAnsi="Times New Roman;serif"/>
          <w:b w:val="false"/>
          <w:color w:val="0000FF"/>
          <w:sz w:val="20"/>
          <w:u w:val="single"/>
        </w:rPr>
        <w:t>www.energytransfer.com</w:t>
      </w:r>
      <w:r>
        <w:rPr>
          <w:rFonts w:ascii="Times New Roman;serif" w:hAnsi="Times New Roman;serif"/>
          <w:b w:val="false"/>
          <w:color w:val="000000"/>
          <w:sz w:val="20"/>
        </w:rPr>
        <w:t>.</w:t>
      </w:r>
    </w:p>
    <w:p>
      <w:pPr>
        <w:pStyle w:val="TextBody"/>
        <w:bidi w:val="0"/>
        <w:spacing w:lineRule="auto" w:line="288" w:before="120" w:after="283"/>
        <w:jc w:val="both"/>
        <w:rPr/>
      </w:pPr>
      <w:r>
        <w:rPr>
          <w:rFonts w:ascii="Times New Roman;serif" w:hAnsi="Times New Roman;serif"/>
          <w:b/>
          <w:color w:val="000000"/>
          <w:sz w:val="20"/>
        </w:rPr>
        <w:t>Sunoco LP (NYSE: SUN)</w:t>
      </w:r>
      <w:r>
        <w:rPr>
          <w:color w:val="000000"/>
        </w:rPr>
        <w:t xml:space="preserve"> </w:t>
      </w:r>
      <w:r>
        <w:rPr>
          <w:rFonts w:ascii="Times New Roman;serif" w:hAnsi="Times New Roman;serif"/>
          <w:b w:val="false"/>
          <w:color w:val="000000"/>
          <w:sz w:val="20"/>
        </w:rPr>
        <w:t>is a leading energy infrastructure and fuel distribution master limited partnership operating across 33 countries and territories in North America, the Greater Caribbean, and Europe. SUN's midstream operations include an extensive network of approximately 14,000 miles of pipeline and over 170 terminals. This critical infrastructure complements SUN's fuel distribution operations, which distribute over 15 billion gallons annually to approximately 11,000 Sunoco and partner-brande</w:t>
      </w:r>
      <w:r>
        <w:rPr>
          <w:rFonts w:ascii="Times New Roman;serif" w:hAnsi="Times New Roman;serif"/>
          <w:b w:val="false"/>
          <w:color w:val="000000"/>
          <w:sz w:val="20"/>
          <w:shd w:fill="FFFFFF" w:val="clear"/>
        </w:rPr>
        <w:t>d retail l</w:t>
      </w:r>
      <w:r>
        <w:rPr>
          <w:rFonts w:ascii="Times New Roman;serif" w:hAnsi="Times New Roman;serif"/>
          <w:b w:val="false"/>
          <w:color w:val="000000"/>
          <w:sz w:val="20"/>
        </w:rPr>
        <w:t xml:space="preserve">ocations, as well as independent dealers and commercial customers. SUN's general partner is owned by Energy Transfer LP. For more information, visit the Sunoco LP website at </w:t>
      </w:r>
      <w:r>
        <w:rPr>
          <w:rFonts w:ascii="Times New Roman;serif" w:hAnsi="Times New Roman;serif"/>
          <w:b w:val="false"/>
          <w:color w:val="0000FF"/>
          <w:sz w:val="20"/>
          <w:u w:val="single"/>
        </w:rPr>
        <w:t>www.sunocolp.com</w:t>
      </w:r>
      <w:r>
        <w:rPr>
          <w:rFonts w:ascii="Times New Roman;serif" w:hAnsi="Times New Roman;serif"/>
          <w:b w:val="false"/>
          <w:color w:val="000000"/>
          <w:sz w:val="20"/>
        </w:rPr>
        <w:t>.</w:t>
      </w:r>
    </w:p>
    <w:p>
      <w:pPr>
        <w:pStyle w:val="TextBody"/>
        <w:bidi w:val="0"/>
        <w:spacing w:lineRule="auto" w:line="288" w:before="120" w:after="283"/>
        <w:jc w:val="both"/>
        <w:rPr/>
      </w:pPr>
      <w:r>
        <w:rPr>
          <w:rFonts w:ascii="Times New Roman;serif" w:hAnsi="Times New Roman;serif"/>
          <w:b/>
          <w:color w:val="000000"/>
          <w:sz w:val="20"/>
        </w:rPr>
        <w:t>SunocoCorp LLC (NYSE: SUNC)</w:t>
      </w:r>
      <w:r>
        <w:rPr>
          <w:color w:val="000000"/>
        </w:rPr>
        <w:t xml:space="preserve"> </w:t>
      </w:r>
      <w:r>
        <w:rPr>
          <w:rFonts w:ascii="Times New Roman;serif" w:hAnsi="Times New Roman;serif"/>
          <w:b w:val="false"/>
          <w:color w:val="000000"/>
          <w:sz w:val="20"/>
        </w:rPr>
        <w:t xml:space="preserve">is a publicly traded limited liability company that owns a direct limited partner interest in Sunoco LP. For more information, visit the Sunoco LP website at </w:t>
      </w:r>
      <w:r>
        <w:rPr>
          <w:rFonts w:ascii="Times New Roman;serif" w:hAnsi="Times New Roman;serif"/>
          <w:b w:val="false"/>
          <w:color w:val="0000FF"/>
          <w:sz w:val="20"/>
          <w:u w:val="single"/>
        </w:rPr>
        <w:t>www.sunocolp.com</w:t>
      </w:r>
      <w:r>
        <w:rPr>
          <w:rFonts w:ascii="Times New Roman;serif" w:hAnsi="Times New Roman;serif"/>
          <w:b w:val="false"/>
          <w:color w:val="000000"/>
          <w:sz w:val="20"/>
        </w:rPr>
        <w:t>.</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color w:val="000000"/>
          <w:sz w:val="20"/>
        </w:rPr>
        <w:t>USA Compression Partners, LP (NYSE: USAC)</w:t>
      </w:r>
      <w:r>
        <w:rPr>
          <w:color w:val="000000"/>
        </w:rPr>
        <w:t> </w:t>
      </w:r>
      <w:r>
        <w:rPr>
          <w:rFonts w:ascii="Times New Roman;serif" w:hAnsi="Times New Roman;serif"/>
          <w:b w:val="false"/>
          <w:color w:val="000000"/>
          <w:sz w:val="20"/>
        </w:rPr>
        <w:t xml:space="preserve">is one of the nation’s largest independent providers of natural gas compression services in terms of total compression fleet horsepower. USAC partners with a broad customer base composed of producers, processors, gatherers, and transporters of natural gas and crude oil. USAC focuses on providing midstream natural gas compression services to infrastructure applications primarily in high-volume gathering systems, processing facilities, and transportation applications. For more information, visit the USAC website at </w:t>
      </w:r>
      <w:r>
        <w:rPr>
          <w:rFonts w:ascii="Times New Roman;serif" w:hAnsi="Times New Roman;serif"/>
          <w:b w:val="false"/>
          <w:color w:val="0000FF"/>
          <w:sz w:val="20"/>
          <w:u w:val="single"/>
        </w:rPr>
        <w:t>www.usacompression.com</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news release may include certain statements concerning expectations for the future that are forward-looking statements as defined by federal law. Such forward-looking statements are subject to a variety of known and unknown risks, uncertainties, and other factors that are difficult to predict and many of which are beyond management’s control. An extensive list of factors that can affect future results, including Adjusted EBITDA, and impact current projections, including capital expenditures, are discussed in the Partnership’s Annual Report on Form 10-K and other documents filed from time to time with the Securities and Exchange Commission. The Partnership undertakes no obligation to update or revise any forward-looking statement to reflect new information or events.</w:t>
      </w:r>
    </w:p>
    <w:p>
      <w:pPr>
        <w:pStyle w:val="TextBody"/>
        <w:bidi w:val="0"/>
        <w:spacing w:lineRule="auto" w:line="288" w:before="120" w:after="283"/>
        <w:jc w:val="both"/>
        <w:rPr/>
      </w:pPr>
      <w:r>
        <w:rPr>
          <w:rFonts w:ascii="Times New Roman;serif" w:hAnsi="Times New Roman;serif"/>
          <w:b w:val="false"/>
          <w:color w:val="000000"/>
          <w:sz w:val="20"/>
        </w:rPr>
        <w:t xml:space="preserve">The information contained in this press release is available on our website at </w:t>
      </w:r>
      <w:r>
        <w:rPr>
          <w:rFonts w:ascii="Times New Roman;serif" w:hAnsi="Times New Roman;serif"/>
          <w:b w:val="false"/>
          <w:color w:val="0000FF"/>
          <w:sz w:val="20"/>
          <w:u w:val="single"/>
        </w:rPr>
        <w:t>www.energytransfer.com</w:t>
      </w:r>
      <w:r>
        <w:rPr>
          <w:rFonts w:ascii="Times New Roman;serif" w:hAnsi="Times New Roman;serif"/>
          <w:b w:val="false"/>
          <w:color w:val="000000"/>
          <w:sz w:val="20"/>
        </w:rPr>
        <w:t>.</w:t>
      </w:r>
    </w:p>
    <w:tbl>
      <w:tblPr>
        <w:tblW w:w="7721" w:type="dxa"/>
        <w:jc w:val="left"/>
        <w:tblInd w:w="0" w:type="dxa"/>
        <w:tblLayout w:type="fixed"/>
        <w:tblCellMar>
          <w:top w:w="28" w:type="dxa"/>
          <w:left w:w="28" w:type="dxa"/>
          <w:bottom w:w="28" w:type="dxa"/>
          <w:right w:w="28" w:type="dxa"/>
        </w:tblCellMar>
      </w:tblPr>
      <w:tblGrid>
        <w:gridCol w:w="1739"/>
        <w:gridCol w:w="1525"/>
        <w:gridCol w:w="1536"/>
        <w:gridCol w:w="109"/>
        <w:gridCol w:w="109"/>
        <w:gridCol w:w="109"/>
        <w:gridCol w:w="759"/>
        <w:gridCol w:w="759"/>
        <w:gridCol w:w="1076"/>
      </w:tblGrid>
      <w:tr>
        <w:trPr/>
        <w:tc>
          <w:tcPr>
            <w:tcW w:w="173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Media Relations:</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 Baerg, Brent Ratliff, Lyndsay Hannah, 214-981-0795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Vicki Granado, 214-840-5820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783" w:type="dxa"/>
        <w:jc w:val="left"/>
        <w:tblInd w:w="0" w:type="dxa"/>
        <w:tblLayout w:type="fixed"/>
        <w:tblCellMar>
          <w:top w:w="28" w:type="dxa"/>
          <w:left w:w="28" w:type="dxa"/>
          <w:bottom w:w="28" w:type="dxa"/>
          <w:right w:w="28" w:type="dxa"/>
        </w:tblCellMar>
      </w:tblPr>
      <w:tblGrid>
        <w:gridCol w:w="1296"/>
        <w:gridCol w:w="1140"/>
        <w:gridCol w:w="1149"/>
        <w:gridCol w:w="211"/>
        <w:gridCol w:w="826"/>
        <w:gridCol w:w="109"/>
        <w:gridCol w:w="109"/>
        <w:gridCol w:w="109"/>
        <w:gridCol w:w="109"/>
        <w:gridCol w:w="305"/>
        <w:gridCol w:w="1197"/>
        <w:gridCol w:w="223"/>
      </w:tblGrid>
      <w:tr>
        <w:trPr/>
        <w:tc>
          <w:tcPr>
            <w:tcW w:w="129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6783" w:type="dxa"/>
            <w:gridSpan w:val="12"/>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102,142 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141,286 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8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maturities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Unitholders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30,930 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partners’ capital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34,366 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14,644 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49,010 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141,286 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unit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65"/>
        <w:gridCol w:w="1570"/>
        <w:gridCol w:w="157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6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capitalized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extinguishments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redeemable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PARTNERS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Partner’s interest in net income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Unitholders’ interest in net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redemption of preferred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Unitholders’ interest in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UNIT:</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UNITS OUTSTANDING:</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SUPPLEMENTAL INFORMATION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and units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144"/>
        <w:gridCol w:w="1643"/>
        <w:gridCol w:w="164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14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Reconciliation of net income to Adjusted EBITDA and Distributable Cash Flow</w:t>
            </w:r>
            <w:r>
              <w:rPr>
                <w:rFonts w:ascii="Times New Roman;serif" w:hAnsi="Times New Roman;serif"/>
                <w:b/>
                <w:color w:val="000000"/>
                <w:sz w:val="13"/>
              </w:rPr>
              <w:t>(a)</w:t>
            </w:r>
            <w:r>
              <w:rPr>
                <w:rFonts w:ascii="Times New Roman;serif" w:hAnsi="Times New Roman;serif"/>
                <w:b/>
                <w:color w:val="000000"/>
                <w:sz w:val="20"/>
              </w:rPr>
              <w:t>:</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capitalized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commodity risk management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adjustments (Sunoco LP)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extinguishments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(consolidated)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Adjusted EBITDA related to unconsolidated affiliates</w:t>
            </w:r>
            <w:r>
              <w:rPr>
                <w:rFonts w:ascii="Times New Roman;serif" w:hAnsi="Times New Roman;serif"/>
                <w:b w:val="false"/>
                <w:color w:val="000000"/>
                <w:sz w:val="13"/>
              </w:rPr>
              <w: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Distributable cash flow from unconsolidated affiliates</w:t>
            </w:r>
            <w:r>
              <w:rPr>
                <w:rFonts w:ascii="Times New Roman;serif" w:hAnsi="Times New Roman;serif"/>
                <w:b w:val="false"/>
                <w:color w:val="000000"/>
                <w:sz w:val="13"/>
              </w:rPr>
              <w:t>(b)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capitalized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Preferred unitholders’ distributions </w:t>
            </w:r>
            <w:r>
              <w:rPr>
                <w:rFonts w:ascii="Times New Roman;serif" w:hAnsi="Times New Roman;serif"/>
                <w:b w:val="false"/>
                <w:color w:val="000000"/>
                <w:sz w:val="13"/>
              </w:rPr>
              <w:t>(c)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income tax expense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Maintenance capital expenditures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Distributable Cash Flow (consolidated)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Distributable Cash Flow attributable to Sunoco LP and SunocoCorp </w:t>
            </w:r>
            <w:r>
              <w:rPr>
                <w:rFonts w:ascii="Times New Roman;serif" w:hAnsi="Times New Roman;serif"/>
                <w:b w:val="false"/>
                <w:color w:val="000000"/>
                <w:sz w:val="13"/>
              </w:rPr>
              <w:t>(d)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Sunoco LP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Distributable Cash Flow attributable to USAC (100%)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USAC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Distributable Cash Flow attributable to noncontrolling interests in other non-wholly owned consolidated subsidiaries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Distributable Cash Flow attributable to the partners of Energy Transfer</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Distributable Cash Flow attributable to the partners of Energy Transfer, as adjusted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Distributions to partners: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distributions to be paid to partners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Units outstanding – end of period</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3,432.6 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 xml:space="preserve">Adjusted EBITDA and Distributable Cash Flow are non-GAAP financial measures used by industry analysts, investors, lenders and rating agencies to assess the financial performance and the operating results of Energy Transfer’s fundamental </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business activities and should not be considered in isolation or as a substitute for net income, income from operations, cash flows from operating activities or other GAAP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are material limitations to using measures such as Adjusted EBITDA and Distributable Cash Flow, including the difficulty associated with using either as the sole measure to compare the results of one company to another, and the inability to analyze certain significant items that directly affect a company’s net income or loss or cash flows. In addition, our calculations of Adjusted EBITDA and Distributable Cash Flow may not be consistent with similarly titled measures of other companies and should be viewed in conjunction with measures that are computed in accordance with GAAP, such as operating income, net income and cash flows from operating activities.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Definition of Adjusted EBITDA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certain foreign currency transaction gains and losses and other non-operating income or expense items. Inventory valuation adjustments that are excluded from the calculation of Adjusted EBITDA represent only the changes in lower of cost or market reserves on inventory that is carried at last-in, first-out (“LIFO”). These amounts are unrealized valuation adjustments applied to Sunoco LP’s fuel volumes remaining in inventory at the end of the period.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reflects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Adjusted EBITDA or Adjusted EBITDA related to unconsolidated affiliates as an analytical tool should be limited accordingly.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is used by management to determine our operating performance and, along with other financial and volumetric data, as internal measures for setting annual operating budgets, assessing financial performance of our numerous business locations, as a measure for evaluating targeted businesses for acquisition and as a measurement component of incentive compensation.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Definition of Distributable Cash Flow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define Distributable Cash Flow as net income, adjusted for certain non-cash items, less distributions to preferred unitholders and maintenance capital expenditures. Non-cash items include depreciation, depletion and amortization, non-cash compensation expense, amortization included in interest expense, gains and losses on disposals of assets, the allowance for equity funds used during construction, unrealized gains and losses on commodity risk management activities, inventory valuation adjustments, non-cash impairment charges, losses on extinguishments of debt and deferred income taxes. For unconsolidated affiliates, Distributable Cash Flow reflects the Partnership’s proportionate share of the investees’ distributable cash flow.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Distributable Cash Flow is used by management to evaluate our overall performance. Our partnership agreement requires us to distribute all available cash, and Distributable Cash Flow is calculated to evaluate our ability to fund distributions through cash generated by our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 consolidated basis, Distributable Cash Flow includes 100% of the Distributable Cash Flow of Energy Transfer’s consolidated subsidiaries. However, to the extent that noncontrolling interests exist among our subsidiaries, the Distributable Cash Flow generated by our subsidiaries may not be available to be distributed to our partners. In order to reflect the cash flows available for distributions to our partners, we have reported Distributable Cash Flow attributable to partners, which is calculated by adjusting Distributable Cash Flow (consolidated),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 subsidiaries with publicly traded equity interests, Distributable Cash Flow (consolidated) includes 100% of Distributable Cash Flow attributable to such subsidiary, and Distributable Cash Flow attributable to our partners includes distributions to be received by the parent company with respect to the periods presented.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 consolidated joint ventures or similar entities, where the noncontrolling interest is not publicly traded, Distributable Cash Flow (consolidated) includes 100% of Distributable Cash Flow attributable to such subsidiaries, but Distributable Cash Flow attributable to partners reflects only the amount of Distributable Cash Flow of such subsidiaries that is attributable to our ownership interest.</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Distributable Cash Flow attributable to partners, as adjusted, certain transaction-related adjustments and non-recurring expenses that are included in net income are excluded.</w:t>
      </w:r>
    </w:p>
    <w:p>
      <w:pPr>
        <w:pStyle w:val="TextBody"/>
        <w:bidi w:val="0"/>
        <w:spacing w:lineRule="auto" w:line="288" w:before="120" w:after="283"/>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These amounts exclude Sunoco LP’s Adjusted EBITDA and distributable cash flow related to its investment in the ET-S Permian and J.C. Nolan joint ventures, which amounts are eliminated in the Energy Transfer consolidation.</w:t>
      </w:r>
    </w:p>
    <w:p>
      <w:pPr>
        <w:pStyle w:val="TextBody"/>
        <w:bidi w:val="0"/>
        <w:spacing w:lineRule="auto" w:line="288" w:before="120" w:after="283"/>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For the three and six months ended June 30, 2026, preferred unitholders’ distributions include $29 million and $59 million, respectively, of accrued distributions on Sunoco LP’s Series A preferred units, which were issued in September 2025.</w:t>
      </w:r>
    </w:p>
    <w:p>
      <w:pPr>
        <w:pStyle w:val="TextBody"/>
        <w:bidi w:val="0"/>
        <w:spacing w:lineRule="auto" w:line="288" w:before="120" w:after="283"/>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Beginning with the three months ended December 31, 2025, this amount includes the distributable cash flow of Sunoco LP and SunocoCorp, eliminating the distributable cash flow of Sunoco LP that is attributable to SunocoCorp.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SUMMARY ANALYSIS OF QUARTERLY RESULTS BY SEGMENT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 amounts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684" w:type="dxa"/>
        <w:jc w:val="left"/>
        <w:tblInd w:w="0" w:type="dxa"/>
        <w:tblLayout w:type="fixed"/>
        <w:tblCellMar>
          <w:top w:w="28" w:type="dxa"/>
          <w:left w:w="28" w:type="dxa"/>
          <w:bottom w:w="28" w:type="dxa"/>
          <w:right w:w="28" w:type="dxa"/>
        </w:tblCellMar>
      </w:tblPr>
      <w:tblGrid>
        <w:gridCol w:w="1606"/>
        <w:gridCol w:w="1411"/>
        <w:gridCol w:w="1423"/>
        <w:gridCol w:w="211"/>
        <w:gridCol w:w="616"/>
        <w:gridCol w:w="109"/>
        <w:gridCol w:w="109"/>
        <w:gridCol w:w="109"/>
        <w:gridCol w:w="109"/>
        <w:gridCol w:w="211"/>
        <w:gridCol w:w="616"/>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EBITDA:</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Intrastate transportation and storage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Interstate transportation and storage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transportation and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and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Sunoco LP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USAC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(consolidated)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analysis of segment operating results includes a measure of segment margin.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Intrastate Transportation and Storage</w:t>
      </w:r>
    </w:p>
    <w:tbl>
      <w:tblPr>
        <w:tblW w:w="9351" w:type="dxa"/>
        <w:jc w:val="left"/>
        <w:tblInd w:w="0" w:type="dxa"/>
        <w:tblLayout w:type="fixed"/>
        <w:tblCellMar>
          <w:top w:w="28" w:type="dxa"/>
          <w:left w:w="28" w:type="dxa"/>
          <w:bottom w:w="28" w:type="dxa"/>
          <w:right w:w="28" w:type="dxa"/>
        </w:tblCellMar>
      </w:tblPr>
      <w:tblGrid>
        <w:gridCol w:w="2649"/>
        <w:gridCol w:w="2331"/>
        <w:gridCol w:w="2339"/>
        <w:gridCol w:w="224"/>
        <w:gridCol w:w="497"/>
        <w:gridCol w:w="109"/>
        <w:gridCol w:w="109"/>
        <w:gridCol w:w="109"/>
        <w:gridCol w:w="109"/>
        <w:gridCol w:w="224"/>
        <w:gridCol w:w="497"/>
        <w:gridCol w:w="154"/>
      </w:tblGrid>
      <w:tr>
        <w:trPr/>
        <w:tc>
          <w:tcPr>
            <w:tcW w:w="2649"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r>
      <w:tr>
        <w:trPr/>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transported (BBtu/d)</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Withdrawals from storage natural gas inventory (BBtu)</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commodity risk management activities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Transported volumes of gas on our Texas intrastate pipelines decreased primarily due to lower third-party utilization of firm capacity. Transported volumes reported above exclude volumes attributable to purchases and sales of gas for our pipelines’ own accounts and the optimization of any unused capacity.</w:t>
      </w:r>
    </w:p>
    <w:p>
      <w:pPr>
        <w:pStyle w:val="TextBody"/>
        <w:bidi w:val="0"/>
        <w:spacing w:lineRule="auto" w:line="288" w:before="120" w:after="283"/>
        <w:jc w:val="both"/>
        <w:rPr/>
      </w:pPr>
      <w:r>
        <w:rPr>
          <w:rFonts w:ascii="Times New Roman;serif" w:hAnsi="Times New Roman;serif"/>
          <w:b w:val="false"/>
          <w:i/>
          <w:color w:val="000000"/>
          <w:sz w:val="20"/>
        </w:rPr>
        <w:t xml:space="preserve">Segment Adjusted EBITDA. </w:t>
      </w:r>
      <w:r>
        <w:rPr>
          <w:rFonts w:ascii="Times New Roman;serif" w:hAnsi="Times New Roman;serif"/>
          <w:b w:val="false"/>
          <w:color w:val="000000"/>
          <w:sz w:val="20"/>
        </w:rPr>
        <w:t xml:space="preserve">For the three months ended June 30, 2026 compared to the same period last year, Segment Adjusted EBITDA related to our intrastate transportation and storage segment increased due to the net impact of the following: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$113 million in realized natural gas sales and other primarily due to wider basis differentials, as well as a $21 million increase from early volumes during the commissioning of the Hugh Brinson Pipeline;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$5 million in transportation fees due to higher reservation revenues on long-term third-party contracts;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$10 million in storage margin due to unfavorable storage optimization;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$14 million in operating expenses primarily due to a $4 million increase in maintenance and project related expenses, a $4 million increase from one-time expenses, a $4 million increase from the commissioning of the Hugh Brinson pipeline, and increases totaling $2 million from various other operating expenses;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$5 million in selling, general and administrative expenses primarily due to higher legal fees.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Interstate Transportation and Storage</w:t>
      </w:r>
    </w:p>
    <w:tbl>
      <w:tblPr>
        <w:tblW w:w="10205" w:type="dxa"/>
        <w:jc w:val="left"/>
        <w:tblInd w:w="0" w:type="dxa"/>
        <w:tblLayout w:type="fixed"/>
        <w:tblCellMar>
          <w:top w:w="28" w:type="dxa"/>
          <w:left w:w="28" w:type="dxa"/>
          <w:bottom w:w="28" w:type="dxa"/>
          <w:right w:w="28" w:type="dxa"/>
        </w:tblCellMar>
      </w:tblPr>
      <w:tblGrid>
        <w:gridCol w:w="2997"/>
        <w:gridCol w:w="2583"/>
        <w:gridCol w:w="2592"/>
        <w:gridCol w:w="224"/>
        <w:gridCol w:w="497"/>
        <w:gridCol w:w="109"/>
        <w:gridCol w:w="109"/>
        <w:gridCol w:w="109"/>
        <w:gridCol w:w="109"/>
        <w:gridCol w:w="224"/>
        <w:gridCol w:w="497"/>
        <w:gridCol w:w="155"/>
      </w:tblGrid>
      <w:tr>
        <w:trPr/>
        <w:tc>
          <w:tcPr>
            <w:tcW w:w="2997"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r>
      <w:tr>
        <w:trPr/>
        <w:tc>
          <w:tcPr>
            <w:tcW w:w="8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transported (BBtu/d)</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sold (BBtu/d)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amortization, accretion and other non-cash expenses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amortization and accretion expenses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2"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8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Transported volumes decreased primarily due to lower utilization on our Trunkline, Gulf Run and Mississippi River systems due to lower demand.</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i/>
          <w:color w:val="000000"/>
          <w:sz w:val="20"/>
        </w:rPr>
        <w:t xml:space="preserve">Segment Adjusted EBITDA. </w:t>
      </w:r>
      <w:r>
        <w:rPr>
          <w:rFonts w:ascii="Times New Roman;serif" w:hAnsi="Times New Roman;serif"/>
          <w:b w:val="false"/>
          <w:color w:val="000000"/>
          <w:sz w:val="20"/>
        </w:rPr>
        <w:t>For the three months ended June 30, 2026 compared to the same period last year, Segment Adjusted EBITDA related to our interstate transportation and storage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$18 million in segment margin primarily due to a $12 million increase in parking, storage and liquids revenue and a $10 million increase in transportation revenue from several of our interstate pipeline systems due to higher contracted volumes and higher utilization, partially offset by a $4 million decrease in operational gas sales;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$10 million in other income primarily due to the realization of proceeds from a shipper bankruptcy settlement; partially offset by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$9 million in operating expenses primarily due to a $4 million increase in maintenance projects, a $3 million increase in employee costs and a $1 million increase in new or renegotiated leases;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$8 million in selling, general and administrative expenses primarily due to higher allocated costs, excise taxes and insurance expense.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Midstream</w:t>
      </w:r>
    </w:p>
    <w:tbl>
      <w:tblPr>
        <w:tblW w:w="9563" w:type="dxa"/>
        <w:jc w:val="left"/>
        <w:tblInd w:w="0" w:type="dxa"/>
        <w:tblLayout w:type="fixed"/>
        <w:tblCellMar>
          <w:top w:w="28" w:type="dxa"/>
          <w:left w:w="28" w:type="dxa"/>
          <w:bottom w:w="28" w:type="dxa"/>
          <w:right w:w="28" w:type="dxa"/>
        </w:tblCellMar>
      </w:tblPr>
      <w:tblGrid>
        <w:gridCol w:w="2651"/>
        <w:gridCol w:w="2325"/>
        <w:gridCol w:w="2343"/>
        <w:gridCol w:w="211"/>
        <w:gridCol w:w="616"/>
        <w:gridCol w:w="109"/>
        <w:gridCol w:w="109"/>
        <w:gridCol w:w="109"/>
        <w:gridCol w:w="109"/>
        <w:gridCol w:w="211"/>
        <w:gridCol w:w="616"/>
        <w:gridCol w:w="154"/>
      </w:tblGrid>
      <w:tr>
        <w:trPr/>
        <w:tc>
          <w:tcPr>
            <w:tcW w:w="2651"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r>
      <w:tr>
        <w:trPr/>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Gathered volumes (BBtu/d)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NGLs produced (MBbls/d)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NGLs (MBbls/d)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Gathered volumes increased from dry gas gathering in the Northeast and Ark-La-Tex regions as well as increased processing volumes from new and upgraded plants in the Permian region. NGL production increased primarily due to increased Permian plant utilization from new and existing plants. </w:t>
      </w:r>
    </w:p>
    <w:p>
      <w:pPr>
        <w:pStyle w:val="TextBody"/>
        <w:bidi w:val="0"/>
        <w:spacing w:lineRule="auto" w:line="288" w:before="120" w:after="283"/>
        <w:jc w:val="both"/>
        <w:rPr/>
      </w:pPr>
      <w:r>
        <w:rPr>
          <w:rFonts w:ascii="Times New Roman;serif" w:hAnsi="Times New Roman;serif"/>
          <w:b w:val="false"/>
          <w:i/>
          <w:color w:val="000000"/>
          <w:sz w:val="20"/>
        </w:rPr>
        <w:t xml:space="preserve">Segment Adjusted EBITDA. </w:t>
      </w:r>
      <w:r>
        <w:rPr>
          <w:rFonts w:ascii="Times New Roman;serif" w:hAnsi="Times New Roman;serif"/>
          <w:b w:val="false"/>
          <w:color w:val="000000"/>
          <w:sz w:val="20"/>
        </w:rPr>
        <w:t>For the three months ended June 30, 2026 compared to the same period last year, Segment Adjusted EBITDA related to our midstream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$205 million in segment margin primarily due to higher NGL prices of $88 million, a positive impact of $11 million from natural gas prices, and an $83 million increase due to higher gathered and processed volumes from increased processing capacity and operational efficiencies;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$14 million in other income due to the realization of proceeds from a shipper bankruptcy settlement;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$97 million in operating expenses primarily due to a $46 million increase related to environmental reserves, a $39 million increase related to the adjustment of certain estimates in the prior period and a $15 million increase in employee costs;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$5 million in selling, general, and administrative expenses primarily due to higher corporate allocations.</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NGL and Refined Products Transportation and Services </w:t>
      </w:r>
    </w:p>
    <w:tbl>
      <w:tblPr>
        <w:tblW w:w="9673" w:type="dxa"/>
        <w:jc w:val="left"/>
        <w:tblInd w:w="0" w:type="dxa"/>
        <w:tblLayout w:type="fixed"/>
        <w:tblCellMar>
          <w:top w:w="28" w:type="dxa"/>
          <w:left w:w="28" w:type="dxa"/>
          <w:bottom w:w="28" w:type="dxa"/>
          <w:right w:w="28" w:type="dxa"/>
        </w:tblCellMar>
      </w:tblPr>
      <w:tblGrid>
        <w:gridCol w:w="2653"/>
        <w:gridCol w:w="2328"/>
        <w:gridCol w:w="2339"/>
        <w:gridCol w:w="211"/>
        <w:gridCol w:w="616"/>
        <w:gridCol w:w="109"/>
        <w:gridCol w:w="109"/>
        <w:gridCol w:w="109"/>
        <w:gridCol w:w="109"/>
        <w:gridCol w:w="211"/>
        <w:gridCol w:w="616"/>
        <w:gridCol w:w="109"/>
        <w:gridCol w:w="154"/>
      </w:tblGrid>
      <w:tr>
        <w:trPr/>
        <w:tc>
          <w:tcPr>
            <w:tcW w:w="2653"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transportation volumes (MBbls/d)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Refined products transportation volumes (MBbls/d)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and refined products terminal volumes (MBbls/d)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 fractionation volumes (MBbls/d)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commodity risk management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NGL transportation, fractionation, and terminal throughput volumes increased due to higher volumes from the Permian region, as well as increased NGL exports.</w:t>
      </w:r>
    </w:p>
    <w:p>
      <w:pPr>
        <w:pStyle w:val="TextBody"/>
        <w:bidi w:val="0"/>
        <w:spacing w:lineRule="auto" w:line="288" w:before="120" w:after="283"/>
        <w:jc w:val="both"/>
        <w:rPr/>
      </w:pPr>
      <w:r>
        <w:rPr>
          <w:rFonts w:ascii="Times New Roman;serif" w:hAnsi="Times New Roman;serif"/>
          <w:b w:val="false"/>
          <w:i/>
          <w:color w:val="000000"/>
          <w:sz w:val="20"/>
        </w:rPr>
        <w:t xml:space="preserve">Segment Adjusted EBITDA. </w:t>
      </w:r>
      <w:r>
        <w:rPr>
          <w:rFonts w:ascii="Times New Roman;serif" w:hAnsi="Times New Roman;serif"/>
          <w:b w:val="false"/>
          <w:color w:val="000000"/>
          <w:sz w:val="20"/>
        </w:rPr>
        <w:t>For the three months ended June 30, 2026 compared to the same period last year, Segment Adjusted EBITDA related to our NGL and refined products transportation and services segment increased due to the net impacts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$212 million in marketing margin (excluding unrealized gains and losses on commodity risk management activities) primarily due to $140 million from higher premiums from the sale of NGLs for export and for domestic supply and a $70 million increase in refined product margins as a result of higher spreads and prices;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$71 million in terminal services margin primarily due to a $63 million increase in fees from loading increased volumes at higher rates for export at our Nederland and Marcus Hook terminals, and an $8 million increase from higher throughput and storage at our refined product terminals;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$28 million in transportation margin due to a $40 million increase related to higher y-grade and NGL throughput, partially offset by a $4 million decrease due to lower refined product transportation volumes due to third-party refinery issues;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$12 million in storage margin primarily due to an increase in fees generated from export volumes, as well as increases related to blending activity due to a more favorable pricing environment;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$12 million in fractionators and refinery services margin primarily due to higher throughput;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$54 million in operating expenses primarily due to a $28 million increase from certain one-time credits recognized in the prior period, a $14 million increase in utilities costs driven by higher volumes across our system, a $6 million increase in employee costs, and increases totaling $5 million from various other operating expenses;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$7 million in selling, general and administrative expenses primarily due to higher overhead costs and legal fees.</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Crude Oil Transportation and Services </w:t>
      </w:r>
    </w:p>
    <w:tbl>
      <w:tblPr>
        <w:tblW w:w="9669" w:type="dxa"/>
        <w:jc w:val="left"/>
        <w:tblInd w:w="0" w:type="dxa"/>
        <w:tblLayout w:type="fixed"/>
        <w:tblCellMar>
          <w:top w:w="28" w:type="dxa"/>
          <w:left w:w="28" w:type="dxa"/>
          <w:bottom w:w="28" w:type="dxa"/>
          <w:right w:w="28" w:type="dxa"/>
        </w:tblCellMar>
      </w:tblPr>
      <w:tblGrid>
        <w:gridCol w:w="2653"/>
        <w:gridCol w:w="2328"/>
        <w:gridCol w:w="2339"/>
        <w:gridCol w:w="211"/>
        <w:gridCol w:w="721"/>
        <w:gridCol w:w="109"/>
        <w:gridCol w:w="109"/>
        <w:gridCol w:w="109"/>
        <w:gridCol w:w="109"/>
        <w:gridCol w:w="211"/>
        <w:gridCol w:w="616"/>
        <w:gridCol w:w="154"/>
      </w:tblGrid>
      <w:tr>
        <w:trPr/>
        <w:tc>
          <w:tcPr>
            <w:tcW w:w="2653"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transportation volumes (MBbls/d)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 terminal volumes (MBbls/d)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commodity risk management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Crude oil transportation volumes were higher due to higher volumes on our Texas pipeline system, our Permian and Bakken gathering systems, partially offset by lower volume on our Mid-continent pipelines. Crude oil terminal volumes were higher due to higher customer throughput related to strategic petroleum reserve releases and crude export demand at our Gulf Coast terminals. Beginning in the current period, the Partnership has updated its approach for calculating crude oil terminal volumes to be consistent across all terminals; volumes reported for prior periods have been revised accordingly.</w:t>
      </w:r>
    </w:p>
    <w:p>
      <w:pPr>
        <w:pStyle w:val="TextBody"/>
        <w:bidi w:val="0"/>
        <w:spacing w:lineRule="auto" w:line="288" w:before="180" w:after="283"/>
        <w:jc w:val="both"/>
        <w:rPr/>
      </w:pPr>
      <w:r>
        <w:rPr>
          <w:rFonts w:ascii="Times New Roman;serif" w:hAnsi="Times New Roman;serif"/>
          <w:b w:val="false"/>
          <w:i/>
          <w:color w:val="000000"/>
          <w:sz w:val="20"/>
        </w:rPr>
        <w:t xml:space="preserve">Segment Adjusted EBITDA. </w:t>
      </w:r>
      <w:r>
        <w:rPr>
          <w:rFonts w:ascii="Times New Roman;serif" w:hAnsi="Times New Roman;serif"/>
          <w:b w:val="false"/>
          <w:color w:val="000000"/>
          <w:sz w:val="20"/>
        </w:rPr>
        <w:t>For the three months ended June 30, 2026 compared to the same period last year, Segment Adjusted EBITDA related to our crude oil transportation and services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$106 million in segment margin (excluding unrealized gains and losses on commodity risk management activities) primarily due to a $62 million increase in optimization gains from more favorable market conditions and higher refined product margins, a $19 million increase in crude gathering revenues, a $17 million increase in transportation revenue, and a $6 million increase from higher crude oil terminal volumes;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$6 million in operating expenses primarily due to lower maintenance project related expenses;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$7 million in selling, general and administrative expenses due primarily to higher expenses associated with a litigation related contingency.</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 in Sunoco LP</w:t>
      </w:r>
    </w:p>
    <w:tbl>
      <w:tblPr>
        <w:tblW w:w="9669" w:type="dxa"/>
        <w:jc w:val="left"/>
        <w:tblInd w:w="0" w:type="dxa"/>
        <w:tblLayout w:type="fixed"/>
        <w:tblCellMar>
          <w:top w:w="28" w:type="dxa"/>
          <w:left w:w="28" w:type="dxa"/>
          <w:bottom w:w="28" w:type="dxa"/>
          <w:right w:w="28" w:type="dxa"/>
        </w:tblCellMar>
      </w:tblPr>
      <w:tblGrid>
        <w:gridCol w:w="2655"/>
        <w:gridCol w:w="2324"/>
        <w:gridCol w:w="2341"/>
        <w:gridCol w:w="211"/>
        <w:gridCol w:w="721"/>
        <w:gridCol w:w="109"/>
        <w:gridCol w:w="109"/>
        <w:gridCol w:w="109"/>
        <w:gridCol w:w="109"/>
        <w:gridCol w:w="211"/>
        <w:gridCol w:w="616"/>
        <w:gridCol w:w="154"/>
      </w:tblGrid>
      <w:tr>
        <w:trPr/>
        <w:tc>
          <w:tcPr>
            <w:tcW w:w="2655"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commodity risk management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fair value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investment in Sunoco LP segment reflects the consolidated results of Sunoco LP.</w:t>
      </w:r>
    </w:p>
    <w:p>
      <w:pPr>
        <w:pStyle w:val="TextBody"/>
        <w:bidi w:val="0"/>
        <w:spacing w:lineRule="auto" w:line="288" w:before="120" w:after="283"/>
        <w:jc w:val="both"/>
        <w:rPr/>
      </w:pPr>
      <w:r>
        <w:rPr>
          <w:rFonts w:ascii="Times New Roman;serif" w:hAnsi="Times New Roman;serif"/>
          <w:b w:val="false"/>
          <w:i/>
          <w:color w:val="000000"/>
          <w:sz w:val="20"/>
          <w:shd w:fill="FFFFFF" w:val="clear"/>
        </w:rPr>
        <w:t>Segment Adjusted EBITDA.</w:t>
      </w:r>
      <w:r>
        <w:rPr>
          <w:color w:val="000000"/>
          <w:shd w:fill="FFFFFF" w:val="clear"/>
        </w:rPr>
        <w:t xml:space="preserve"> </w:t>
      </w:r>
      <w:r>
        <w:rPr>
          <w:rFonts w:ascii="Times New Roman;serif" w:hAnsi="Times New Roman;serif"/>
          <w:b w:val="false"/>
          <w:color w:val="000000"/>
          <w:sz w:val="20"/>
        </w:rPr>
        <w:t>For the three months ended June 30, 2026 compared to the same period last year, Segment Adjusted EBITDA related to our investment in Sunoco LP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$874 million in segment margin (excluding unrealized gains and losses on commodity risk management activities and inventory valuation adjustments) primarily due to recent acquisitions;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$24 million in Adjusted EBITDA related to unconsolidated affiliates primarily due to the Parkland acquisition and ET-S Permian joint venture;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$272 million in operating expenses primarily due to increased costs resulting from recently acquired businesses;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$108 million in selling, general and administrative expenses primarily due to increased costs resulting from recently acquired businesses, along with one-time transaction-related expenses associated with those acquisitions.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 in USAC</w:t>
      </w:r>
    </w:p>
    <w:tbl>
      <w:tblPr>
        <w:tblW w:w="9263" w:type="dxa"/>
        <w:jc w:val="left"/>
        <w:tblInd w:w="0" w:type="dxa"/>
        <w:tblLayout w:type="fixed"/>
        <w:tblCellMar>
          <w:top w:w="28" w:type="dxa"/>
          <w:left w:w="28" w:type="dxa"/>
          <w:bottom w:w="28" w:type="dxa"/>
          <w:right w:w="28" w:type="dxa"/>
        </w:tblCellMar>
      </w:tblPr>
      <w:tblGrid>
        <w:gridCol w:w="2654"/>
        <w:gridCol w:w="2325"/>
        <w:gridCol w:w="2340"/>
        <w:gridCol w:w="211"/>
        <w:gridCol w:w="466"/>
        <w:gridCol w:w="109"/>
        <w:gridCol w:w="109"/>
        <w:gridCol w:w="109"/>
        <w:gridCol w:w="109"/>
        <w:gridCol w:w="211"/>
        <w:gridCol w:w="466"/>
        <w:gridCol w:w="154"/>
      </w:tblGrid>
      <w:tr>
        <w:trPr/>
        <w:tc>
          <w:tcPr>
            <w:tcW w:w="2654"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r>
      <w:tr>
        <w:trPr/>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investment in USAC segment reflects the consolidated results of USAC. </w:t>
      </w:r>
    </w:p>
    <w:p>
      <w:pPr>
        <w:pStyle w:val="TextBody"/>
        <w:bidi w:val="0"/>
        <w:spacing w:lineRule="auto" w:line="288" w:before="180" w:after="283"/>
        <w:jc w:val="both"/>
        <w:rPr/>
      </w:pPr>
      <w:r>
        <w:rPr>
          <w:rFonts w:ascii="Times New Roman;serif" w:hAnsi="Times New Roman;serif"/>
          <w:b w:val="false"/>
          <w:i/>
          <w:color w:val="000000"/>
          <w:sz w:val="20"/>
        </w:rPr>
        <w:t>Segment Adjusted EBITDA.</w:t>
      </w:r>
      <w:r>
        <w:rPr>
          <w:color w:val="000000"/>
        </w:rPr>
        <w:t xml:space="preserve"> </w:t>
      </w:r>
      <w:r>
        <w:rPr>
          <w:rFonts w:ascii="Times New Roman;serif" w:hAnsi="Times New Roman;serif"/>
          <w:b w:val="false"/>
          <w:color w:val="000000"/>
          <w:sz w:val="20"/>
        </w:rPr>
        <w:t>For the three months ended June 30, 2026 compared to the same period last year, Segment Adjusted EBITDA related to our investment in USAC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of $99 million in segment margin primarily due to the J-W Power Acquisition and increases in USAC’s legacy business; partially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$57 million in operating expense and selling, general and administrative expense primarily related to the J-W Power Acquisition, as well as increased expenses in outside services and professional fees. </w:t>
      </w: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All Other</w:t>
      </w:r>
    </w:p>
    <w:tbl>
      <w:tblPr>
        <w:tblW w:w="9264" w:type="dxa"/>
        <w:jc w:val="left"/>
        <w:tblInd w:w="0" w:type="dxa"/>
        <w:tblLayout w:type="fixed"/>
        <w:tblCellMar>
          <w:top w:w="28" w:type="dxa"/>
          <w:left w:w="28" w:type="dxa"/>
          <w:bottom w:w="28" w:type="dxa"/>
          <w:right w:w="28" w:type="dxa"/>
        </w:tblCellMar>
      </w:tblPr>
      <w:tblGrid>
        <w:gridCol w:w="2655"/>
        <w:gridCol w:w="2324"/>
        <w:gridCol w:w="2341"/>
        <w:gridCol w:w="211"/>
        <w:gridCol w:w="466"/>
        <w:gridCol w:w="109"/>
        <w:gridCol w:w="109"/>
        <w:gridCol w:w="109"/>
        <w:gridCol w:w="109"/>
        <w:gridCol w:w="211"/>
        <w:gridCol w:w="466"/>
        <w:gridCol w:w="154"/>
      </w:tblGrid>
      <w:tr>
        <w:trPr/>
        <w:tc>
          <w:tcPr>
            <w:tcW w:w="2655"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C2C2C"/>
                <w:sz w:val="20"/>
              </w:rPr>
            </w:pPr>
            <w:r>
              <w:rPr>
                <w:rFonts w:ascii="Times New Roman;serif" w:hAnsi="Times New Roman;serif"/>
                <w:b w:val="false"/>
                <w:color w:val="2C2C2C"/>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margin</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commodity risk management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non-cash compensation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excluding non-cash compensation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related to unconsolidated affiliates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and eliminations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i/>
          <w:color w:val="000000"/>
          <w:sz w:val="20"/>
        </w:rPr>
        <w:t>Segment Adjusted EBITDA.</w:t>
      </w:r>
      <w:r>
        <w:rPr>
          <w:color w:val="000000"/>
        </w:rPr>
        <w:t xml:space="preserve"> </w:t>
      </w:r>
      <w:r>
        <w:rPr>
          <w:rFonts w:ascii="Times New Roman;serif" w:hAnsi="Times New Roman;serif"/>
          <w:b w:val="false"/>
          <w:color w:val="000000"/>
          <w:sz w:val="20"/>
        </w:rPr>
        <w:t>For the three months ended June 30, 2026 compared to the same period last year, Segment Adjusted EBITDA related to our all other segment increased due to the net impact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an increase of $49 million in our natural gas marketing business driven by favorable spreads and gains on residue gas sales; partially offset by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$11 million due to an increase in the intersegment elimination of Sunoco LP’s 32.5% share of ET-S Permian, which is consolidated in our crude oil transportation and services segment and also reflected as an unconsolidated affiliate in our investment in Sunoco LP segment;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of $13 million in our dual drive compression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SUPPLEMENTAL INFORMATION ON LIQUIDITY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table below provides information on our revolving credit facility. We also have consolidated subsidiaries with revolving credit facilities which are not included in this table.</w:t>
      </w:r>
    </w:p>
    <w:tbl>
      <w:tblPr>
        <w:tblW w:w="8992" w:type="dxa"/>
        <w:jc w:val="left"/>
        <w:tblInd w:w="0" w:type="dxa"/>
        <w:tblLayout w:type="fixed"/>
        <w:tblCellMar>
          <w:top w:w="28" w:type="dxa"/>
          <w:left w:w="28" w:type="dxa"/>
          <w:bottom w:w="28" w:type="dxa"/>
          <w:right w:w="28" w:type="dxa"/>
        </w:tblCellMar>
      </w:tblPr>
      <w:tblGrid>
        <w:gridCol w:w="1108"/>
        <w:gridCol w:w="972"/>
        <w:gridCol w:w="979"/>
        <w:gridCol w:w="253"/>
        <w:gridCol w:w="741"/>
        <w:gridCol w:w="131"/>
        <w:gridCol w:w="109"/>
        <w:gridCol w:w="109"/>
        <w:gridCol w:w="109"/>
        <w:gridCol w:w="635"/>
        <w:gridCol w:w="1856"/>
        <w:gridCol w:w="328"/>
        <w:gridCol w:w="109"/>
        <w:gridCol w:w="109"/>
        <w:gridCol w:w="109"/>
        <w:gridCol w:w="390"/>
        <w:gridCol w:w="390"/>
        <w:gridCol w:w="555"/>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Facility Size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Funds Available 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Maturity Date</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Five-Year Revolving Credit Facility</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11, 2029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SUPPLEMENTAL INFORMATION ON UNCONSOLIDATED AFFILIATES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table below provides information on an aggregated basis for our unconsolidated affiliates, which are accounted for as equity method investments in the Partnership’s financial statements for the periods presented.</w:t>
      </w:r>
    </w:p>
    <w:tbl>
      <w:tblPr>
        <w:tblW w:w="6893" w:type="dxa"/>
        <w:jc w:val="left"/>
        <w:tblInd w:w="0" w:type="dxa"/>
        <w:tblLayout w:type="fixed"/>
        <w:tblCellMar>
          <w:top w:w="28" w:type="dxa"/>
          <w:left w:w="28" w:type="dxa"/>
          <w:bottom w:w="28" w:type="dxa"/>
          <w:right w:w="28" w:type="dxa"/>
        </w:tblCellMar>
      </w:tblPr>
      <w:tblGrid>
        <w:gridCol w:w="1794"/>
        <w:gridCol w:w="1573"/>
        <w:gridCol w:w="1582"/>
        <w:gridCol w:w="211"/>
        <w:gridCol w:w="466"/>
        <w:gridCol w:w="109"/>
        <w:gridCol w:w="109"/>
        <w:gridCol w:w="109"/>
        <w:gridCol w:w="109"/>
        <w:gridCol w:w="211"/>
        <w:gridCol w:w="466"/>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in earnings of unconsolidated affiliates: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Citrus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MEP</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Cliffs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SESH</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in earnings of unconsolidated affiliates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related to unconsolidated affiliates: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Citrus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MEP</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Cliffs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SESH</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EBITDA related to unconsolidated affiliates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Distributions received from unconsolidated affiliates: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Citrus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MEP</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Cliffs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Explorer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SESH</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distributions received from unconsolidated affiliates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hanging="36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ENERGY TRANSFER LP AND SUBSIDIARIES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SUPPLEMENTAL INFORMATION ON NON-WHOLLY OWNED JOINT VENTURE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table below provides information on an aggregated basis for our non-wholly owned joint venture subsidiaries, which are reflected on a consolidated basis in our financial statements. The table below excludes Sunoco LP and USAC, which are non-wholly owned subsidiaries that are publicly traded, as well as Sunoco LP’s 32.5% interest in the ET-S Permian joint venture.</w:t>
      </w:r>
    </w:p>
    <w:tbl>
      <w:tblPr>
        <w:tblW w:w="9204" w:type="dxa"/>
        <w:jc w:val="left"/>
        <w:tblInd w:w="0" w:type="dxa"/>
        <w:tblLayout w:type="fixed"/>
        <w:tblCellMar>
          <w:top w:w="28" w:type="dxa"/>
          <w:left w:w="28" w:type="dxa"/>
          <w:bottom w:w="28" w:type="dxa"/>
          <w:right w:w="28" w:type="dxa"/>
        </w:tblCellMar>
      </w:tblPr>
      <w:tblGrid>
        <w:gridCol w:w="2627"/>
        <w:gridCol w:w="2312"/>
        <w:gridCol w:w="2321"/>
        <w:gridCol w:w="211"/>
        <w:gridCol w:w="466"/>
        <w:gridCol w:w="109"/>
        <w:gridCol w:w="109"/>
        <w:gridCol w:w="109"/>
        <w:gridCol w:w="109"/>
        <w:gridCol w:w="211"/>
        <w:gridCol w:w="466"/>
        <w:gridCol w:w="154"/>
      </w:tblGrid>
      <w:tr>
        <w:trPr/>
        <w:tc>
          <w:tcPr>
            <w:tcW w:w="2627"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of non-wholly owned subsidiaries (100%) </w:t>
            </w:r>
            <w:r>
              <w:rPr>
                <w:rFonts w:ascii="Times New Roman;serif" w:hAnsi="Times New Roman;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Our proportionate share of Adjusted EBITDA of non-wholly owned subsidiaries </w:t>
            </w:r>
            <w:r>
              <w:rPr>
                <w:rFonts w:ascii="Times New Roman;serif" w:hAnsi="Times New Roman;serif"/>
                <w:b w:val="false"/>
                <w:color w:val="000000"/>
                <w:sz w:val="13"/>
              </w:rPr>
              <w:t>(b)</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Distributable Cash Flow of non-wholly owned subsidiaries (100%) </w:t>
            </w:r>
            <w:r>
              <w:rPr>
                <w:rFonts w:ascii="Times New Roman;serif" w:hAnsi="Times New Roman;serif"/>
                <w:b w:val="false"/>
                <w:color w:val="000000"/>
                <w:sz w:val="13"/>
              </w:rPr>
              <w:t>(c)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Our proportionate share of Distributable Cash Flow of non-wholly owned subsidiaries </w:t>
            </w:r>
            <w:r>
              <w:rPr>
                <w:rFonts w:ascii="Times New Roman;serif" w:hAnsi="Times New Roman;serif"/>
                <w:b w:val="false"/>
                <w:color w:val="000000"/>
                <w:sz w:val="13"/>
              </w:rPr>
              <w:t>(d)</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Below is our ownership percentage of certain non-wholly owned subsidiaries:</w:t>
      </w:r>
    </w:p>
    <w:tbl>
      <w:tblPr>
        <w:tblW w:w="6148" w:type="dxa"/>
        <w:jc w:val="left"/>
        <w:tblInd w:w="0" w:type="dxa"/>
        <w:tblLayout w:type="fixed"/>
        <w:tblCellMar>
          <w:top w:w="28" w:type="dxa"/>
          <w:left w:w="28" w:type="dxa"/>
          <w:bottom w:w="28" w:type="dxa"/>
          <w:right w:w="28" w:type="dxa"/>
        </w:tblCellMar>
      </w:tblPr>
      <w:tblGrid>
        <w:gridCol w:w="967"/>
        <w:gridCol w:w="850"/>
        <w:gridCol w:w="852"/>
        <w:gridCol w:w="1016"/>
        <w:gridCol w:w="1016"/>
        <w:gridCol w:w="1447"/>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Non-wholly owned subsidiary:</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erif" w:hAnsi="Times New Roman;serif"/>
                <w:b w:val="false"/>
                <w:color w:val="000000"/>
                <w:sz w:val="20"/>
              </w:rPr>
              <w:t xml:space="preserve">Energy Transfer Percentage Ownership </w:t>
            </w:r>
            <w:r>
              <w:rPr>
                <w:rFonts w:ascii="Times New Roman;serif" w:hAnsi="Times New Roman;serif"/>
                <w:b w:val="false"/>
                <w:color w:val="000000"/>
                <w:sz w:val="13"/>
              </w:rPr>
              <w:t>(e)</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Bakken Pipeline</w:t>
            </w:r>
          </w:p>
        </w:tc>
        <w:tc>
          <w:tcPr>
            <w:tcW w:w="2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Bayou Bridge</w:t>
            </w:r>
          </w:p>
        </w:tc>
        <w:tc>
          <w:tcPr>
            <w:tcW w:w="2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Maurepas</w:t>
            </w:r>
          </w:p>
        </w:tc>
        <w:tc>
          <w:tcPr>
            <w:tcW w:w="2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44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 River System</w:t>
            </w:r>
          </w:p>
        </w:tc>
        <w:tc>
          <w:tcPr>
            <w:tcW w:w="2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 Express Partners</w:t>
            </w:r>
          </w:p>
        </w:tc>
        <w:tc>
          <w:tcPr>
            <w:tcW w:w="2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44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 Bluff Express</w:t>
            </w:r>
          </w:p>
        </w:tc>
        <w:tc>
          <w:tcPr>
            <w:tcW w:w="2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Rover</w:t>
            </w:r>
          </w:p>
        </w:tc>
        <w:tc>
          <w:tcPr>
            <w:tcW w:w="2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44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r>
    </w:tbl>
    <w:p>
      <w:pPr>
        <w:pStyle w:val="TextBody"/>
        <w:bidi w:val="0"/>
        <w:spacing w:lineRule="auto" w:line="288" w:before="120" w:after="283"/>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Adjusted EBITDA of non-wholly owned subsidiaries reflects the total Adjusted EBITDA of our non-wholly owned subsidiaries on an aggregated basis. This is the amount included in our consolidated non-GAAP measure of Adjusted EBITDA.</w:t>
      </w:r>
    </w:p>
    <w:p>
      <w:pPr>
        <w:pStyle w:val="TextBody"/>
        <w:bidi w:val="0"/>
        <w:spacing w:lineRule="auto" w:line="288" w:before="120" w:after="283"/>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Our proportionate share of Adjusted EBITDA of non-wholly owned subsidiaries reflects the amount of Adjusted EBITDA of such subsidiaries (on an aggregated basis) that is attributable to our ownership interest.</w:t>
      </w:r>
    </w:p>
    <w:p>
      <w:pPr>
        <w:pStyle w:val="TextBody"/>
        <w:bidi w:val="0"/>
        <w:spacing w:lineRule="auto" w:line="288" w:before="120" w:after="283"/>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Distributable Cash Flow of non-wholly owned subsidiaries reflects the total Distributable Cash Flow of our non-wholly owned subsidiaries on an aggregated basis.</w:t>
      </w:r>
    </w:p>
    <w:p>
      <w:pPr>
        <w:pStyle w:val="TextBody"/>
        <w:bidi w:val="0"/>
        <w:spacing w:lineRule="auto" w:line="288" w:before="120" w:after="283"/>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Our proportionate share of Distributable Cash Flow of non-wholly owned subsidiaries reflects the amount of Distributable Cash Flow of such subsidiaries (on an aggregated basis) that is attributable to our ownership interest. This is the amount included in our consolidated non-GAAP measure of Distributable Cash Flow attributable to the partners of Energy Transfer.</w:t>
      </w:r>
    </w:p>
    <w:p>
      <w:pPr>
        <w:pStyle w:val="TextBody"/>
        <w:bidi w:val="0"/>
        <w:spacing w:lineRule="auto" w:line="288" w:before="120" w:after="283"/>
        <w:ind w:left="0" w:right="0" w:hanging="360"/>
        <w:jc w:val="both"/>
        <w:rPr/>
      </w:pPr>
      <w:r>
        <w:rPr>
          <w:rFonts w:ascii="Times New Roman;serif" w:hAnsi="Times New Roman;serif"/>
          <w:b w:val="false"/>
          <w:color w:val="000000"/>
          <w:sz w:val="13"/>
        </w:rPr>
        <w:t>(e)</w:t>
      </w:r>
      <w:r>
        <w:rPr>
          <w:rFonts w:ascii="Times New Roman;serif" w:hAnsi="Times New Roman;serif"/>
          <w:b w:val="false"/>
          <w:color w:val="000000"/>
          <w:sz w:val="20"/>
        </w:rPr>
        <w:t>Our ownership reflects the total economic interest held by us and our subsidiaries. In some cases, this percentage comprises ownership interests held in (or by) multiple entities.</w:t>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6658</Words>
  <Characters>37798</Characters>
  <CharactersWithSpaces>43819</CharactersWithSpaces>
  <Paragraphs>1134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