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UNITED STATES</w:t>
        <w:br/>
        <w:t>SECURITIES AND EXCHANGE COMMISSION</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8-A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FOR REGISTRATION OF CERTAIN CLASSES OF SECURITIES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PURSUANT TO SECTION 12(b) OR 12(g) OF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THE SECURITIES EXCHANGE ACT OF 1934</w:t>
      </w:r>
    </w:p>
    <w:tbl>
      <w:tblPr>
        <w:tblW w:w="7561" w:type="dxa"/>
        <w:jc w:val="center"/>
        <w:tblInd w:w="0" w:type="dxa"/>
        <w:tblLayout w:type="fixed"/>
        <w:tblCellMar>
          <w:top w:w="28" w:type="dxa"/>
          <w:left w:w="28" w:type="dxa"/>
          <w:bottom w:w="28" w:type="dxa"/>
          <w:right w:w="28" w:type="dxa"/>
        </w:tblCellMar>
      </w:tblPr>
      <w:tblGrid>
        <w:gridCol w:w="1195"/>
        <w:gridCol w:w="1052"/>
        <w:gridCol w:w="1052"/>
        <w:gridCol w:w="456"/>
        <w:gridCol w:w="456"/>
        <w:gridCol w:w="456"/>
        <w:gridCol w:w="843"/>
        <w:gridCol w:w="843"/>
        <w:gridCol w:w="1208"/>
      </w:tblGrid>
      <w:tr>
        <w:trPr/>
        <w:tc>
          <w:tcPr>
            <w:tcW w:w="1195"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4262" w:type="dxa"/>
            <w:gridSpan w:val="6"/>
            <w:tcBorders/>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4262" w:type="dxa"/>
            <w:gridSpan w:val="6"/>
            <w:tcBorders/>
          </w:tcPr>
          <w:p>
            <w:pPr>
              <w:pStyle w:val="TableContents"/>
              <w:bidi w:val="0"/>
              <w:spacing w:before="0" w:after="283"/>
              <w:jc w:val="left"/>
              <w:rPr>
                <w:sz w:val="4"/>
                <w:szCs w:val="4"/>
              </w:rPr>
            </w:pPr>
            <w:r>
              <w:rPr>
                <w:sz w:val="4"/>
                <w:szCs w:val="4"/>
              </w:rPr>
            </w:r>
          </w:p>
        </w:tc>
      </w:tr>
      <w:tr>
        <w:trPr/>
        <w:tc>
          <w:tcPr>
            <w:tcW w:w="756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36"/>
              </w:rPr>
            </w:pPr>
            <w:r>
              <w:rPr>
                <w:rFonts w:ascii="Times New Roman;serif" w:hAnsi="Times New Roman;serif"/>
                <w:b/>
                <w:color w:val="000000"/>
                <w:sz w:val="36"/>
              </w:rPr>
              <w:t>ENERGY TRANSFER LP</w:t>
            </w:r>
          </w:p>
        </w:tc>
      </w:tr>
      <w:tr>
        <w:trPr/>
        <w:tc>
          <w:tcPr>
            <w:tcW w:w="75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Texas</w:t>
            </w:r>
          </w:p>
        </w:tc>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30-0108820</w:t>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of incorporation or organization)</w:t>
            </w:r>
          </w:p>
        </w:tc>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8111 Westchester Drive, Suite 600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Dallas, Texas 75225 </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and zip code)</w:t>
      </w:r>
    </w:p>
    <w:p>
      <w:pPr>
        <w:pStyle w:val="TextBody"/>
        <w:bidi w:val="0"/>
        <w:spacing w:before="100" w:after="283"/>
        <w:jc w:val="center"/>
        <w:rPr/>
      </w:pPr>
      <w:r>
        <w:rPr/>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10205" w:type="dxa"/>
        <w:jc w:val="center"/>
        <w:tblInd w:w="0" w:type="dxa"/>
        <w:tblLayout w:type="fixed"/>
        <w:tblCellMar>
          <w:top w:w="28" w:type="dxa"/>
          <w:left w:w="28" w:type="dxa"/>
          <w:bottom w:w="28" w:type="dxa"/>
          <w:right w:w="28" w:type="dxa"/>
        </w:tblCellMar>
      </w:tblPr>
      <w:tblGrid>
        <w:gridCol w:w="1502"/>
        <w:gridCol w:w="1323"/>
        <w:gridCol w:w="1327"/>
        <w:gridCol w:w="109"/>
        <w:gridCol w:w="109"/>
        <w:gridCol w:w="109"/>
        <w:gridCol w:w="109"/>
        <w:gridCol w:w="109"/>
        <w:gridCol w:w="109"/>
        <w:gridCol w:w="109"/>
        <w:gridCol w:w="109"/>
        <w:gridCol w:w="109"/>
        <w:gridCol w:w="1481"/>
        <w:gridCol w:w="1481"/>
        <w:gridCol w:w="2110"/>
      </w:tblGrid>
      <w:tr>
        <w:trPr/>
        <w:tc>
          <w:tcPr>
            <w:tcW w:w="1502"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2110" w:type="dxa"/>
            <w:tcBorders/>
            <w:vAlign w:val="center"/>
          </w:tcPr>
          <w:p>
            <w:pPr>
              <w:pStyle w:val="TableContents"/>
              <w:bidi w:val="0"/>
              <w:spacing w:before="0" w:after="283"/>
              <w:jc w:val="left"/>
              <w:rPr>
                <w:sz w:val="4"/>
                <w:szCs w:val="4"/>
              </w:rPr>
            </w:pPr>
            <w:r>
              <w:rPr>
                <w:sz w:val="4"/>
                <w:szCs w:val="4"/>
              </w:rPr>
            </w:r>
          </w:p>
        </w:tc>
      </w:tr>
      <w:tr>
        <w:trPr/>
        <w:tc>
          <w:tcPr>
            <w:tcW w:w="41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 to be so registered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each class is to be registered</w:t>
            </w:r>
          </w:p>
        </w:tc>
      </w:tr>
      <w:tr>
        <w:trPr/>
        <w:tc>
          <w:tcPr>
            <w:tcW w:w="4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Texas Stock Exchange</w:t>
            </w:r>
          </w:p>
        </w:tc>
      </w:tr>
      <w:tr>
        <w:trPr/>
        <w:tc>
          <w:tcPr>
            <w:tcW w:w="41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9.250% Series I Fixed Rate Perpetual Preferred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Texas Stock Exchange</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9" w:before="0" w:after="0"/>
        <w:jc w:val="left"/>
        <w:rPr/>
      </w:pPr>
      <w:r>
        <w:rPr>
          <w:rFonts w:ascii="Times New Roman;serif" w:hAnsi="Times New Roman;serif"/>
          <w:b w:val="false"/>
          <w:color w:val="000000"/>
          <w:sz w:val="20"/>
        </w:rPr>
        <w:t>If this form relates to the registration of a class of securities pursuant to Section 12(b) of the Exchange Act and is effective pursuant to General Instruction A.(c) or (e), check the following box.</w:t>
      </w:r>
      <w:r>
        <w:rPr>
          <w:color w:val="000000"/>
        </w:rPr>
        <w:t xml:space="preserve"> </w:t>
      </w:r>
      <w:r>
        <w:rPr>
          <w:rFonts w:ascii="Wingdings;sans-serif" w:hAnsi="Wingdings;sans-serif"/>
          <w:b w:val="false"/>
          <w:color w:val="000000"/>
          <w:sz w:val="20"/>
        </w:rPr>
        <w:t>x</w:t>
      </w:r>
      <w:r>
        <w:rPr>
          <w:color w:val="000000"/>
        </w:rPr>
        <w:t xml:space="preserve"> </w:t>
      </w:r>
    </w:p>
    <w:p>
      <w:pPr>
        <w:pStyle w:val="TextBody"/>
        <w:bidi w:val="0"/>
        <w:spacing w:before="0" w:after="0"/>
        <w:jc w:val="left"/>
        <w:rPr/>
      </w:pPr>
      <w:r>
        <w:rPr/>
      </w:r>
    </w:p>
    <w:p>
      <w:pPr>
        <w:pStyle w:val="TextBody"/>
        <w:bidi w:val="0"/>
        <w:spacing w:lineRule="auto" w:line="249" w:before="0" w:after="0"/>
        <w:jc w:val="left"/>
        <w:rPr/>
      </w:pPr>
      <w:r>
        <w:rPr>
          <w:rFonts w:ascii="Times New Roman;serif" w:hAnsi="Times New Roman;serif"/>
          <w:b w:val="false"/>
          <w:color w:val="000000"/>
          <w:sz w:val="20"/>
        </w:rPr>
        <w:t xml:space="preserve">If this form relates to the registration of a class of securities pursuant to Section 12(g) of the Exchange Act and is effective pursuant to General Instruction A.(d) or (e), check the following box. </w:t>
      </w:r>
      <w:r>
        <w:rPr>
          <w:color w:val="000000"/>
        </w:rPr>
        <w:t>☐</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If this form relates to the registration of a class of securities concurrently with a Regulation A offering, check the following box. </w:t>
      </w:r>
      <w:r>
        <w:rPr>
          <w:color w:val="000000"/>
        </w:rPr>
        <w:t>☐</w:t>
      </w:r>
    </w:p>
    <w:p>
      <w:pPr>
        <w:pStyle w:val="TextBody"/>
        <w:bidi w:val="0"/>
        <w:spacing w:before="0" w:after="0"/>
        <w:jc w:val="center"/>
        <w:rPr/>
      </w:pPr>
      <w:r>
        <w:rPr/>
      </w:r>
    </w:p>
    <w:p>
      <w:pPr>
        <w:pStyle w:val="TextBody"/>
        <w:bidi w:val="0"/>
        <w:spacing w:lineRule="auto" w:line="247" w:before="0" w:after="0"/>
        <w:jc w:val="center"/>
        <w:rPr>
          <w:rFonts w:ascii="Times New Roman;serif" w:hAnsi="Times New Roman;serif"/>
          <w:b/>
          <w:color w:val="000000"/>
          <w:sz w:val="20"/>
        </w:rPr>
      </w:pPr>
      <w:r>
        <w:rPr>
          <w:rFonts w:ascii="Times New Roman;serif" w:hAnsi="Times New Roman;serif"/>
          <w:b/>
          <w:color w:val="000000"/>
          <w:sz w:val="20"/>
        </w:rPr>
        <w:t>Securities Act registration statement or Regulation A offering statement file number to which this form relates (if applicable): None</w:t>
      </w:r>
    </w:p>
    <w:p>
      <w:pPr>
        <w:pStyle w:val="TextBody"/>
        <w:bidi w:val="0"/>
        <w:spacing w:before="0" w:after="0"/>
        <w:jc w:val="center"/>
        <w:rPr/>
      </w:pPr>
      <w:r>
        <w:rPr/>
      </w:r>
    </w:p>
    <w:p>
      <w:pPr>
        <w:pStyle w:val="TextBody"/>
        <w:bidi w:val="0"/>
        <w:spacing w:lineRule="auto" w:line="247" w:before="0" w:after="0"/>
        <w:jc w:val="center"/>
        <w:rPr>
          <w:rFonts w:ascii="Times New Roman;serif" w:hAnsi="Times New Roman;serif"/>
          <w:b/>
          <w:color w:val="000000"/>
          <w:sz w:val="20"/>
        </w:rPr>
      </w:pPr>
      <w:r>
        <w:rPr>
          <w:rFonts w:ascii="Times New Roman;serif" w:hAnsi="Times New Roman;serif"/>
          <w:b/>
          <w:color w:val="000000"/>
          <w:sz w:val="20"/>
        </w:rPr>
        <w:t>Securities to be registered pursuant to Section 12(g) of the Act: None</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INFORMATION REQUIRED IN REGISTRATION STATEMENT</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Item 1. Description of Registrant’s Securities to be Registered.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 description of the Common Units (the “Common Units”) representing limited partner interests in Energy Transfer LP (the “Registrant”) is contained in Exhibit 4.70 to the Registrant’s Annual Report on Form 10-K for the year ended December 31, 2023, filed with the Securities and Exchange Commission (the “SEC”) on February 16, 2024, and under the heading “Redomiciliation from Delaware to Texas” in the Registrant’s Form 8-K12B filed with the SEC on July 6, 2026, and which descriptions are incorporated herein by reference.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 description of the 9.250% Series I Fixed Rate Perpetual Preferred Units (the “Series I Preferred Units”) representing limited partner interests in the Registrant is contained in Exhibit 4.69 to in the Registrant’s Annual Report on Form 10-K for the year ended December 31, 2023, filed with the SEC on February 16, 2024, and which description is incorporated herein by reference.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Item 2. Exhibits.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Under the “Instructions as to Exhibits” with respect to Form 8-A, no exhibits are required to be filed with this registration statement because no other securities of the Registrant are registered on the Texas Stock Exchange and the securities registered hereby are not being registered pursuant to Section 12(g) of the Securities Exchange Act of 1934, as amended.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SIGNATURES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12 of the Securities Exchange Act of 1934, the Registrant has duly caused this registration statement to be signed on its behalf by the undersigned, thereto duly authorized.</w:t>
      </w:r>
    </w:p>
    <w:tbl>
      <w:tblPr>
        <w:tblW w:w="8369" w:type="dxa"/>
        <w:jc w:val="left"/>
        <w:tblInd w:w="0" w:type="dxa"/>
        <w:tblLayout w:type="fixed"/>
        <w:tblCellMar>
          <w:top w:w="28" w:type="dxa"/>
          <w:left w:w="28" w:type="dxa"/>
          <w:bottom w:w="28" w:type="dxa"/>
          <w:right w:w="28" w:type="dxa"/>
        </w:tblCellMar>
      </w:tblPr>
      <w:tblGrid>
        <w:gridCol w:w="200"/>
        <w:gridCol w:w="177"/>
        <w:gridCol w:w="178"/>
        <w:gridCol w:w="574"/>
        <w:gridCol w:w="574"/>
        <w:gridCol w:w="576"/>
        <w:gridCol w:w="365"/>
        <w:gridCol w:w="365"/>
        <w:gridCol w:w="365"/>
        <w:gridCol w:w="1449"/>
        <w:gridCol w:w="1449"/>
        <w:gridCol w:w="2097"/>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2097"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ENERGY TRANSFER LP</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 GP, LLC, its general partner</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Date:</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September 28, 2026</w:t>
            </w:r>
          </w:p>
        </w:tc>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Dylan A. Bramhall</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Dylan A. Bramhall</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Group 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521</Words>
  <Characters>2778</Characters>
  <CharactersWithSpaces>3264</CharactersWithSpaces>
  <Paragraphs>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