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17, 2021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ENERGY TRANSFER OPERATING, L.P.</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99" w:right="339" w:bottom="1440" w:gutter="0" w:footer="0" w:header="0"/>
        </w:sectPr>
      </w:pPr>
    </w:p>
    <w:p>
      <w:pPr>
        <w:spacing w:after="0" w:line="20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1-31219</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73-1493906</w:t>
      </w:r>
    </w:p>
    <w:p>
      <w:pPr>
        <w:spacing w:after="0" w:line="31" w:lineRule="exact"/>
        <w:rPr>
          <w:sz w:val="24"/>
          <w:szCs w:val="24"/>
          <w:color w:val="auto"/>
        </w:rPr>
      </w:pPr>
    </w:p>
    <w:p>
      <w:pPr>
        <w:sectPr>
          <w:pgSz w:w="11900" w:h="16838" w:orient="portrait"/>
          <w:cols w:equalWidth="0" w:num="3">
            <w:col w:w="4600" w:space="720"/>
            <w:col w:w="2420" w:space="720"/>
            <w:col w:w="2780"/>
          </w:cols>
          <w:pgMar w:left="320" w:top="999" w:right="339" w:bottom="1440" w:gutter="0" w:footer="0" w:header="0"/>
          <w:type w:val="continuous"/>
        </w:sectPr>
      </w:pPr>
    </w:p>
    <w:p>
      <w:pPr>
        <w:jc w:val="center"/>
        <w:ind w:left="7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87" w:lineRule="exact"/>
        <w:rPr>
          <w:sz w:val="24"/>
          <w:szCs w:val="24"/>
          <w:color w:val="auto"/>
        </w:rPr>
      </w:pPr>
    </w:p>
    <w:p>
      <w:pPr>
        <w:sectPr>
          <w:pgSz w:w="11900" w:h="16838" w:orient="portrait"/>
          <w:cols w:equalWidth="0" w:num="3">
            <w:col w:w="3920" w:space="700"/>
            <w:col w:w="2320" w:space="720"/>
            <w:col w:w="3580"/>
          </w:cols>
          <w:pgMar w:left="320" w:top="99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8111 Westchester Drive, Suite 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75225</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981-0700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640" w:firstLine="8"/>
        <w:spacing w:after="0" w:line="427" w:lineRule="auto"/>
        <w:tabs>
          <w:tab w:leader="none" w:pos="5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120" w:type="dxa"/>
            <w:vAlign w:val="bottom"/>
          </w:tcPr>
          <w:p>
            <w:pPr>
              <w:spacing w:after="0"/>
              <w:rPr>
                <w:sz w:val="16"/>
                <w:szCs w:val="16"/>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34"/>
        </w:trPr>
        <w:tc>
          <w:tcPr>
            <w:tcW w:w="45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7.375% Series C Fixed-to-Floating Rate Cumulative Redeemable</w:t>
            </w:r>
          </w:p>
        </w:tc>
        <w:tc>
          <w:tcPr>
            <w:tcW w:w="120" w:type="dxa"/>
            <w:vAlign w:val="bottom"/>
          </w:tcPr>
          <w:p>
            <w:pPr>
              <w:spacing w:after="0"/>
              <w:rPr>
                <w:sz w:val="11"/>
                <w:szCs w:val="11"/>
                <w:color w:val="auto"/>
              </w:rPr>
            </w:pPr>
          </w:p>
        </w:tc>
        <w:tc>
          <w:tcPr>
            <w:tcW w:w="2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ETPprC</w:t>
            </w:r>
          </w:p>
        </w:tc>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78"/>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Perpetual Preferred Units</w:t>
            </w:r>
          </w:p>
        </w:tc>
        <w:tc>
          <w:tcPr>
            <w:tcW w:w="2400" w:type="dxa"/>
            <w:vAlign w:val="bottom"/>
            <w:gridSpan w:val="2"/>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7.625% Series D Fixed-to-Floating Rate Cumulative Redeemable</w:t>
            </w:r>
          </w:p>
        </w:tc>
        <w:tc>
          <w:tcPr>
            <w:tcW w:w="2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ETPprD</w:t>
            </w:r>
          </w:p>
        </w:tc>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78"/>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Perpetual Preferred Units</w:t>
            </w:r>
          </w:p>
        </w:tc>
        <w:tc>
          <w:tcPr>
            <w:tcW w:w="2400" w:type="dxa"/>
            <w:vAlign w:val="bottom"/>
            <w:gridSpan w:val="2"/>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7.600% Series E Fixed-to-Floating Rate Cumulative Redeemable</w:t>
            </w:r>
          </w:p>
        </w:tc>
        <w:tc>
          <w:tcPr>
            <w:tcW w:w="2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ETPprE</w:t>
            </w:r>
          </w:p>
        </w:tc>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0"/>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Perpetual Preferred Units</w:t>
            </w:r>
          </w:p>
        </w:tc>
        <w:tc>
          <w:tcPr>
            <w:tcW w:w="2400" w:type="dxa"/>
            <w:vAlign w:val="bottom"/>
            <w:gridSpan w:val="2"/>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18"/>
          <w:szCs w:val="18"/>
          <w:color w:val="auto"/>
        </w:rPr>
        <w:t>On February 17, 2021, Energy Transfer LP ("Energy Transfer"), which owns the general partner of Energy Transfer Operating, L.P. (the "Partnership"), issued a press release announcing the financial and operating results of Energy Transfer, including certain financial results of the Partnership, for the fiscal year and fourth fiscal quarter ended December 31, 2020. A copy of Energy Transfer's press release is furnished as Exhibit 99.1 to this report and is incorporated herein by reference.</w:t>
      </w:r>
    </w:p>
    <w:p>
      <w:pPr>
        <w:spacing w:after="0" w:line="126" w:lineRule="exact"/>
        <w:rPr>
          <w:sz w:val="20"/>
          <w:szCs w:val="20"/>
          <w:color w:val="auto"/>
        </w:rPr>
      </w:pPr>
    </w:p>
    <w:p>
      <w:pPr>
        <w:jc w:val="both"/>
        <w:ind w:firstLine="193"/>
        <w:spacing w:after="0" w:line="28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the attached Exhibit 99.1 is deemed to be “furnished” and shall not be deemed to be “filed” for purposes of Section 18 of the Exchange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p>
      <w:pPr>
        <w:ind w:firstLine="656"/>
        <w:spacing w:after="0" w:line="286" w:lineRule="auto"/>
        <w:tabs>
          <w:tab w:leader="none" w:pos="9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In accordance with General Instruction B.2 of Form 8-K, the information set forth in the attached Exhibit 99.1 is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and shall not be deemed to be “filed” for purposes of Section 18 of the Exchange Act.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the Exhibit</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260" w:type="dxa"/>
            <w:vAlign w:val="bottom"/>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99.1</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0" w:type="dxa"/>
            <w:vAlign w:val="bottom"/>
            <w:gridSpan w:val="2"/>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Energy Transfer LP Press Release dated February 17, 2021</w:t>
              </w:r>
            </w:hyperlink>
          </w:p>
        </w:tc>
      </w:tr>
      <w:tr>
        <w:trPr>
          <w:trHeight w:val="23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9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94"/>
        </w:trPr>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79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ENERGY TRANSFER OPERATING, L.P.</w:t>
            </w:r>
          </w:p>
        </w:tc>
      </w:tr>
      <w:tr>
        <w:trPr>
          <w:trHeight w:val="279"/>
        </w:trPr>
        <w:tc>
          <w:tcPr>
            <w:tcW w:w="2900" w:type="dxa"/>
            <w:vAlign w:val="bottom"/>
          </w:tcPr>
          <w:p>
            <w:pPr>
              <w:spacing w:after="0"/>
              <w:rPr>
                <w:sz w:val="24"/>
                <w:szCs w:val="24"/>
                <w:color w:val="auto"/>
              </w:rPr>
            </w:pPr>
          </w:p>
        </w:tc>
        <w:tc>
          <w:tcPr>
            <w:tcW w:w="1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Energy Transfer Partners GP, L.P.,</w:t>
            </w:r>
          </w:p>
        </w:tc>
      </w:tr>
      <w:tr>
        <w:trPr>
          <w:trHeight w:val="234"/>
        </w:trPr>
        <w:tc>
          <w:tcPr>
            <w:tcW w:w="2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279"/>
        </w:trPr>
        <w:tc>
          <w:tcPr>
            <w:tcW w:w="2900" w:type="dxa"/>
            <w:vAlign w:val="bottom"/>
          </w:tcPr>
          <w:p>
            <w:pPr>
              <w:spacing w:after="0"/>
              <w:rPr>
                <w:sz w:val="24"/>
                <w:szCs w:val="24"/>
                <w:color w:val="auto"/>
              </w:rPr>
            </w:pPr>
          </w:p>
        </w:tc>
        <w:tc>
          <w:tcPr>
            <w:tcW w:w="1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Energy Transfer Partners, L.L.C.,</w:t>
            </w:r>
          </w:p>
        </w:tc>
      </w:tr>
      <w:tr>
        <w:trPr>
          <w:trHeight w:val="234"/>
        </w:trPr>
        <w:tc>
          <w:tcPr>
            <w:tcW w:w="2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2021</w:t>
            </w:r>
          </w:p>
        </w:tc>
        <w:tc>
          <w:tcPr>
            <w:tcW w:w="1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Bradford D. Whitehurst</w:t>
            </w:r>
          </w:p>
        </w:tc>
      </w:tr>
      <w:tr>
        <w:trPr>
          <w:trHeight w:val="218"/>
        </w:trPr>
        <w:tc>
          <w:tcPr>
            <w:tcW w:w="2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Bradford D. Whitehurst</w:t>
            </w:r>
          </w:p>
        </w:tc>
      </w:tr>
      <w:tr>
        <w:trPr>
          <w:trHeight w:val="234"/>
        </w:trPr>
        <w:tc>
          <w:tcPr>
            <w:tcW w:w="2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680720</wp:posOffset>
            </wp:positionV>
            <wp:extent cx="233997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3997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ENERGY TRANSFER REPORTS FOURTH QUARTER 2020 RESULTS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Dallas - February 17, 2021 - Energy Transfer LP (NYSE:ET) </w:t>
      </w:r>
      <w:r>
        <w:rPr>
          <w:rFonts w:ascii="Times New Roman" w:cs="Times New Roman" w:eastAsia="Times New Roman" w:hAnsi="Times New Roman"/>
          <w:sz w:val="18"/>
          <w:szCs w:val="18"/>
          <w:color w:val="auto"/>
        </w:rPr>
        <w:t>(“ET” or the “Partnership”) today reported financial results for the quarter and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2020.</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ET reported net income attributable to partners for the three months ended December 31, 2020 of $509 million. For the three months ended December 31, 2020, net income per limited partner unit (basic and diluted) was $0.19 per unit.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Adjusted EBITDA for the three months ended December 31, 2020 was $2.59 billion. Results for the quarter continued to reflect improved efficiencies, with lower operating expenses in all of the Partnership’s core operating segments compared to the same period in the prior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Distributable Cash Flow attributable to partners, as adjusted, for the three months ended December 31, 2020 was $1.36 billion.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accomplishments and 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w:t>
      </w:r>
    </w:p>
    <w:p>
      <w:pPr>
        <w:spacing w:after="0" w:line="121" w:lineRule="exact"/>
        <w:rPr>
          <w:sz w:val="20"/>
          <w:szCs w:val="20"/>
          <w:color w:val="auto"/>
        </w:rPr>
      </w:pPr>
    </w:p>
    <w:p>
      <w:pPr>
        <w:jc w:val="both"/>
        <w:ind w:left="380" w:right="20" w:hanging="332"/>
        <w:spacing w:after="0" w:line="266" w:lineRule="auto"/>
        <w:tabs>
          <w:tab w:leader="none" w:pos="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the first Very Large Ethane Carrier (“VLEC”) was loaded under ET’s joint venture with Satellite Petrochemical USA Corp., Orbit Gulf Coast NGL Exports, LLC. The Seri Everest, the world’s largest VLEC, departed from Orbit’s newly constructed export facility at our Nederland Terminal in Nederland, Texas, as the largest single shipment of ethane to date.</w:t>
      </w:r>
    </w:p>
    <w:p>
      <w:pPr>
        <w:spacing w:after="0" w:line="67" w:lineRule="exact"/>
        <w:rPr>
          <w:rFonts w:ascii="Times New Roman" w:cs="Times New Roman" w:eastAsia="Times New Roman" w:hAnsi="Times New Roman"/>
          <w:sz w:val="18"/>
          <w:szCs w:val="18"/>
          <w:color w:val="auto"/>
        </w:rPr>
      </w:pPr>
    </w:p>
    <w:p>
      <w:pPr>
        <w:ind w:left="360" w:hanging="31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the Partnership completed the expansion of its Nederland Terminal LPG facilities to increase its export capabilities.</w:t>
      </w:r>
    </w:p>
    <w:p>
      <w:pPr>
        <w:spacing w:after="0" w:line="117" w:lineRule="exact"/>
        <w:rPr>
          <w:rFonts w:ascii="Times New Roman" w:cs="Times New Roman" w:eastAsia="Times New Roman" w:hAnsi="Times New Roman"/>
          <w:sz w:val="18"/>
          <w:szCs w:val="18"/>
          <w:color w:val="auto"/>
        </w:rPr>
      </w:pPr>
    </w:p>
    <w:p>
      <w:pPr>
        <w:ind w:left="380" w:hanging="332"/>
        <w:spacing w:after="0" w:line="282" w:lineRule="auto"/>
        <w:tabs>
          <w:tab w:leader="none" w:pos="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during the fourth quarter of 2020, the Partnership completed a new 20-inch pipeline directly linking its fractionation and storage facilities in Mont Belvieu, Texas to its Nederland Terminal.</w:t>
      </w:r>
    </w:p>
    <w:p>
      <w:pPr>
        <w:spacing w:after="0" w:line="53" w:lineRule="exact"/>
        <w:rPr>
          <w:rFonts w:ascii="Times New Roman" w:cs="Times New Roman" w:eastAsia="Times New Roman" w:hAnsi="Times New Roman"/>
          <w:sz w:val="18"/>
          <w:szCs w:val="18"/>
          <w:color w:val="auto"/>
        </w:rPr>
      </w:pPr>
    </w:p>
    <w:p>
      <w:pPr>
        <w:ind w:left="380" w:hanging="332"/>
        <w:spacing w:after="0" w:line="282" w:lineRule="auto"/>
        <w:tabs>
          <w:tab w:leader="none" w:pos="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Partnership released its Community Engagement Report, which highlights ET’s business achievements and safety programs, as well as its stakeholder outreach and community investment initiatives.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w:t>
      </w:r>
    </w:p>
    <w:p>
      <w:pPr>
        <w:spacing w:after="0" w:line="12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2021, the Partnership announced the acquisition of Enable Midstream Partners, LP (“Enable”) in a $7.2 billion, all-equity transaction.</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the Partnership announced its first-ever dedicated solar power contract, which will reduce the Partnership’s environmental footprint by integrating alternative energy sources when economically beneficial. The Partnership continues to increase its focus on near and long-term alternative energy projects aimed at reducing its environmental footprint throughout its operations.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2021, the Partnership announced the creation of a new group that will focus on alternative energy initiatives.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addition of ethane export facilities at our Nederland Terminal, the Partnership now owns two of the three U.S. ethane export terminals, and is the only company with export facilities on the Gulf Coast and East Coast.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121" w:lineRule="exact"/>
        <w:rPr>
          <w:sz w:val="20"/>
          <w:szCs w:val="20"/>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ET announced a quarterly distribution of $0.1525 per unit ($0.61 annualized) on ET common units for the quarter ended December 31, 2020. The distribution coverage ratio for the fourth quarter of 2020 was 3.30x.</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2020, Energy Transfer Operating, L.P.’s (“ETO’s”) $6.00 billion revolving credit facilities had an aggregate $2.79 billion of available capacity, and the leverage ratio, as defined by its credit agreements, was 4.31x.</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Transfer completed 2020 with full-year Adjusted EBITDA of $10.53 billion, which was above the high end of estimates provided in August 2020.</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2021, the Partnership expects Adjusted EBITDA to be $10.6 billion to $11.0 billion, excluding any contribution from the recently announced Enable acquisition.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ind w:left="34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the Partnership spent approximately $3.05 billion on growth capital expenditures. The Partnership expects to spend approximately $1.45 billion on growth capital expenditures in 2021, including approximately $250 million of 2020 growth capital that was deferred into 2021.</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ET benefits from a portfolio of assets with exceptional product and geographic diversity. The Partnership’s multiple segments generate high-quality, balanced earnings with no single segment contributing more than 30% of the Partnership’s consolidated Adjusted EBITDA for the three months or full year ended December 31, 2020. The vast majority of the Partnership’s segment margins are fee-based and therefore have limited commodity price sensitivity.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Partnership has scheduled a conference call for 4:00 p.m. Central Time/5:00 p.m. Eastern Time on Wednesday, February 17, 2021 to discuss its fourth quarter 2020 results and provide an update on the Partnership, including its outlook for 2021. The conference call will be broadcast live via an internet webcast, which can be accessed through </w:t>
      </w:r>
      <w:r>
        <w:rPr>
          <w:rFonts w:ascii="Times New Roman" w:cs="Times New Roman" w:eastAsia="Times New Roman" w:hAnsi="Times New Roman"/>
          <w:sz w:val="18"/>
          <w:szCs w:val="18"/>
          <w:u w:val="single" w:color="auto"/>
          <w:color w:val="0000FF"/>
        </w:rPr>
        <w:t>www.energytransfer.com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0000FF"/>
        </w:rPr>
        <w:t>ir.energytransfer.com</w:t>
      </w:r>
      <w:r>
        <w:rPr>
          <w:rFonts w:ascii="Times New Roman" w:cs="Times New Roman" w:eastAsia="Times New Roman" w:hAnsi="Times New Roman"/>
          <w:sz w:val="18"/>
          <w:szCs w:val="18"/>
          <w:color w:val="auto"/>
        </w:rPr>
        <w:t xml:space="preserve"> and will also be available for replay on the Partnership’s website for a limited time.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Energy Transfer LP (NYSE: ET) </w:t>
      </w:r>
      <w:r>
        <w:rPr>
          <w:rFonts w:ascii="Times New Roman" w:cs="Times New Roman" w:eastAsia="Times New Roman" w:hAnsi="Times New Roman"/>
          <w:sz w:val="18"/>
          <w:szCs w:val="18"/>
          <w:color w:val="auto"/>
        </w:rPr>
        <w:t>owns and operates one of the largest and most diversified portfolios of energy assets in the United States,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strategic footprint in all of the major domestic production basins. ET is a publicly traded limited partnership with core operations that include complementary natural gas midstream, intrastate and interstate transportation and storage assets; crude oil, natural gas liquids (NGL) and refined product transportation and terminalling assets; NGL fractionation; and various acquisition and marketing assets. ET, through its ownership of Energy Transfer Operating, L.P., also owns Lake Charles LNG Company, as well as the general partner interests, the incentive distribution rights and 28.5 million common units of Sunoco LP (NYSE: SUN), and the general partner interests and 46.1 million common units of USA Compression Partners, LP (NYSE: USAC). For more information, visit the Energy Transfer LP website at </w:t>
      </w:r>
      <w:r>
        <w:rPr>
          <w:rFonts w:ascii="Times New Roman" w:cs="Times New Roman" w:eastAsia="Times New Roman" w:hAnsi="Times New Roman"/>
          <w:sz w:val="18"/>
          <w:szCs w:val="18"/>
          <w:u w:val="single" w:color="auto"/>
          <w:color w:val="0000FF"/>
        </w:rPr>
        <w:t>www.energytransfer.com</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Sunoco LP (NYSE: SUN) </w:t>
      </w:r>
      <w:r>
        <w:rPr>
          <w:rFonts w:ascii="Times New Roman" w:cs="Times New Roman" w:eastAsia="Times New Roman" w:hAnsi="Times New Roman"/>
          <w:sz w:val="18"/>
          <w:szCs w:val="18"/>
          <w:color w:val="auto"/>
        </w:rPr>
        <w:t>is a master limited partnership with core operations that include the distribution of motor fuel to approximately 10,000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convenience stores, independent dealers, commercial customers and distributors located in more than 30 states as well as refined product transportation and terminalling assets. SUN's general partner is owned by Energy Transfer Operating, L.P., a wholly owned subsidiary of Energy Transfer LP (NYSE: ET). For more information, visit the Sunoco LP website at </w:t>
      </w:r>
      <w:r>
        <w:rPr>
          <w:rFonts w:ascii="Times New Roman" w:cs="Times New Roman" w:eastAsia="Times New Roman" w:hAnsi="Times New Roman"/>
          <w:sz w:val="18"/>
          <w:szCs w:val="18"/>
          <w:u w:val="single" w:color="auto"/>
          <w:color w:val="0000FF"/>
        </w:rPr>
        <w:t>www.sunocolp.com</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USA Compression Partners, LP (NYSE: USAC) </w:t>
      </w:r>
      <w:r>
        <w:rPr>
          <w:rFonts w:ascii="Times New Roman" w:cs="Times New Roman" w:eastAsia="Times New Roman" w:hAnsi="Times New Roman"/>
          <w:sz w:val="18"/>
          <w:szCs w:val="18"/>
          <w:color w:val="auto"/>
        </w:rPr>
        <w:t>is a growth-oriented Delaware limited partnership that is one of the nation’s largest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providers of natural gas compression services in terms of total compression fleet horsepower. USA Compression partners with a broad customer base composed of producers, processors, gatherers and transporters of natural gas and crude oil. USA Compression focuses on providing natural gas compression services to infrastructure applications primarily in high-volume gathering systems, processing facilities and transportation applications. For more information, visit the USAC website at </w:t>
      </w:r>
      <w:r>
        <w:rPr>
          <w:rFonts w:ascii="Times New Roman" w:cs="Times New Roman" w:eastAsia="Times New Roman" w:hAnsi="Times New Roman"/>
          <w:sz w:val="18"/>
          <w:szCs w:val="18"/>
          <w:u w:val="single" w:color="auto"/>
          <w:color w:val="0000FF"/>
        </w:rPr>
        <w:t>www.usacompression.com</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news release may include certain statements concerning expectations for the future that are forward-looking statements as defined by federal law. Such forward-looking statements are subject to a variety of known and unknown risks, uncertainties, and other factors that are difficult to predict and many of which are beyond management’s control. An extensive list of factors that can affect future results are discussed in the Partnership’s Annual Report on Form 10-K and other documents filed from time to time with the Securities and Exchange Commission, including the Partnership’s Quarterly Report on Form 10-Q to be filed for the current period. In addition to the risks and uncertainties previously disclosed, the Partnership has also been, or may in the future be, impacted by new or heightened risks related to the COVID-19 pandemic, and we cannot predict the length and ultimate impact of those risks. The Partnership undertakes no obligation to update or revise any forward-looking statement to reflect new information or events.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contained in this press release is available on our website at </w:t>
      </w:r>
      <w:r>
        <w:rPr>
          <w:rFonts w:ascii="Times New Roman" w:cs="Times New Roman" w:eastAsia="Times New Roman" w:hAnsi="Times New Roman"/>
          <w:sz w:val="18"/>
          <w:szCs w:val="18"/>
          <w:u w:val="single" w:color="auto"/>
          <w:color w:val="0000FF"/>
        </w:rPr>
        <w:t>www.energytransfer.com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9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Transfer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Baerg, Brent Ratliff, Lyndsay Hannah, 214-981-0795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Vicki Granado, 214-840-5820</w:t>
      </w:r>
    </w:p>
    <w:p>
      <w:pPr>
        <w:spacing w:after="0" w:line="200" w:lineRule="exact"/>
        <w:rPr>
          <w:sz w:val="20"/>
          <w:szCs w:val="20"/>
          <w:color w:val="auto"/>
        </w:rPr>
      </w:pPr>
    </w:p>
    <w:p>
      <w:pPr>
        <w:spacing w:after="0" w:line="34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1049"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7"/>
                <w:szCs w:val="17"/>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0"/>
        </w:trPr>
        <w:tc>
          <w:tcPr>
            <w:tcW w:w="824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74,193</w:t>
            </w: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to and investments in unconsolidated affiliates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non-current assets, net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9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derivative liabilities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partners’ capital</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40" w:hanging="332"/>
        <w:spacing w:after="0" w:line="235"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Effective January 1, 2020, the Partnership elected to change its accounting policy related to certain barrels of crude oil that were previously accounted for as inventory. Under the revised accounting policy, certain amounts of crude oil that are not available for sale have been reclassified from inventory to non-current assets. The balances as of December 31, 2019 have been adjusted to reflect this change in accounting policy.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8"/>
              </w:rPr>
              <w:t>December 31,</w:t>
            </w:r>
          </w:p>
        </w:tc>
        <w:tc>
          <w:tcPr>
            <w:tcW w:w="320" w:type="dxa"/>
            <w:vAlign w:val="bottom"/>
          </w:tcPr>
          <w:p>
            <w:pPr>
              <w:spacing w:after="0"/>
              <w:rPr>
                <w:sz w:val="19"/>
                <w:szCs w:val="19"/>
                <w:color w:val="auto"/>
              </w:rPr>
            </w:pPr>
          </w:p>
        </w:tc>
        <w:tc>
          <w:tcPr>
            <w:tcW w:w="266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line="223" w:lineRule="exact"/>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line="223" w:lineRule="exact"/>
              <w:rPr>
                <w:sz w:val="20"/>
                <w:szCs w:val="20"/>
                <w:color w:val="auto"/>
              </w:rPr>
            </w:pPr>
            <w:r>
              <w:rPr>
                <w:rFonts w:ascii="Times New Roman" w:cs="Times New Roman" w:eastAsia="Times New Roman" w:hAnsi="Times New Roman"/>
                <w:sz w:val="18"/>
                <w:szCs w:val="18"/>
                <w:color w:val="auto"/>
                <w:w w:val="95"/>
              </w:rPr>
              <w:t xml:space="preserve">2019 </w:t>
            </w:r>
            <w:r>
              <w:rPr>
                <w:rFonts w:ascii="Times New Roman" w:cs="Times New Roman" w:eastAsia="Times New Roman" w:hAnsi="Times New Roman"/>
                <w:sz w:val="23"/>
                <w:szCs w:val="23"/>
                <w:color w:val="auto"/>
                <w:w w:val="95"/>
                <w:vertAlign w:val="superscript"/>
              </w:rPr>
              <w:t>(1)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39,801</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capitalized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investments in unconsolidated affiliates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on extinguishments of 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(losses) on interest rate derivatives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FROM CONTINUING OPERATIONS BEFORE INCOME</w:t>
            </w: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 (BENEFIT)</w:t>
            </w: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PARTNERS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Partner’s interest in net income (loss)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Limited Partners’ interest in net income (loss)</w:t>
            </w: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3,514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LIMITED PARTNER UNIT: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UNITS OUTSTANDING:</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2,628.0</w:t>
            </w:r>
          </w:p>
        </w:tc>
        <w:tc>
          <w:tcPr>
            <w:tcW w:w="0" w:type="dxa"/>
            <w:vAlign w:val="bottom"/>
          </w:tcPr>
          <w:p>
            <w:pPr>
              <w:spacing w:after="0"/>
              <w:rPr>
                <w:sz w:val="1"/>
                <w:szCs w:val="1"/>
                <w:color w:val="auto"/>
              </w:rPr>
            </w:pPr>
          </w:p>
        </w:tc>
      </w:tr>
      <w:tr>
        <w:trPr>
          <w:trHeight w:val="23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3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Effective January 1, 2020, the Partnership elected to change its accounting policy related to certain barrels of crude oil that were previously accounted for as inventory. Under the revised accounting policy, certain amounts of crude oil that are not available for sale have been reclassified from inventory to non-current assets. The condensed consolidated statement of operations for the three months and full year ended December 31, 2019 has been adjusted to reflect this change in accounting policy.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4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units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7"/>
          </w:tcPr>
          <w:p>
            <w:pPr>
              <w:ind w:left="480"/>
              <w:spacing w:after="0"/>
              <w:rPr>
                <w:sz w:val="20"/>
                <w:szCs w:val="20"/>
                <w:color w:val="auto"/>
              </w:rPr>
            </w:pPr>
            <w:r>
              <w:rPr>
                <w:rFonts w:ascii="Times New Roman" w:cs="Times New Roman" w:eastAsia="Times New Roman" w:hAnsi="Times New Roman"/>
                <w:sz w:val="16"/>
                <w:szCs w:val="16"/>
                <w:color w:val="auto"/>
              </w:rPr>
              <w:t>Three Months Ended</w:t>
            </w:r>
          </w:p>
        </w:tc>
        <w:tc>
          <w:tcPr>
            <w:tcW w:w="320" w:type="dxa"/>
            <w:vAlign w:val="bottom"/>
          </w:tcPr>
          <w:p>
            <w:pPr>
              <w:spacing w:after="0"/>
              <w:rPr>
                <w:sz w:val="16"/>
                <w:szCs w:val="16"/>
                <w:color w:val="auto"/>
              </w:rPr>
            </w:pPr>
          </w:p>
        </w:tc>
        <w:tc>
          <w:tcPr>
            <w:tcW w:w="1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Year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color w:val="auto"/>
              </w:rPr>
              <w:t>December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line="213" w:lineRule="exact"/>
              <w:rPr>
                <w:sz w:val="20"/>
                <w:szCs w:val="20"/>
                <w:color w:val="auto"/>
              </w:rPr>
            </w:pPr>
            <w:r>
              <w:rPr>
                <w:rFonts w:ascii="Times New Roman" w:cs="Times New Roman" w:eastAsia="Times New Roman" w:hAnsi="Times New Roman"/>
                <w:sz w:val="16"/>
                <w:szCs w:val="16"/>
                <w:color w:val="auto"/>
                <w:w w:val="96"/>
              </w:rPr>
              <w:t xml:space="preserve">2019 </w:t>
            </w:r>
            <w:r>
              <w:rPr>
                <w:rFonts w:ascii="Times New Roman" w:cs="Times New Roman" w:eastAsia="Times New Roman" w:hAnsi="Times New Roman"/>
                <w:sz w:val="21"/>
                <w:szCs w:val="21"/>
                <w:color w:val="auto"/>
                <w:w w:val="96"/>
                <w:vertAlign w:val="superscript"/>
              </w:rPr>
              <w:t>(a)</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line="213" w:lineRule="exact"/>
              <w:rPr>
                <w:sz w:val="20"/>
                <w:szCs w:val="20"/>
                <w:color w:val="auto"/>
              </w:rPr>
            </w:pPr>
            <w:r>
              <w:rPr>
                <w:rFonts w:ascii="Times New Roman" w:cs="Times New Roman" w:eastAsia="Times New Roman" w:hAnsi="Times New Roman"/>
                <w:sz w:val="16"/>
                <w:szCs w:val="16"/>
                <w:color w:val="auto"/>
                <w:w w:val="96"/>
              </w:rPr>
              <w:t xml:space="preserve">2019 </w:t>
            </w:r>
            <w:r>
              <w:rPr>
                <w:rFonts w:ascii="Times New Roman" w:cs="Times New Roman" w:eastAsia="Times New Roman" w:hAnsi="Times New Roman"/>
                <w:sz w:val="21"/>
                <w:szCs w:val="21"/>
                <w:color w:val="auto"/>
                <w:w w:val="96"/>
                <w:vertAlign w:val="superscript"/>
              </w:rPr>
              <w:t>(a)</w:t>
            </w:r>
          </w:p>
        </w:tc>
        <w:tc>
          <w:tcPr>
            <w:tcW w:w="0" w:type="dxa"/>
            <w:vAlign w:val="bottom"/>
          </w:tcPr>
          <w:p>
            <w:pPr>
              <w:spacing w:after="0"/>
              <w:rPr>
                <w:sz w:val="1"/>
                <w:szCs w:val="1"/>
                <w:color w:val="auto"/>
              </w:rPr>
            </w:pPr>
          </w:p>
        </w:tc>
      </w:tr>
      <w:tr>
        <w:trPr>
          <w:trHeight w:val="142"/>
        </w:trPr>
        <w:tc>
          <w:tcPr>
            <w:tcW w:w="52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Reconciliation of net income to Adjusted EBITDA and Distributable Cash</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Flow </w:t>
            </w:r>
            <w:r>
              <w:rPr>
                <w:rFonts w:ascii="Times New Roman" w:cs="Times New Roman" w:eastAsia="Times New Roman" w:hAnsi="Times New Roman"/>
                <w:sz w:val="21"/>
                <w:szCs w:val="21"/>
                <w:b w:val="1"/>
                <w:bCs w:val="1"/>
                <w:color w:val="auto"/>
                <w:vertAlign w:val="superscript"/>
              </w:rPr>
              <w:t>(b)</w:t>
            </w: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4,825</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capitalized</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losses on interest rate derivatives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Unrealized losses on commodity risk management activities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extinguishments of debt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Inventory valuation adjustments (Sunoco LP)</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investment in an unconsolidated affiliate</w:t>
            </w:r>
          </w:p>
        </w:tc>
        <w:tc>
          <w:tcPr>
            <w:tcW w:w="3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related to unconsolidated affiliates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EBITDA (consolidated)</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11,140</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 related to unconsolidated affiliates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Distributable Cash Flow from unconsolidated affiliates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capitalized</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unitholders’ distributions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benefit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Transaction-related income taxes</w:t>
            </w:r>
          </w:p>
        </w:tc>
        <w:tc>
          <w:tcPr>
            <w:tcW w:w="3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Maintenance capital expenditures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7"/>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Distributable Cash Flow (consolidated)</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Distributable Cash Flow attributable to Sunoco LP (100%)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Distributions from Sunoco LP</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Distributable Cash Flow attributable to USAC (100%)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Distributions from USAC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Distributable Cash Flow attributable to noncontrolling interest in other non-</w:t>
            </w: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wholly-owned consolidated subsidiaries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Distributable Cash Flow attributable to the partners of ET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Transaction-related adjustments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Distributable Cash Flow attributable to the partners of ET, as adjusted</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Distributions to partners:</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1"/>
        </w:trPr>
        <w:tc>
          <w:tcPr>
            <w:tcW w:w="5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Partners</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General Partner</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2"/>
        </w:trPr>
        <w:tc>
          <w:tcPr>
            <w:tcW w:w="5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distributions to be paid to partners</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Units outstanding – end of period</w:t>
            </w: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2,689.6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2,702.3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2,689.6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coverage ratio</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99"/>
              </w:rPr>
              <w:t>3.30x</w:t>
            </w:r>
          </w:p>
        </w:tc>
        <w:tc>
          <w:tcPr>
            <w:tcW w:w="120" w:type="dxa"/>
            <w:vAlign w:val="bottom"/>
            <w:gridSpan w:val="2"/>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1.84x</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2.32x</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1.94x</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left="340" w:hanging="332"/>
        <w:spacing w:after="0" w:line="239" w:lineRule="auto"/>
        <w:tabs>
          <w:tab w:leader="none" w:pos="335"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Effective January 1, 2020, the Partnership elected to change its accounting policy related to certain barrels of crude oil that were previously accounted for as inventory. Under the revised accounting policy, certain amounts of crude oil that are not available for sale have been reclassified from inventory to non-current assets. The results for the three and twelve months ended December 31, 2020 have been adjusted to reflect this change in accounting policy.</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EBITDA, Distributable Cash Flow and distribution coverage ratio are non-GAAP financial measures used by industry analysts, investors, lenders and rating agencies to assess the financial performance and the operating results of</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87" w:right="339" w:bottom="1440" w:gutter="0" w:footer="0" w:header="0"/>
          <w:type w:val="continuous"/>
        </w:sectPr>
      </w:pPr>
    </w:p>
    <w:bookmarkStart w:id="9" w:name="page10"/>
    <w:bookmarkEnd w:id="9"/>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ET’s fundamental business activities and should not be considered in isolation or as a substitute for net income, income from operations, cash flows from operating activities or other GAAP measures.</w:t>
      </w:r>
    </w:p>
    <w:p>
      <w:pPr>
        <w:spacing w:after="0" w:line="108"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There are material limitations to using measures such as Adjusted EBITDA, Distributable Cash Flow and distribution coverage ratio, including the difficulty associated with using any such measure as the sole measure to compare the results of one company to another, and the inability to analyze certain significant items that directly affect a company’s net income or loss or cash flows. In addition, our calculations of Adjusted EBITDA, Distributable Cash Flow and distribution coverage ratio may not be consistent with similarly titled measures of other companies and should be viewed in conjunction with measurements that are computed in accordance with GAAP, such as operating income, net income and cash flow from operating activities.</w:t>
      </w:r>
    </w:p>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73"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We define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Inventory adjustments that are excluded from the calculation of Adjusted EBITDA represent only the changes in lower of cost or market reserves on inventory that is carried at last-in, first-out (“LIFO”). These amounts are unrealized valuation adjustments applied to Sunoco LP’s fuel volumes remaining in inventory at the end of the period.</w:t>
      </w:r>
    </w:p>
    <w:p>
      <w:pPr>
        <w:spacing w:after="0" w:line="133"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Adjusted EBITDA reflects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Adjusted EBITDA or Adjusted EBITDA related to unconsolidated affiliates as an analytical tool should be limited accordingly.</w:t>
      </w:r>
    </w:p>
    <w:p>
      <w:pPr>
        <w:spacing w:after="0" w:line="135"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Adjusted EBITDA is used by management to determine our operating performance and, along with other financial and volumetric data, as an internal measure for setting annual operating budgets, assessing financial performance of our numerous business locations, as a measure for evaluating targeted businesses for acquisition and as a measurement component of incentive compensation.</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Definition of Distributable Cash Flow</w:t>
      </w:r>
    </w:p>
    <w:p>
      <w:pPr>
        <w:spacing w:after="0" w:line="173"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We define Distributable Cash Flow as net income, adjusted for certain non-cash items, less distributions to preferred unitholders and maintenance capital expenditures. Non-cash items include depreciation, depletion and amortization, non-cash compensation expense, amortization included in interest expense, gains and losses on disposals of assets, the allowance for equity funds used during construction, unrealized gains and losses on commodity risk management activities, inventory valuation adjustments, non-cash impairment charges, losses on extinguishments of debt and deferred income taxes. For unconsolidated affiliates, Distributable Cash Flow reflects the Partnership’s proportionate share of the investee’s distributable cash flow.</w:t>
      </w:r>
    </w:p>
    <w:p>
      <w:pPr>
        <w:spacing w:after="0" w:line="133"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Distributable Cash Flow is used by management to evaluate our overall performance. Our partnership agreement requires us to distribute all available cash, and Distributable Cash Flow is calculated to evaluate our ability to fund distributions through cash generated by our operations.</w:t>
      </w:r>
    </w:p>
    <w:p>
      <w:pPr>
        <w:spacing w:after="0" w:line="108"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On a consolidated basis, Distributable Cash Flow includes 100% of the Distributable Cash Flow of ET’s consolidated subsidiaries. However, to the extent that noncontrolling interests exist among our subsidiaries, the Distributable Cash Flow generated by our subsidiaries may not be available to be distributed to our partners. In order to reflect the cash flows available for distributions to our partners, we have reported Distributable Cash Flow attributable to partners, which is calculated by adjusting Distributable Cash Flow (consolidated), as follows:</w:t>
      </w:r>
    </w:p>
    <w:p>
      <w:pPr>
        <w:spacing w:after="0" w:line="72" w:lineRule="exact"/>
        <w:rPr>
          <w:sz w:val="20"/>
          <w:szCs w:val="20"/>
          <w:color w:val="auto"/>
        </w:rPr>
      </w:pPr>
    </w:p>
    <w:p>
      <w:pPr>
        <w:jc w:val="both"/>
        <w:ind w:left="328" w:hanging="328"/>
        <w:spacing w:after="0" w:line="266"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subsidiaries with publicly traded equity interests, other than ETO, Distributable Cash Flow (consolidated) includes 100% of Distributable Cash Flow attributable to such subsidiary, and Distributable Cash Flow attributable to our partners includes distributions to be received by the parent company with respect to the periods presented.</w:t>
      </w:r>
    </w:p>
    <w:p>
      <w:pPr>
        <w:spacing w:after="0" w:line="6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consolidated joint ventures or similar entities, where the noncontrolling interest is not publicly traded, Distributable Cash Flow (consolidated) includes 100% of Distributable Cash Flow attributable to such subsidiaries, but</w:t>
      </w:r>
    </w:p>
    <w:p>
      <w:pPr>
        <w:spacing w:after="0" w:line="200" w:lineRule="exact"/>
        <w:rPr>
          <w:sz w:val="20"/>
          <w:szCs w:val="20"/>
          <w:color w:val="auto"/>
        </w:rPr>
      </w:pPr>
    </w:p>
    <w:p>
      <w:pPr>
        <w:spacing w:after="0" w:line="2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8"/>
          </w:cols>
          <w:pgMar w:left="652" w:top="999" w:right="339" w:bottom="1440" w:gutter="0" w:footer="0" w:header="0"/>
        </w:sectPr>
      </w:pPr>
    </w:p>
    <w:bookmarkStart w:id="10" w:name="page11"/>
    <w:bookmarkEnd w:id="10"/>
    <w:p>
      <w:pPr>
        <w:ind w:left="320"/>
        <w:spacing w:after="0" w:line="282" w:lineRule="auto"/>
        <w:rPr>
          <w:sz w:val="20"/>
          <w:szCs w:val="20"/>
          <w:color w:val="auto"/>
        </w:rPr>
      </w:pPr>
      <w:r>
        <w:rPr>
          <w:rFonts w:ascii="Times New Roman" w:cs="Times New Roman" w:eastAsia="Times New Roman" w:hAnsi="Times New Roman"/>
          <w:sz w:val="18"/>
          <w:szCs w:val="18"/>
          <w:color w:val="auto"/>
        </w:rPr>
        <w:t>Distributable Cash Flow attributable to partners reflects only the amount of Distributable Cash Flow of such subsidiaries that is attributable to our ownership interest.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Distributable Cash Flow attributable to partners, as adjusted, certain transaction-related adjustments and non-recurring expenses that are included in net income are excluded.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Distribution Coverage Ratio</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Distribution coverage ratio for a period is calculated as Distributable Cash Flow attributable to partners, as adjusted, divided by distributions expected to be paid to the partners of ET in respect of such period.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660" w:top="99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ANALYSIS OF QUARTERLY RESULTS BY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2"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00"/>
        <w:spacing w:after="0"/>
        <w:rPr>
          <w:sz w:val="20"/>
          <w:szCs w:val="20"/>
          <w:color w:val="auto"/>
        </w:rPr>
      </w:pPr>
      <w:r>
        <w:rPr>
          <w:rFonts w:ascii="Times New Roman" w:cs="Times New Roman" w:eastAsia="Times New Roman" w:hAnsi="Times New Roman"/>
          <w:sz w:val="18"/>
          <w:szCs w:val="18"/>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Midstream</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Sunoco LP</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USAC</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All 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following analysis of segment operating results, a measure of segment margin is reported for segments with sales revenues.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for certain segments, the sections below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Intrastate Transportation and Storage</w:t>
      </w:r>
    </w:p>
    <w:p>
      <w:pPr>
        <w:spacing w:after="0" w:line="20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00"/>
        <w:spacing w:after="0"/>
        <w:rPr>
          <w:sz w:val="20"/>
          <w:szCs w:val="20"/>
          <w:color w:val="auto"/>
        </w:rPr>
      </w:pPr>
      <w:r>
        <w:rPr>
          <w:rFonts w:ascii="Times New Roman" w:cs="Times New Roman" w:eastAsia="Times New Roman" w:hAnsi="Times New Roman"/>
          <w:sz w:val="18"/>
          <w:szCs w:val="18"/>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on commodity risk management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2020 compared to the same period last year, transported volumes decreased primarily due to the bankruptcy filing of a transportation customer.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7" w:right="339" w:bottom="1440" w:gutter="0" w:footer="0" w:header="0"/>
        </w:sectPr>
      </w:pPr>
    </w:p>
    <w:bookmarkStart w:id="12" w:name="page13"/>
    <w:bookmarkEnd w:id="12"/>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December 31, 2020 compared to the same period last year, Segment Adjusted EBITDA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intrastate transportation and storage segment increased due to the net impacts of the following:</w:t>
      </w:r>
    </w:p>
    <w:p>
      <w:pPr>
        <w:spacing w:after="0" w:line="52" w:lineRule="exact"/>
        <w:rPr>
          <w:sz w:val="20"/>
          <w:szCs w:val="20"/>
          <w:color w:val="auto"/>
        </w:rPr>
      </w:pPr>
    </w:p>
    <w:p>
      <w:pPr>
        <w:ind w:left="420" w:hanging="331"/>
        <w:spacing w:after="0" w:line="282"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 million in realized storage margin due to higher physical storage margin from withdrawals and higher realized gains from financial derivatives used to hedge physical storage gas;</w:t>
      </w:r>
    </w:p>
    <w:p>
      <w:pPr>
        <w:spacing w:after="0" w:line="53" w:lineRule="exact"/>
        <w:rPr>
          <w:rFonts w:ascii="Times New Roman" w:cs="Times New Roman" w:eastAsia="Times New Roman" w:hAnsi="Times New Roman"/>
          <w:sz w:val="18"/>
          <w:szCs w:val="18"/>
          <w:color w:val="auto"/>
        </w:rPr>
      </w:pPr>
    </w:p>
    <w:p>
      <w:pPr>
        <w:ind w:left="420" w:hanging="331"/>
        <w:spacing w:after="0" w:line="282"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$8 million in operating expenses primarily due to a $4 million decrease in maintenance project costs, a $3 million decrease in ad valorem taxes and a $1 million decrease in outside services;</w:t>
      </w:r>
    </w:p>
    <w:p>
      <w:pPr>
        <w:spacing w:after="0" w:line="10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 million in retained fuel revenue primarily due to higher natural gas prices; and</w:t>
      </w:r>
    </w:p>
    <w:p>
      <w:pPr>
        <w:spacing w:after="0" w:line="171"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 million in selling, general and administrative expenses due to lower allocated overhead costs; partially offset by</w:t>
      </w:r>
    </w:p>
    <w:p>
      <w:pPr>
        <w:spacing w:after="0" w:line="171"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$15 million in realized natural gas sales and other primarily due to lower realized gains from pipeline optimization activity; and</w:t>
      </w:r>
    </w:p>
    <w:p>
      <w:pPr>
        <w:spacing w:after="0" w:line="117" w:lineRule="exact"/>
        <w:rPr>
          <w:rFonts w:ascii="Times New Roman" w:cs="Times New Roman" w:eastAsia="Times New Roman" w:hAnsi="Times New Roman"/>
          <w:sz w:val="18"/>
          <w:szCs w:val="18"/>
          <w:color w:val="auto"/>
        </w:rPr>
      </w:pPr>
    </w:p>
    <w:p>
      <w:pPr>
        <w:ind w:left="420" w:hanging="331"/>
        <w:spacing w:after="0" w:line="282"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 million in transportation fees due to the expiration of certain contracts on our Regency Intrastate Gas System, partially offset by volume ramp-ups from the Permian region.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Transportation and Storage</w:t>
      </w:r>
    </w:p>
    <w:p>
      <w:pPr>
        <w:spacing w:after="0" w:line="20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00"/>
        <w:spacing w:after="0"/>
        <w:rPr>
          <w:sz w:val="20"/>
          <w:szCs w:val="20"/>
          <w:color w:val="auto"/>
        </w:rPr>
      </w:pPr>
      <w:r>
        <w:rPr>
          <w:rFonts w:ascii="Times New Roman" w:cs="Times New Roman" w:eastAsia="Times New Roman" w:hAnsi="Times New Roman"/>
          <w:sz w:val="18"/>
          <w:szCs w:val="18"/>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sold (BBtu/d)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amortization and accretion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amortization and accretion</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2020 compared to the same period last year, transported volumes decreased primarily due to lower crude production resulting in lower associated gas production and lower volumes on our Tiger Pipeline due to contract expirations, as well as multiple weather events and maintenance of third-party facilities impacting our assets along the Gulf Coast.</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December 31, 2020 compared to the same period last year, Segment Adjusted EBITDA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interstate transportation and storage segment increased due to the net impacts of the following:</w:t>
      </w:r>
    </w:p>
    <w:p>
      <w:pPr>
        <w:spacing w:after="0" w:line="52" w:lineRule="exact"/>
        <w:rPr>
          <w:sz w:val="20"/>
          <w:szCs w:val="20"/>
          <w:color w:val="auto"/>
        </w:rPr>
      </w:pPr>
    </w:p>
    <w:p>
      <w:pPr>
        <w:jc w:val="both"/>
        <w:ind w:left="420" w:hanging="331"/>
        <w:spacing w:after="0" w:line="266" w:lineRule="auto"/>
        <w:tabs>
          <w:tab w:leader="none" w:pos="4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 million in operating expense primarily due to an $18 million settlement related to a property tax appeal with the state of Arizona, a $5 million decrease in maintenance project costs, and a $1 million decrease in storage and transportation expense, partially offset by $14 million in bad debt expense associated with a shipper bankruptcy and the write-off of $4 million of obsolete inventory; and</w:t>
      </w:r>
    </w:p>
    <w:p>
      <w:pPr>
        <w:spacing w:after="0" w:line="67" w:lineRule="exact"/>
        <w:rPr>
          <w:rFonts w:ascii="Times New Roman" w:cs="Times New Roman" w:eastAsia="Times New Roman" w:hAnsi="Times New Roman"/>
          <w:sz w:val="18"/>
          <w:szCs w:val="18"/>
          <w:color w:val="auto"/>
        </w:rPr>
      </w:pPr>
    </w:p>
    <w:p>
      <w:pPr>
        <w:jc w:val="both"/>
        <w:ind w:left="420" w:hanging="331"/>
        <w:spacing w:after="0" w:line="266" w:lineRule="auto"/>
        <w:tabs>
          <w:tab w:leader="none" w:pos="4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$21 million in selling, general and administrative expense primarily resulting from a $17 million favorable settlement related to excise taxes on Rover and a $5 million decrease in allocated overhead and employee costs due to cost-cutting initiatives, partially offset by a $2 million increase in legal and consulting fees related to an ongoing rate case and shipper bankruptcies; partially offset by</w:t>
      </w:r>
    </w:p>
    <w:p>
      <w:pPr>
        <w:spacing w:after="0" w:line="67" w:lineRule="exact"/>
        <w:rPr>
          <w:rFonts w:ascii="Times New Roman" w:cs="Times New Roman" w:eastAsia="Times New Roman" w:hAnsi="Times New Roman"/>
          <w:sz w:val="18"/>
          <w:szCs w:val="18"/>
          <w:color w:val="auto"/>
        </w:rPr>
      </w:pPr>
    </w:p>
    <w:p>
      <w:pPr>
        <w:jc w:val="both"/>
        <w:ind w:left="420" w:hanging="331"/>
        <w:spacing w:after="0" w:line="258" w:lineRule="auto"/>
        <w:tabs>
          <w:tab w:leader="none" w:pos="4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$12 million in revenues primarily due to a decrease of $16 million from a contractual rate adjustment on commitments at our Lake Charles LNG facility effective January 2020, a decrease of $9 million resulting from contract expirations on Tiger and a decrease of $8 million in transportation fees as a result of multiple weather events and maintenance on third-party facilities connected to our systems. These decreases were partially offset by increased revenues from short-term firm contracts on our Transwestern, Panhandle and Rover systems due to increased demand and higher parking revenues; and</w:t>
      </w:r>
    </w:p>
    <w:p>
      <w:pPr>
        <w:spacing w:after="0" w:line="75" w:lineRule="exact"/>
        <w:rPr>
          <w:rFonts w:ascii="Times New Roman" w:cs="Times New Roman" w:eastAsia="Times New Roman" w:hAnsi="Times New Roman"/>
          <w:sz w:val="18"/>
          <w:szCs w:val="18"/>
          <w:color w:val="auto"/>
        </w:rPr>
      </w:pPr>
    </w:p>
    <w:p>
      <w:pPr>
        <w:ind w:left="420" w:hanging="331"/>
        <w:spacing w:after="0" w:line="282" w:lineRule="auto"/>
        <w:tabs>
          <w:tab w:leader="none" w:pos="4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 million in Adjusted EBITDA related to unconsolidated affiliates primarily due to lower earnings from Midcontinent Express Pipeline as a result of lower rates received following the expiration of certain contracts.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5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Midstream</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4"/>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9"/>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19"/>
                <w:szCs w:val="19"/>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Gathered volumes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NGLs produced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NGLs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8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2020 compared to the same period last year, gathered volumes decreased primarily in the South Texas and Northeast regions, partially offset by the impact of the SemGroup acquisition in the Mid-Continent/Panhandle region and volume growth in the Ark-La-Tex and Permian regions. NGL production increased due to the impact of the SemGroup acquisition in the Mid-Continent/Panhandle region and increased ethane recoveries in the Permian, South Texas and North Texas regions.</w:t>
      </w:r>
    </w:p>
    <w:p>
      <w:pPr>
        <w:spacing w:after="0" w:line="1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December 31, 2020 compared to the same period last year, Segment Adjusted EBITDA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midstream segment decreased due to the net impacts of the following:</w:t>
      </w:r>
    </w:p>
    <w:p>
      <w:pPr>
        <w:spacing w:after="0" w:line="93" w:lineRule="exact"/>
        <w:rPr>
          <w:sz w:val="20"/>
          <w:szCs w:val="20"/>
          <w:color w:val="auto"/>
        </w:rPr>
      </w:pPr>
    </w:p>
    <w:p>
      <w:pPr>
        <w:ind w:left="340" w:hanging="332"/>
        <w:spacing w:after="0" w:line="234" w:lineRule="auto"/>
        <w:tabs>
          <w:tab w:leader="none" w:pos="33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 decrease of $11 million in non fee-based margin due to unfavorable NGL prices of $14 million, partially offset by the impact of favorable natural gas prices of $3 million;</w:t>
      </w:r>
    </w:p>
    <w:p>
      <w:pPr>
        <w:spacing w:after="0" w:line="145" w:lineRule="exact"/>
        <w:rPr>
          <w:rFonts w:ascii="Arial" w:cs="Arial" w:eastAsia="Arial" w:hAnsi="Arial"/>
          <w:sz w:val="22"/>
          <w:szCs w:val="22"/>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$10 million in non fee-based margin due to decreased throughput volumes, primarily in the South Texas region; and</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$36 million in fee-based margin due to volume declines in the South Texas region; partially offset by</w:t>
      </w:r>
    </w:p>
    <w:p>
      <w:pPr>
        <w:spacing w:after="0" w:line="17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$40 million in operating expenses due to cost-saving initiatives, including a decrease of $13 million in maintenance project costs, $13 million in materials and $11 million in outside services; and</w:t>
      </w:r>
    </w:p>
    <w:p>
      <w:pPr>
        <w:spacing w:after="0" w:line="10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$7 million in selling, general and administrative expenses primarily due to a decrease in allocated overhead costs resulting from overall corporate cost reductions.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4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NGL and Refined Products Transportation and Services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64"/>
        </w:trPr>
        <w:tc>
          <w:tcPr>
            <w:tcW w:w="8240" w:type="dxa"/>
            <w:vAlign w:val="bottom"/>
          </w:tcPr>
          <w:p>
            <w:pPr>
              <w:spacing w:after="0"/>
              <w:rPr>
                <w:sz w:val="24"/>
                <w:szCs w:val="24"/>
                <w:color w:val="auto"/>
              </w:rPr>
            </w:pPr>
          </w:p>
        </w:tc>
        <w:tc>
          <w:tcPr>
            <w:tcW w:w="24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520" w:type="dxa"/>
            <w:vAlign w:val="bottom"/>
          </w:tcPr>
          <w:p>
            <w:pPr>
              <w:spacing w:after="0"/>
              <w:rPr>
                <w:sz w:val="24"/>
                <w:szCs w:val="24"/>
                <w:color w:val="auto"/>
              </w:rPr>
            </w:pPr>
          </w:p>
        </w:tc>
      </w:tr>
      <w:tr>
        <w:trPr>
          <w:trHeight w:val="229"/>
        </w:trPr>
        <w:tc>
          <w:tcPr>
            <w:tcW w:w="8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December 31,</w:t>
            </w:r>
          </w:p>
        </w:tc>
        <w:tc>
          <w:tcPr>
            <w:tcW w:w="520" w:type="dxa"/>
            <w:vAlign w:val="bottom"/>
            <w:tcBorders>
              <w:bottom w:val="single" w:sz="8" w:color="auto"/>
            </w:tcBorders>
          </w:tcPr>
          <w:p>
            <w:pPr>
              <w:spacing w:after="0"/>
              <w:rPr>
                <w:sz w:val="19"/>
                <w:szCs w:val="19"/>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520" w:type="dxa"/>
            <w:vAlign w:val="bottom"/>
            <w:tcBorders>
              <w:bottom w:val="single" w:sz="8" w:color="auto"/>
            </w:tcBorders>
          </w:tcPr>
          <w:p>
            <w:pPr>
              <w:spacing w:after="0"/>
              <w:rPr>
                <w:sz w:val="19"/>
                <w:szCs w:val="19"/>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transportation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Refined products transportation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refined products terminal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NGL fractionation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2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8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92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2020 compared to the same period last year, NGL transportation volumes increased due to higher throughput volumes on our Mariner East pipeline system. In addition, throughput barrels on our Texas NGL pipeline system increased primarily due to higher export volumes feeding into our Nederland Terminal resulting from the initiation of service on our propane export pipeline in the fourth quarter 2020.</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Refined products transportation volumes decreased for the three months ended December 31, 2020 compared to the same period last year due to less domestic demand for jet fuel and other refined products. This decrease in volume was partially offset by the impact from Midwest refinery turnarounds in the prior period.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NGL and refined products terminal volumes increased for the three months ended December 31, 2020 compared to the same period last year primarily due to higher volumes from our Mariner East system and an increase in loaded vessels at our Nederland Terminal.</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fractionated volumes at our Mont Belvieu, Texas fractionation facility increased for the three months ended December 31, 2020 compared to the same period last year primarily due to the commissioning of our seventh fractionator in February 2020.</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December 31, 2020 compared to the same period last year, Segment Adjusted EBITDA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NGL and refined products transportation and services segment decreased due to net impacts of the following:</w:t>
      </w:r>
    </w:p>
    <w:p>
      <w:pPr>
        <w:spacing w:after="0" w:line="52" w:lineRule="exact"/>
        <w:rPr>
          <w:sz w:val="20"/>
          <w:szCs w:val="20"/>
          <w:color w:val="auto"/>
        </w:rPr>
      </w:pPr>
    </w:p>
    <w:p>
      <w:pPr>
        <w:jc w:val="both"/>
        <w:ind w:left="340" w:hanging="332"/>
        <w:spacing w:after="0" w:line="27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$74 million in marketing margin primarily due to a $50 million decrease resulting from lower optimization gains from the sale of NGL component products at our Mont Belvieu facility, a $41 million decrease due to lower margin from our butane blending business, and a $33 million decrease in gasoline blending and optimization due to unfavorable market conditions primarily attributable to the COVID-19 pandemic. These decreases were partially offset by a $28 million increase in NGL export and rack volumes, a $17 million increase due to lower capacity lease fees incurred by our marketing affiliate, and a $4 million increase due to the timing of the settlement of financial derivative contracts; and</w:t>
      </w:r>
    </w:p>
    <w:p>
      <w:pPr>
        <w:spacing w:after="0" w:line="6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$22 million in terminal services margin primarily due to a $27 million decrease resulting from the expiration of a third-party contract at our Nederland Terminal in the second quarter of 2020, a $7 million decrease due to lower third party and intercompany volumes feeding our Marcus Hook Terminal, and a $6 million decrease due to less domestic demand for jet fuel and other refined products. These decreases were partially offset by a $14 million increase due to higher throughput on our Mariner East system and a $4 million increase from higher storage tank rental revenues in the fourth quarter of 2020; partially offset by</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$20 million in transportation margin primarily due to a $13 million increase from higher throughput volumes on our Mariner East pipeline system, a $7 million increase due to higher export volumes feeding into our Nederland Terminal resulting from the initiation of service on our propane export pipeline in the fourth quarter of 2020, a $4 million increase due to the impact from Midwest refinery turnarounds in the prior period, and a $3 million increase resulting from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49" w:right="339" w:bottom="1440" w:gutter="0" w:footer="0" w:header="0"/>
        </w:sectPr>
      </w:pPr>
    </w:p>
    <w:bookmarkStart w:id="15" w:name="page16"/>
    <w:bookmarkEnd w:id="15"/>
    <w:p>
      <w:pPr>
        <w:ind w:left="340"/>
        <w:spacing w:after="0" w:line="282" w:lineRule="auto"/>
        <w:rPr>
          <w:sz w:val="20"/>
          <w:szCs w:val="20"/>
          <w:color w:val="auto"/>
        </w:rPr>
      </w:pPr>
      <w:r>
        <w:rPr>
          <w:rFonts w:ascii="Times New Roman" w:cs="Times New Roman" w:eastAsia="Times New Roman" w:hAnsi="Times New Roman"/>
          <w:sz w:val="18"/>
          <w:szCs w:val="18"/>
          <w:color w:val="auto"/>
        </w:rPr>
        <w:t>higher throughput volumes received from the Southwest Texas region. These increases were partially offset by an $8 million decrease due to lower throughput volumes received from the Eagle Ford region;</w:t>
      </w:r>
    </w:p>
    <w:p>
      <w:pPr>
        <w:spacing w:after="0" w:line="54" w:lineRule="exact"/>
        <w:rPr>
          <w:sz w:val="20"/>
          <w:szCs w:val="20"/>
          <w:color w:val="auto"/>
        </w:rPr>
      </w:pPr>
    </w:p>
    <w:p>
      <w:pPr>
        <w:ind w:left="34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 million in storage margin primarily due to a $6 million increase from component product storage revenues and a $6 million increase from throughput fees generated from exported volumes;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in fractionators and refinery services margin primarily due to the commissioning of our seventh fractionator in February 2020 and higher NGL volumes at our Mont Belvieu fractionation facility;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$8 million in selling, general and administrative expenses primarily due to lower allocated overhead costs, lower employee costs resulting from cost-cutting initiatives, and a decrease in insurance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Transportation and Services</w:t>
      </w:r>
    </w:p>
    <w:p>
      <w:pPr>
        <w:spacing w:after="0" w:line="20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00"/>
        <w:spacing w:after="0"/>
        <w:rPr>
          <w:sz w:val="20"/>
          <w:szCs w:val="20"/>
          <w:color w:val="auto"/>
        </w:rPr>
      </w:pPr>
      <w:r>
        <w:rPr>
          <w:rFonts w:ascii="Times New Roman" w:cs="Times New Roman" w:eastAsia="Times New Roman" w:hAnsi="Times New Roman"/>
          <w:sz w:val="18"/>
          <w:szCs w:val="18"/>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transportation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terminals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2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31, 2020 compared to the same period last year, crude transportation volumes were lower on our Texas pipeline system and our Bakken pipeline, driven by lower production in these regions due to lower crude oil prices as well as lower refinery utilization caused by COVID-19 demand destruction, partially offset by contributions from assets acquired in 2019. Crude terminal volumes were lower primarily due to lower Permian and Bakken pipeline volumes, reduced refinery utilization, and reduced export demand at our Nederland Terminal, partially offset by contributions from assets acquired in 2019.</w:t>
      </w:r>
    </w:p>
    <w:p>
      <w:pPr>
        <w:spacing w:after="0" w:line="12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For the three months ended December 31, 2020 compared to the same period last year, Segment Adjusted EBITDA related to our crude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oil transportation and services segment decreased due to the net impacts of the following:</w:t>
      </w:r>
    </w:p>
    <w:p>
      <w:pPr>
        <w:spacing w:after="0" w:line="52" w:lineRule="exact"/>
        <w:rPr>
          <w:sz w:val="20"/>
          <w:szCs w:val="20"/>
          <w:color w:val="auto"/>
        </w:rPr>
      </w:pPr>
    </w:p>
    <w:p>
      <w:pPr>
        <w:jc w:val="both"/>
        <w:ind w:left="340" w:hanging="332"/>
        <w:spacing w:after="0" w:line="254"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$182 million in segment margin (excluding unrealized gains and losses on commodity risk management activities) primarily due to a $106 million decrease from our Texas crude pipeline system due to lower utilization and lower average tariff rates realized, a $48 million decrease (excluding a net change of $25 million in unrealized gains and losses on commodity risk management activities) from our crude oil acquisition and marketing business primarily due to less favorable pricing conditions impacting our Permian to Gulf Coast and Bakken to Gulf Coast trading operations, a $43 million decrease due to lower volumes on our Bakken Pipeline resulting from lower basin production, an $18 million decrease in throughput at our crude terminals primarily driven by lower Permian and Bakken pipeline volumes, reduced refinery utilization from COVID-19 demand destruction, and reduced export demand, and an $11 million decrease due to lower volumes on our Bayou Bridge pipeline; partially offset by an increase of $45 million related to assets acquired in 2019;</w:t>
      </w:r>
    </w:p>
    <w:p>
      <w:pPr>
        <w:spacing w:after="0" w:line="9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an increase of $11 million in selling, general and administrative expenses primarily due to legal expenses; and</w:t>
      </w:r>
    </w:p>
    <w:p>
      <w:pPr>
        <w:spacing w:after="0" w:line="130" w:lineRule="exact"/>
        <w:rPr>
          <w:rFonts w:ascii="Arial" w:cs="Arial" w:eastAsia="Arial" w:hAnsi="Arial"/>
          <w:sz w:val="22"/>
          <w:szCs w:val="22"/>
          <w:color w:val="auto"/>
        </w:rPr>
      </w:pPr>
    </w:p>
    <w:p>
      <w:pPr>
        <w:ind w:left="340" w:hanging="332"/>
        <w:spacing w:after="0" w:line="234" w:lineRule="auto"/>
        <w:tabs>
          <w:tab w:leader="none" w:pos="33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 decrease of $4 million in Adjusted EBITDA related to unconsolidated affiliates due to lower margin from jet fuel sales by our joint ventures; partially offset by</w:t>
      </w:r>
    </w:p>
    <w:p>
      <w:pPr>
        <w:spacing w:after="0" w:line="78" w:lineRule="exact"/>
        <w:rPr>
          <w:rFonts w:ascii="Arial" w:cs="Arial" w:eastAsia="Arial" w:hAnsi="Arial"/>
          <w:sz w:val="22"/>
          <w:szCs w:val="22"/>
          <w:color w:val="auto"/>
        </w:rPr>
      </w:pPr>
    </w:p>
    <w:p>
      <w:pPr>
        <w:ind w:left="340" w:hanging="332"/>
        <w:spacing w:after="0" w:line="237"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$35 million in operating expenses primarily due to lower volume-driven pipeline expenses and corporate cost-cutting initiatives, partially offset by increased costs related to assets acquired in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9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Sunoco LP</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4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December 31,</w:t>
            </w:r>
          </w:p>
        </w:tc>
        <w:tc>
          <w:tcPr>
            <w:tcW w:w="50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50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excluding non-cash compensation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fair value adjustments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in Sunoco LP segment reflects the consolidated results of Sunoco LP.</w:t>
      </w:r>
    </w:p>
    <w:p>
      <w:pPr>
        <w:spacing w:after="0" w:line="16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December 31, 2020 compared to the same period last year, Segment Adjusted EBITDA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investment in Sunoco LP decreased due to the net impacts of the following:</w:t>
      </w:r>
    </w:p>
    <w:p>
      <w:pPr>
        <w:spacing w:after="0" w:line="52" w:lineRule="exact"/>
        <w:rPr>
          <w:sz w:val="20"/>
          <w:szCs w:val="20"/>
          <w:color w:val="auto"/>
        </w:rPr>
      </w:pPr>
    </w:p>
    <w:p>
      <w:pPr>
        <w:jc w:val="both"/>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$32 million in margin (excluding changes in inventory fair value adjustments and unrealized losses on commodity risk management activities) due to a 12% decrease in volume primarily resulting from the COVID-19 pandemic, as well as an approximately 7% decrease in gross profit per gallon sold, offset by</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$13 million in operating expenses and $10 million in selling, general and administrative expenses, primarily attributable to lower employee costs, professional fees, credit card processing fees and advertising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USAC</w:t>
      </w:r>
    </w:p>
    <w:p>
      <w:pPr>
        <w:spacing w:after="0" w:line="20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180"/>
        <w:spacing w:after="0"/>
        <w:rPr>
          <w:sz w:val="20"/>
          <w:szCs w:val="20"/>
          <w:color w:val="auto"/>
        </w:rPr>
      </w:pPr>
      <w:r>
        <w:rPr>
          <w:rFonts w:ascii="Times New Roman" w:cs="Times New Roman" w:eastAsia="Times New Roman" w:hAnsi="Times New Roman"/>
          <w:sz w:val="18"/>
          <w:szCs w:val="18"/>
          <w:color w:val="auto"/>
        </w:rPr>
        <w:t>December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82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excluding non-cash compensation expense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in USAC segment reflects the consolidated results of operations for USAC.</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December 31, 2020 compared to the same period last year, Segment Adjusted EBITDA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investment in USAC decreased primarily due to a decrease in demand for compression services driven by a decline in U.S. crude oil and natural gas activity resulting in a decrease in average revenue generating horsepower per month.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4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4"/>
        </w:trPr>
        <w:tc>
          <w:tcPr>
            <w:tcW w:w="8240" w:type="dxa"/>
            <w:vAlign w:val="bottom"/>
          </w:tcPr>
          <w:p>
            <w:pPr>
              <w:spacing w:after="0"/>
              <w:rPr>
                <w:sz w:val="24"/>
                <w:szCs w:val="24"/>
                <w:color w:val="auto"/>
              </w:rPr>
            </w:pPr>
          </w:p>
        </w:tc>
        <w:tc>
          <w:tcPr>
            <w:tcW w:w="25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4"/>
                <w:szCs w:val="24"/>
                <w:color w:val="auto"/>
              </w:rPr>
            </w:pPr>
          </w:p>
        </w:tc>
      </w:tr>
      <w:tr>
        <w:trPr>
          <w:trHeight w:val="229"/>
        </w:trPr>
        <w:tc>
          <w:tcPr>
            <w:tcW w:w="8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December 31,</w:t>
            </w:r>
          </w:p>
        </w:tc>
        <w:tc>
          <w:tcPr>
            <w:tcW w:w="440" w:type="dxa"/>
            <w:vAlign w:val="bottom"/>
            <w:tcBorders>
              <w:bottom w:val="single" w:sz="8" w:color="auto"/>
            </w:tcBorders>
          </w:tcPr>
          <w:p>
            <w:pPr>
              <w:spacing w:after="0"/>
              <w:rPr>
                <w:sz w:val="19"/>
                <w:szCs w:val="19"/>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Borders>
              <w:bottom w:val="single" w:sz="8" w:color="auto"/>
            </w:tcBorders>
          </w:tcPr>
          <w:p>
            <w:pPr>
              <w:spacing w:after="0"/>
              <w:rPr>
                <w:sz w:val="19"/>
                <w:szCs w:val="19"/>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on commodity risk management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and eliminations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December 31, 2020 compared to the same period last year, Segment Adjusted EBITDA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all other segment increased due to the net impacts of the following:</w:t>
      </w:r>
    </w:p>
    <w:p>
      <w:pPr>
        <w:spacing w:after="0" w:line="52"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$21 million from the acquisition of Energy Transfer Canada (formerly SemCAMS);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 million primarily due to insurance proceeds received on settled claims related to our MTBE litigation;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 million from lower power and operating costs at our compression services business;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 million from power trading activities; partially offset by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$4 million </w:t>
      </w:r>
      <w:r>
        <w:rPr>
          <w:rFonts w:ascii="Times New Roman" w:cs="Times New Roman" w:eastAsia="Times New Roman" w:hAnsi="Times New Roman"/>
          <w:sz w:val="16"/>
          <w:szCs w:val="16"/>
          <w:color w:val="auto"/>
        </w:rPr>
        <w:t>due to lower revenue fro</w:t>
      </w:r>
      <w:r>
        <w:rPr>
          <w:rFonts w:ascii="Times New Roman" w:cs="Times New Roman" w:eastAsia="Times New Roman" w:hAnsi="Times New Roman"/>
          <w:sz w:val="18"/>
          <w:szCs w:val="18"/>
          <w:color w:val="auto"/>
        </w:rPr>
        <w:t>m our compressor equipment business;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 million due to lower royalties and producer demand at our natural resources business.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049"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INFORMATION ON LIQUIDITY</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ETO’s revolving credit facilities. We also have consolidated subsidiaries with revolving credit facilities which are not included.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Facility Size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Funds Available at</w:t>
            </w:r>
          </w:p>
        </w:tc>
        <w:tc>
          <w:tcPr>
            <w:tcW w:w="120" w:type="dxa"/>
            <w:vAlign w:val="bottom"/>
          </w:tcPr>
          <w:p>
            <w:pPr>
              <w:spacing w:after="0"/>
              <w:rPr>
                <w:sz w:val="17"/>
                <w:szCs w:val="17"/>
                <w:color w:val="auto"/>
              </w:rPr>
            </w:pPr>
          </w:p>
        </w:tc>
        <w:tc>
          <w:tcPr>
            <w:tcW w:w="19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Maturity Date</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2020</w:t>
            </w:r>
          </w:p>
        </w:tc>
        <w:tc>
          <w:tcPr>
            <w:tcW w:w="12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ETO Five-Year Revolving Credit Facility</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ETO 364-Day facility</w:t>
            </w:r>
          </w:p>
        </w:tc>
        <w:tc>
          <w:tcPr>
            <w:tcW w:w="14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November 26, 2021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5200" w:type="dxa"/>
            <w:vAlign w:val="bottom"/>
          </w:tcPr>
          <w:p>
            <w:pPr>
              <w:spacing w:after="0"/>
              <w:rPr>
                <w:sz w:val="24"/>
                <w:szCs w:val="24"/>
                <w:color w:val="auto"/>
              </w:rPr>
            </w:pPr>
          </w:p>
        </w:tc>
        <w:tc>
          <w:tcPr>
            <w:tcW w:w="14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INFORMATION ON UNCONSOLIDATED AFFILIATES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on an aggregated basis for our unconsolidated affiliates, which are accounted for as equity method investments in the Partnership’s financial statements for the periods presented.</w:t>
      </w:r>
    </w:p>
    <w:p>
      <w:pPr>
        <w:spacing w:after="0" w:line="137"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180"/>
        <w:spacing w:after="0"/>
        <w:rPr>
          <w:sz w:val="20"/>
          <w:szCs w:val="20"/>
          <w:color w:val="auto"/>
        </w:rPr>
      </w:pPr>
      <w:r>
        <w:rPr>
          <w:rFonts w:ascii="Times New Roman" w:cs="Times New Roman" w:eastAsia="Times New Roman" w:hAnsi="Times New Roman"/>
          <w:sz w:val="18"/>
          <w:szCs w:val="18"/>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earnings (losses) of unconsolidated affiliates:</w:t>
            </w:r>
          </w:p>
        </w:tc>
        <w:tc>
          <w:tcPr>
            <w:tcW w:w="31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41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FEP</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3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White Cliffs</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1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in earnings of unconsolidated affiliates</w:t>
            </w:r>
          </w:p>
        </w:tc>
        <w:tc>
          <w:tcPr>
            <w:tcW w:w="316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related to unconsolidated affiliates:</w:t>
            </w:r>
          </w:p>
        </w:tc>
        <w:tc>
          <w:tcPr>
            <w:tcW w:w="3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080" w:type="dxa"/>
            <w:vAlign w:val="bottom"/>
            <w:vMerge w:val="continue"/>
          </w:tcPr>
          <w:p>
            <w:pPr>
              <w:spacing w:after="0"/>
              <w:rPr>
                <w:sz w:val="24"/>
                <w:szCs w:val="24"/>
                <w:color w:val="auto"/>
              </w:rPr>
            </w:pPr>
          </w:p>
        </w:tc>
        <w:tc>
          <w:tcPr>
            <w:tcW w:w="3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41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FEP</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3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White Cliffs</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1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Adjusted EBITDA related to unconsolidated affiliates</w:t>
            </w:r>
          </w:p>
        </w:tc>
        <w:tc>
          <w:tcPr>
            <w:tcW w:w="316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received from unconsolidated affiliates:</w:t>
            </w:r>
          </w:p>
        </w:tc>
        <w:tc>
          <w:tcPr>
            <w:tcW w:w="3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080" w:type="dxa"/>
            <w:vAlign w:val="bottom"/>
            <w:vMerge w:val="continue"/>
          </w:tcPr>
          <w:p>
            <w:pPr>
              <w:spacing w:after="0"/>
              <w:rPr>
                <w:sz w:val="24"/>
                <w:szCs w:val="24"/>
                <w:color w:val="auto"/>
              </w:rPr>
            </w:pPr>
          </w:p>
        </w:tc>
        <w:tc>
          <w:tcPr>
            <w:tcW w:w="3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41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FEP</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3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White Cliffs</w:t>
            </w:r>
          </w:p>
        </w:tc>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1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distributions received from unconsolidated affiliates</w:t>
            </w:r>
          </w:p>
        </w:tc>
        <w:tc>
          <w:tcPr>
            <w:tcW w:w="316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16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50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87"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INFORMATION ON NON-WHOLLY-OWNED JOINT VENTURE SUBSIDIARIES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on an aggregated basis for our non-wholly-owned joint venture subsidiaries, which are reflected on a consolidated basis in our financial statements. The table below excludes Sunoco LP and USAC, which are non-wholly-owned subsidiaries that are publicly traded.</w:t>
      </w:r>
    </w:p>
    <w:p>
      <w:pPr>
        <w:spacing w:after="0" w:line="137"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00"/>
        <w:spacing w:after="0"/>
        <w:rPr>
          <w:sz w:val="20"/>
          <w:szCs w:val="20"/>
          <w:color w:val="auto"/>
        </w:rPr>
      </w:pPr>
      <w:r>
        <w:rPr>
          <w:rFonts w:ascii="Times New Roman" w:cs="Times New Roman" w:eastAsia="Times New Roman" w:hAnsi="Times New Roman"/>
          <w:sz w:val="18"/>
          <w:szCs w:val="18"/>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of non-wholly-owned subsidiaries (100%) </w:t>
            </w:r>
            <w:r>
              <w:rPr>
                <w:rFonts w:ascii="Times New Roman" w:cs="Times New Roman" w:eastAsia="Times New Roman" w:hAnsi="Times New Roman"/>
                <w:sz w:val="23"/>
                <w:szCs w:val="23"/>
                <w:color w:val="auto"/>
                <w:vertAlign w:val="superscript"/>
              </w:rPr>
              <w:t>(a)</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30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Our proportionate share of Adjusted EBITDA of non-wholly-owned subsidiaries </w:t>
            </w:r>
            <w:r>
              <w:rPr>
                <w:rFonts w:ascii="Times New Roman" w:cs="Times New Roman" w:eastAsia="Times New Roman" w:hAnsi="Times New Roman"/>
                <w:sz w:val="23"/>
                <w:szCs w:val="23"/>
                <w:color w:val="auto"/>
                <w:vertAlign w:val="superscript"/>
              </w:rPr>
              <w:t>(b)</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193"/>
        </w:trPr>
        <w:tc>
          <w:tcPr>
            <w:tcW w:w="8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Distributable Cash Flow of non-wholly-owned subsidiaries (100%) </w:t>
            </w:r>
            <w:r>
              <w:rPr>
                <w:rFonts w:ascii="Times New Roman" w:cs="Times New Roman" w:eastAsia="Times New Roman" w:hAnsi="Times New Roman"/>
                <w:sz w:val="23"/>
                <w:szCs w:val="23"/>
                <w:color w:val="auto"/>
                <w:vertAlign w:val="superscript"/>
              </w:rPr>
              <w:t>(c)</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30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Our proportionate share of Distributable Cash Flow of non-wholly-owned subsidiaries </w:t>
            </w:r>
            <w:r>
              <w:rPr>
                <w:rFonts w:ascii="Times New Roman" w:cs="Times New Roman" w:eastAsia="Times New Roman" w:hAnsi="Times New Roman"/>
                <w:sz w:val="23"/>
                <w:szCs w:val="23"/>
                <w:color w:val="auto"/>
                <w:vertAlign w:val="superscript"/>
              </w:rPr>
              <w:t>(d)</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bl>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Below is our ownership percentage of certain non-wholly-owned subsidiaries:</w:t>
            </w:r>
          </w:p>
        </w:tc>
        <w:tc>
          <w:tcPr>
            <w:tcW w:w="3080" w:type="dxa"/>
            <w:vAlign w:val="bottom"/>
          </w:tcPr>
          <w:p>
            <w:pPr>
              <w:spacing w:after="0"/>
              <w:rPr>
                <w:sz w:val="20"/>
                <w:szCs w:val="20"/>
                <w:color w:val="auto"/>
              </w:rPr>
            </w:pPr>
          </w:p>
        </w:tc>
      </w:tr>
      <w:tr>
        <w:trPr>
          <w:trHeight w:val="418"/>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Non-wholly-owned subsidiary:</w:t>
            </w:r>
          </w:p>
        </w:tc>
        <w:tc>
          <w:tcPr>
            <w:tcW w:w="3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 xml:space="preserve">ET Percentage Ownership </w:t>
            </w:r>
            <w:r>
              <w:rPr>
                <w:rFonts w:ascii="Times New Roman" w:cs="Times New Roman" w:eastAsia="Times New Roman" w:hAnsi="Times New Roman"/>
                <w:sz w:val="23"/>
                <w:szCs w:val="23"/>
                <w:color w:val="auto"/>
                <w:vertAlign w:val="superscript"/>
              </w:rPr>
              <w:t>(e)</w:t>
            </w:r>
          </w:p>
        </w:tc>
      </w:tr>
      <w:tr>
        <w:trPr>
          <w:trHeight w:val="22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Bakken Pipeline</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2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Bayou Bridge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Maurepas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2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Ohio River System</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2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Permian Express Partners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87.7 %</w:t>
            </w:r>
          </w:p>
        </w:tc>
      </w:tr>
      <w:tr>
        <w:trPr>
          <w:trHeight w:val="23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 Bluff Express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2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Rover</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r>
      <w:tr>
        <w:trPr>
          <w:trHeight w:val="23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Transfer Canada (formerly “SemCAMS”)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3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various</w:t>
            </w:r>
          </w:p>
        </w:tc>
      </w:tr>
    </w:tbl>
    <w:p>
      <w:pPr>
        <w:spacing w:after="0" w:line="90" w:lineRule="exact"/>
        <w:rPr>
          <w:sz w:val="20"/>
          <w:szCs w:val="20"/>
          <w:color w:val="auto"/>
        </w:rPr>
      </w:pPr>
    </w:p>
    <w:p>
      <w:pPr>
        <w:ind w:left="340" w:right="20" w:hanging="332"/>
        <w:spacing w:after="0" w:line="229" w:lineRule="auto"/>
        <w:tabs>
          <w:tab w:leader="none" w:pos="335"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EBITDA of non-wholly-owned subsidiaries reflects the total Adjusted EBITDA of our non-wholly-owned subsidiaries on an aggregated basis. This is the amount of EBITDA included in our consolidated non-GAAP measure of Adjusted EBITDA.</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proportionate share of Adjusted EBITDA of non-wholly-owned subsidiaries reflects the amount of Adjusted EBITDA of such subsidiaries (on an aggregated basis) that is attributable to our ownership interest.</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5"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Distributable Cash Flow of non-wholly-owned subsidiaries reflects the total Distributable Cash Flow of our non-wholly-owned subsidiaries on an aggregated basis.</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proportionate share of Distributable Cash Flow of non-wholly-owned subsidiaries reflects the amount of Distributable Cash Flow of such subsidiaries (on an aggregated basis) that is attributable to our ownership interest. This is the amount of Distributable Cash Flow included in our consolidated non-GAAP measure of Distributable Cash Flow attributable to the partners of ET.</w:t>
      </w:r>
    </w:p>
    <w:p>
      <w:pPr>
        <w:spacing w:after="0" w:line="91"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5"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ownership reflects the total economic interest held by us and our subsidiaries. In some cases, this percentage comprises ownership interests held in (or by) multiple entities.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2021-02-17T15:25:48Z</dcterms:created>
  <dcterms:modified xsi:type="dcterms:W3CDTF">2021-02-17T15:25:48Z</dcterms:modified>
</cp:coreProperties>
</file>