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23,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 NO. 333-195226</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ENABLE MIDSTREAM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36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72-1252419</w:t>
      </w:r>
    </w:p>
    <w:p>
      <w:pPr>
        <w:spacing w:after="0" w:line="31" w:lineRule="exact"/>
        <w:rPr>
          <w:sz w:val="24"/>
          <w:szCs w:val="24"/>
          <w:color w:val="auto"/>
        </w:rPr>
      </w:pPr>
    </w:p>
    <w:p>
      <w:pPr>
        <w:sectPr>
          <w:pgSz w:w="11900" w:h="16838" w:orient="portrait"/>
          <w:cols w:equalWidth="0" w:num="2">
            <w:col w:w="7180" w:space="720"/>
            <w:col w:w="3120"/>
          </w:cols>
          <w:pgMar w:left="440" w:top="229" w:right="439" w:bottom="360" w:gutter="0" w:footer="0" w:header="0"/>
          <w:type w:val="continuous"/>
        </w:sectPr>
      </w:pPr>
    </w:p>
    <w:p>
      <w:pPr>
        <w:jc w:val="center"/>
        <w:ind w:right="1500"/>
        <w:spacing w:after="0"/>
        <w:rPr>
          <w:sz w:val="20"/>
          <w:szCs w:val="20"/>
          <w:color w:val="auto"/>
        </w:rPr>
      </w:pPr>
      <w:r>
        <w:rPr>
          <w:rFonts w:ascii="Arial" w:cs="Arial" w:eastAsia="Arial" w:hAnsi="Arial"/>
          <w:sz w:val="14"/>
          <w:szCs w:val="14"/>
          <w:b w:val="1"/>
          <w:bCs w:val="1"/>
          <w:color w:val="auto"/>
        </w:rPr>
        <w:t>(State or other jurisdiction</w:t>
      </w:r>
    </w:p>
    <w:p>
      <w:pPr>
        <w:jc w:val="center"/>
        <w:ind w:right="150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36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499 West Sheridan Avenue, Suite 1500</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Oklahoma City, Oklahoma 72102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(405) 525-7788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226695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9" w:right="439" w:bottom="36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Enable Midstream Partners, LP Long Term Incentive Plan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Bradford D. Whitehurst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Energy Transfer 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8111 Westchester Drive, Suite 600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Dallas, Texas 75225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(214) 981-0700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William N. Finnegan IV</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Kevin Richardson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811 Main Street, Suite 3700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(713) 546-5400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201930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36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Post-Effective Amendment (this “Post-Effective Amendment”) relates to the following Registration Statement on Form S-8 (the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Statement”) filed by Enable Midstream Partners, a Delaware limited partnership (“Enable”), with the Securities and Exchange Commission:</w:t>
      </w:r>
    </w:p>
    <w:p>
      <w:pPr>
        <w:spacing w:after="0" w:line="249" w:lineRule="exact"/>
        <w:rPr>
          <w:sz w:val="20"/>
          <w:szCs w:val="20"/>
          <w:color w:val="auto"/>
        </w:rPr>
      </w:pPr>
    </w:p>
    <w:p>
      <w:pPr>
        <w:jc w:val="both"/>
        <w:ind w:left="760" w:right="240" w:hanging="319"/>
        <w:spacing w:after="0" w:line="263"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333-195226), which was filed by Enable with the SEC on April 11, 2014, registering 13,100,000 common units representing limited partner interests (the “Common Units”) in Enable under the Enable Midstream Partners, LP Long-Term Incentive Plan.</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Reference is made to the Agreement and Plan of Merger dated February 16, 2021 (“Merger Agreement”), by and among Energy Transfer LP, a Delaware limited partnership (“ET”), Elk Merger Sub LLC, a Delaware limited liability company and a wholly owned subsidiary of ET, Elk GP Merger Sub LLC, a Delaware limited liability company and a wholly owned subsidiary of ET, Enable, Enable GP, LLC, a Delaware limited liability company and the sole general partner of Enable, solely for the purposes of Section 2.1(a)(i) therein, LE GP, LLC, a Delaware limited liability company and sole general partner of ET, and solely for the purposes of Section 1.1(b)(i) therein, CenterPoint Energy, Inc., a Texas Corporation.</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December 2, 2021, in connection with the consummation of the mergers contemplated by the Merger Agreement, Enable has terminated all offerings of the Common Units pursuant to the Registration Statement. In accordance with the undertakings made by Enable in the Registration Statement to remove from registration, by means of a post-effective amendment, any of the securities that had been registered for issuance that remain unsold at the termination of such offerings, Enable hereby removes from registration by means of this Post-Effective Amendment all Common Units registered but unsold under the Registration Statement as of the date hereof. The Registration Statement is hereby amended, as appropriate, to reflect the deregistration of such Common Units and Enable hereby terminates the effectiveness of the Registration Statement.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Statements on Form S-8 to be signed on its behalf by the undersigned, thereunto duly authorized, in the City of Dallas, State of Texas, on December 23, 2021.</w:t>
      </w:r>
    </w:p>
    <w:p>
      <w:pPr>
        <w:spacing w:after="0" w:line="200" w:lineRule="exact"/>
        <w:rPr>
          <w:sz w:val="20"/>
          <w:szCs w:val="20"/>
          <w:color w:val="auto"/>
        </w:rPr>
      </w:pP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Enable Midstream Partners, LP</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Enable GP, LLC, its general partner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Bradford D. Whitehurst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Form S-8 Registration Statements in reliance on Rule 478 under the Securities Act of 1933, as amended.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2021-12-27T05:15:01Z</dcterms:created>
  <dcterms:modified xsi:type="dcterms:W3CDTF">2021-12-27T05:15:01Z</dcterms:modified>
</cp:coreProperties>
</file>