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left="1140" w:right="780"/>
        <w:spacing w:after="0" w:line="239" w:lineRule="auto"/>
        <w:rPr>
          <w:sz w:val="20"/>
          <w:szCs w:val="20"/>
          <w:color w:val="auto"/>
        </w:rPr>
      </w:pPr>
      <w:r>
        <w:rPr>
          <w:rFonts w:ascii="Arial" w:cs="Arial" w:eastAsia="Arial" w:hAnsi="Arial"/>
          <w:sz w:val="22"/>
          <w:szCs w:val="22"/>
          <w:b w:val="1"/>
          <w:bCs w:val="1"/>
          <w:color w:val="auto"/>
        </w:rPr>
        <w:t>CERTIFICATION AND NOTICE OF TERMINATION OF REGISTRATION UNDER SECTION 12(g) OF THE SECURITIES EXCHANGE ACT OF 1934 OR SUSPENSION OF DUTY TO FILE REPORTS UNDER SECTIONS 13 AND 15(d) OF THE SECURITIES EXCHANGE ACT OF 1934.</w:t>
      </w:r>
    </w:p>
    <w:p>
      <w:pPr>
        <w:spacing w:after="0" w:line="18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Commission File Number 001-31219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240030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ENERGY TRANSFER OPERATING, L.P.</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8111 Westchester Drive, Suite 600</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Dallas, Texas 75225</w:t>
      </w:r>
    </w:p>
    <w:p>
      <w:pPr>
        <w:spacing w:after="0" w:line="9"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(214) 981-0700</w:t>
      </w:r>
    </w:p>
    <w:p>
      <w:pPr>
        <w:spacing w:after="0" w:line="2"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192" w:lineRule="exact"/>
        <w:rPr>
          <w:sz w:val="24"/>
          <w:szCs w:val="24"/>
          <w:color w:val="auto"/>
        </w:rPr>
      </w:pPr>
    </w:p>
    <w:p>
      <w:pPr>
        <w:ind w:left="2000"/>
        <w:spacing w:after="0"/>
        <w:rPr>
          <w:sz w:val="20"/>
          <w:szCs w:val="20"/>
          <w:color w:val="auto"/>
        </w:rPr>
      </w:pPr>
      <w:r>
        <w:rPr>
          <w:rFonts w:ascii="Arial" w:cs="Arial" w:eastAsia="Arial" w:hAnsi="Arial"/>
          <w:sz w:val="18"/>
          <w:szCs w:val="18"/>
          <w:b w:val="1"/>
          <w:bCs w:val="1"/>
          <w:color w:val="auto"/>
        </w:rPr>
        <w:t>7.375% Series C Fixed-to-Floating Rate Cumulative Redeemable Perpetual Preferred Units</w:t>
      </w:r>
    </w:p>
    <w:p>
      <w:pPr>
        <w:spacing w:after="0" w:line="27" w:lineRule="exact"/>
        <w:rPr>
          <w:sz w:val="24"/>
          <w:szCs w:val="24"/>
          <w:color w:val="auto"/>
        </w:rPr>
      </w:pPr>
    </w:p>
    <w:p>
      <w:pPr>
        <w:ind w:left="2000"/>
        <w:spacing w:after="0"/>
        <w:rPr>
          <w:sz w:val="20"/>
          <w:szCs w:val="20"/>
          <w:color w:val="auto"/>
        </w:rPr>
      </w:pPr>
      <w:r>
        <w:rPr>
          <w:rFonts w:ascii="Arial" w:cs="Arial" w:eastAsia="Arial" w:hAnsi="Arial"/>
          <w:sz w:val="18"/>
          <w:szCs w:val="18"/>
          <w:b w:val="1"/>
          <w:bCs w:val="1"/>
          <w:color w:val="auto"/>
        </w:rPr>
        <w:t>7.625% Series D Fixed-to-Floating Rate Cumulative Redeemable Perpetual Preferred Units</w:t>
      </w:r>
    </w:p>
    <w:p>
      <w:pPr>
        <w:spacing w:after="0" w:line="9" w:lineRule="exact"/>
        <w:rPr>
          <w:sz w:val="24"/>
          <w:szCs w:val="24"/>
          <w:color w:val="auto"/>
        </w:rPr>
      </w:pPr>
    </w:p>
    <w:p>
      <w:pPr>
        <w:ind w:left="2000"/>
        <w:spacing w:after="0"/>
        <w:rPr>
          <w:sz w:val="20"/>
          <w:szCs w:val="20"/>
          <w:color w:val="auto"/>
        </w:rPr>
      </w:pPr>
      <w:r>
        <w:rPr>
          <w:rFonts w:ascii="Arial" w:cs="Arial" w:eastAsia="Arial" w:hAnsi="Arial"/>
          <w:sz w:val="18"/>
          <w:szCs w:val="18"/>
          <w:b w:val="1"/>
          <w:bCs w:val="1"/>
          <w:color w:val="auto"/>
        </w:rPr>
        <w:t>7.600% Series E Fixed-to-Floating Rate Cumulative Redeemable Perpetual Preferred Units</w:t>
      </w:r>
    </w:p>
    <w:p>
      <w:pPr>
        <w:spacing w:after="0" w:line="2"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(Title of each class of securities covered by this Form)</w:t>
      </w:r>
    </w:p>
    <w:p>
      <w:pPr>
        <w:spacing w:after="0" w:line="19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None</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(Titles of all other classes of securities for which a duty to file reports under section 13(a) or 15(d) remains)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ind w:left="440"/>
        <w:spacing w:after="0"/>
        <w:rPr>
          <w:sz w:val="20"/>
          <w:szCs w:val="20"/>
          <w:color w:val="auto"/>
        </w:rPr>
      </w:pPr>
      <w:r>
        <w:rPr>
          <w:rFonts w:ascii="Arial" w:cs="Arial" w:eastAsia="Arial" w:hAnsi="Arial"/>
          <w:sz w:val="16"/>
          <w:szCs w:val="16"/>
          <w:color w:val="auto"/>
        </w:rPr>
        <w:t>Please place an X in the box(es) to designate the appropriate rule provision(s) relied upon to terminate or suspend the duty to file reports:</w:t>
      </w:r>
    </w:p>
    <w:p>
      <w:pPr>
        <w:sectPr>
          <w:pgSz w:w="11900" w:h="16838" w:orient="portrait"/>
          <w:cols w:equalWidth="0" w:num="1">
            <w:col w:w="11020"/>
          </w:cols>
          <w:pgMar w:left="440" w:top="368" w:right="439" w:bottom="973" w:gutter="0" w:footer="0" w:header="0"/>
        </w:sectPr>
      </w:pPr>
    </w:p>
    <w:p>
      <w:pPr>
        <w:spacing w:after="0" w:line="275" w:lineRule="exact"/>
        <w:rPr>
          <w:sz w:val="24"/>
          <w:szCs w:val="24"/>
          <w:color w:val="auto"/>
        </w:rPr>
      </w:pPr>
    </w:p>
    <w:p>
      <w:pPr>
        <w:ind w:left="4400"/>
        <w:spacing w:after="0"/>
        <w:rPr>
          <w:sz w:val="20"/>
          <w:szCs w:val="20"/>
          <w:color w:val="auto"/>
        </w:rPr>
      </w:pPr>
      <w:r>
        <w:rPr>
          <w:rFonts w:ascii="Arial" w:cs="Arial" w:eastAsia="Arial" w:hAnsi="Arial"/>
          <w:sz w:val="18"/>
          <w:szCs w:val="18"/>
          <w:color w:val="auto"/>
        </w:rPr>
        <w:t>Rule 12g-4(a)(1)</w:t>
      </w:r>
    </w:p>
    <w:p>
      <w:pPr>
        <w:spacing w:after="0" w:line="23" w:lineRule="exact"/>
        <w:rPr>
          <w:sz w:val="24"/>
          <w:szCs w:val="24"/>
          <w:color w:val="auto"/>
        </w:rPr>
      </w:pPr>
    </w:p>
    <w:p>
      <w:pPr>
        <w:ind w:left="4400"/>
        <w:spacing w:after="0"/>
        <w:rPr>
          <w:sz w:val="20"/>
          <w:szCs w:val="20"/>
          <w:color w:val="auto"/>
        </w:rPr>
      </w:pPr>
      <w:r>
        <w:rPr>
          <w:rFonts w:ascii="Arial" w:cs="Arial" w:eastAsia="Arial" w:hAnsi="Arial"/>
          <w:sz w:val="18"/>
          <w:szCs w:val="18"/>
          <w:color w:val="auto"/>
        </w:rPr>
        <w:t>Rule 12g-4(a)(2)</w:t>
      </w:r>
    </w:p>
    <w:p>
      <w:pPr>
        <w:spacing w:after="0" w:line="9" w:lineRule="exact"/>
        <w:rPr>
          <w:sz w:val="24"/>
          <w:szCs w:val="24"/>
          <w:color w:val="auto"/>
        </w:rPr>
      </w:pPr>
    </w:p>
    <w:p>
      <w:pPr>
        <w:ind w:left="4400"/>
        <w:spacing w:after="0"/>
        <w:rPr>
          <w:sz w:val="20"/>
          <w:szCs w:val="20"/>
          <w:color w:val="auto"/>
        </w:rPr>
      </w:pPr>
      <w:r>
        <w:rPr>
          <w:rFonts w:ascii="Arial" w:cs="Arial" w:eastAsia="Arial" w:hAnsi="Arial"/>
          <w:sz w:val="17"/>
          <w:szCs w:val="17"/>
          <w:color w:val="auto"/>
        </w:rPr>
        <w:t>Rule 12h-3(b)(1)(i)</w:t>
      </w:r>
    </w:p>
    <w:p>
      <w:pPr>
        <w:spacing w:after="0" w:line="21" w:lineRule="exact"/>
        <w:rPr>
          <w:sz w:val="24"/>
          <w:szCs w:val="24"/>
          <w:color w:val="auto"/>
        </w:rPr>
      </w:pPr>
    </w:p>
    <w:p>
      <w:pPr>
        <w:ind w:left="4400"/>
        <w:spacing w:after="0"/>
        <w:rPr>
          <w:sz w:val="20"/>
          <w:szCs w:val="20"/>
          <w:color w:val="auto"/>
        </w:rPr>
      </w:pPr>
      <w:r>
        <w:rPr>
          <w:rFonts w:ascii="Arial" w:cs="Arial" w:eastAsia="Arial" w:hAnsi="Arial"/>
          <w:sz w:val="17"/>
          <w:szCs w:val="17"/>
          <w:color w:val="auto"/>
        </w:rPr>
        <w:t>Rule 12h-3(b)(1)(ii)</w:t>
      </w:r>
    </w:p>
    <w:p>
      <w:pPr>
        <w:spacing w:after="0" w:line="21" w:lineRule="exact"/>
        <w:rPr>
          <w:sz w:val="24"/>
          <w:szCs w:val="24"/>
          <w:color w:val="auto"/>
        </w:rPr>
      </w:pPr>
    </w:p>
    <w:p>
      <w:pPr>
        <w:ind w:left="4400"/>
        <w:spacing w:after="0"/>
        <w:rPr>
          <w:sz w:val="20"/>
          <w:szCs w:val="20"/>
          <w:color w:val="auto"/>
        </w:rPr>
      </w:pPr>
      <w:r>
        <w:rPr>
          <w:rFonts w:ascii="Arial" w:cs="Arial" w:eastAsia="Arial" w:hAnsi="Arial"/>
          <w:sz w:val="18"/>
          <w:szCs w:val="18"/>
          <w:color w:val="auto"/>
        </w:rPr>
        <w:t>Rule 15d-6</w:t>
      </w:r>
    </w:p>
    <w:p>
      <w:pPr>
        <w:spacing w:after="0" w:line="9" w:lineRule="exact"/>
        <w:rPr>
          <w:sz w:val="24"/>
          <w:szCs w:val="24"/>
          <w:color w:val="auto"/>
        </w:rPr>
      </w:pPr>
    </w:p>
    <w:p>
      <w:pPr>
        <w:ind w:left="4400"/>
        <w:spacing w:after="0"/>
        <w:rPr>
          <w:sz w:val="20"/>
          <w:szCs w:val="20"/>
          <w:color w:val="auto"/>
        </w:rPr>
      </w:pPr>
      <w:r>
        <w:rPr>
          <w:rFonts w:ascii="Arial" w:cs="Arial" w:eastAsia="Arial" w:hAnsi="Arial"/>
          <w:sz w:val="18"/>
          <w:szCs w:val="18"/>
          <w:color w:val="auto"/>
        </w:rPr>
        <w:t>Rule 15d-22(b)</w:t>
      </w:r>
    </w:p>
    <w:p>
      <w:pPr>
        <w:spacing w:after="0" w:line="20" w:lineRule="exact"/>
        <w:rPr>
          <w:sz w:val="24"/>
          <w:szCs w:val="24"/>
          <w:color w:val="auto"/>
        </w:rPr>
      </w:pPr>
      <w:r>
        <w:rPr>
          <w:sz w:val="24"/>
          <w:szCs w:val="24"/>
          <w:color w:val="auto"/>
        </w:rPr>
        <w:br w:type="column"/>
      </w:r>
    </w:p>
    <w:p>
      <w:pPr>
        <w:spacing w:after="0" w:line="22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6"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51" w:lineRule="exact"/>
        <w:rPr>
          <w:sz w:val="24"/>
          <w:szCs w:val="24"/>
          <w:color w:val="auto"/>
        </w:rPr>
      </w:pPr>
    </w:p>
    <w:p>
      <w:pPr>
        <w:sectPr>
          <w:pgSz w:w="11900" w:h="16838" w:orient="portrait"/>
          <w:cols w:equalWidth="0" w:num="2">
            <w:col w:w="5840" w:space="540"/>
            <w:col w:w="4640"/>
          </w:cols>
          <w:pgMar w:left="440" w:top="368" w:right="439" w:bottom="973" w:gutter="0" w:footer="0" w:header="0"/>
          <w:type w:val="continuous"/>
        </w:sectPr>
      </w:pPr>
    </w:p>
    <w:p>
      <w:pPr>
        <w:spacing w:after="0" w:line="11" w:lineRule="exact"/>
        <w:rPr>
          <w:sz w:val="24"/>
          <w:szCs w:val="24"/>
          <w:color w:val="auto"/>
        </w:rPr>
      </w:pPr>
    </w:p>
    <w:p>
      <w:pPr>
        <w:ind w:left="440"/>
        <w:spacing w:after="0"/>
        <w:rPr>
          <w:sz w:val="20"/>
          <w:szCs w:val="20"/>
          <w:color w:val="auto"/>
        </w:rPr>
      </w:pPr>
      <w:r>
        <w:rPr>
          <w:rFonts w:ascii="Arial" w:cs="Arial" w:eastAsia="Arial" w:hAnsi="Arial"/>
          <w:sz w:val="18"/>
          <w:szCs w:val="18"/>
          <w:color w:val="auto"/>
        </w:rPr>
        <w:t>Approximate number of holders of record as of the certification or notice date:</w:t>
      </w:r>
    </w:p>
    <w:p>
      <w:pPr>
        <w:spacing w:after="0" w:line="117" w:lineRule="exact"/>
        <w:rPr>
          <w:sz w:val="24"/>
          <w:szCs w:val="24"/>
          <w:color w:val="auto"/>
        </w:rPr>
      </w:pPr>
    </w:p>
    <w:p>
      <w:pPr>
        <w:ind w:left="860"/>
        <w:spacing w:after="0"/>
        <w:rPr>
          <w:sz w:val="20"/>
          <w:szCs w:val="20"/>
          <w:color w:val="auto"/>
        </w:rPr>
      </w:pPr>
      <w:r>
        <w:rPr>
          <w:rFonts w:ascii="Arial" w:cs="Arial" w:eastAsia="Arial" w:hAnsi="Arial"/>
          <w:sz w:val="18"/>
          <w:szCs w:val="18"/>
          <w:color w:val="auto"/>
        </w:rPr>
        <w:t>7.375% Series C Fixed-to-Floating Rate Cumulative Redeemable Perpetual Preferred Units: 0</w:t>
      </w:r>
    </w:p>
    <w:p>
      <w:pPr>
        <w:spacing w:after="0" w:line="23" w:lineRule="exact"/>
        <w:rPr>
          <w:sz w:val="24"/>
          <w:szCs w:val="24"/>
          <w:color w:val="auto"/>
        </w:rPr>
      </w:pPr>
    </w:p>
    <w:p>
      <w:pPr>
        <w:ind w:left="860"/>
        <w:spacing w:after="0"/>
        <w:rPr>
          <w:sz w:val="20"/>
          <w:szCs w:val="20"/>
          <w:color w:val="auto"/>
        </w:rPr>
      </w:pPr>
      <w:r>
        <w:rPr>
          <w:rFonts w:ascii="Arial" w:cs="Arial" w:eastAsia="Arial" w:hAnsi="Arial"/>
          <w:sz w:val="18"/>
          <w:szCs w:val="18"/>
          <w:color w:val="auto"/>
        </w:rPr>
        <w:t>7.625% Series D Fixed-to-Floating Rate Cumulative Redeemable Perpetual Preferred Units: 0</w:t>
      </w:r>
    </w:p>
    <w:p>
      <w:pPr>
        <w:spacing w:after="0" w:line="9" w:lineRule="exact"/>
        <w:rPr>
          <w:sz w:val="24"/>
          <w:szCs w:val="24"/>
          <w:color w:val="auto"/>
        </w:rPr>
      </w:pPr>
    </w:p>
    <w:p>
      <w:pPr>
        <w:ind w:left="860"/>
        <w:spacing w:after="0"/>
        <w:rPr>
          <w:sz w:val="20"/>
          <w:szCs w:val="20"/>
          <w:color w:val="auto"/>
        </w:rPr>
      </w:pPr>
      <w:r>
        <w:rPr>
          <w:rFonts w:ascii="Arial" w:cs="Arial" w:eastAsia="Arial" w:hAnsi="Arial"/>
          <w:sz w:val="18"/>
          <w:szCs w:val="18"/>
          <w:color w:val="auto"/>
        </w:rPr>
        <w:t>7.600% Series E Fixed-to-Floating Rate Cumulative Redeemable Perpetual Preferred Units: 0</w:t>
      </w:r>
    </w:p>
    <w:p>
      <w:pPr>
        <w:spacing w:after="0" w:line="211" w:lineRule="exact"/>
        <w:rPr>
          <w:sz w:val="24"/>
          <w:szCs w:val="24"/>
          <w:color w:val="auto"/>
        </w:rPr>
      </w:pPr>
    </w:p>
    <w:p>
      <w:pPr>
        <w:ind w:right="16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Energy Transfer LP (as successor by merger to Energy Transfer Operating, L.P.) has duly caused this certification/notice to be signed on its behalf by the undersigned duly authorized person.</w:t>
      </w:r>
    </w:p>
    <w:p>
      <w:pPr>
        <w:spacing w:after="0" w:line="193" w:lineRule="exact"/>
        <w:rPr>
          <w:sz w:val="24"/>
          <w:szCs w:val="24"/>
          <w:color w:val="auto"/>
        </w:rPr>
      </w:pPr>
    </w:p>
    <w:p>
      <w:pPr>
        <w:ind w:left="5500"/>
        <w:spacing w:after="0"/>
        <w:rPr>
          <w:sz w:val="20"/>
          <w:szCs w:val="20"/>
          <w:color w:val="auto"/>
        </w:rPr>
      </w:pPr>
      <w:r>
        <w:rPr>
          <w:rFonts w:ascii="Arial" w:cs="Arial" w:eastAsia="Arial" w:hAnsi="Arial"/>
          <w:sz w:val="18"/>
          <w:szCs w:val="18"/>
          <w:b w:val="1"/>
          <w:bCs w:val="1"/>
          <w:color w:val="auto"/>
        </w:rPr>
        <w:t>ENERGY TRANSFER LP</w:t>
      </w:r>
    </w:p>
    <w:p>
      <w:pPr>
        <w:spacing w:after="0" w:line="27" w:lineRule="exact"/>
        <w:rPr>
          <w:sz w:val="24"/>
          <w:szCs w:val="24"/>
          <w:color w:val="auto"/>
        </w:rPr>
      </w:pPr>
    </w:p>
    <w:p>
      <w:pPr>
        <w:ind w:left="5500"/>
        <w:spacing w:after="0"/>
        <w:rPr>
          <w:sz w:val="20"/>
          <w:szCs w:val="20"/>
          <w:color w:val="auto"/>
        </w:rPr>
      </w:pPr>
      <w:r>
        <w:rPr>
          <w:rFonts w:ascii="Arial" w:cs="Arial" w:eastAsia="Arial" w:hAnsi="Arial"/>
          <w:sz w:val="18"/>
          <w:szCs w:val="18"/>
          <w:color w:val="auto"/>
        </w:rPr>
        <w:t>(as successor by merger to Energy Transfer Operating, L.P.)</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480" w:type="dxa"/>
            <w:vAlign w:val="bottom"/>
          </w:tcPr>
          <w:p>
            <w:pPr>
              <w:spacing w:after="0"/>
              <w:rPr>
                <w:sz w:val="18"/>
                <w:szCs w:val="18"/>
                <w:color w:val="auto"/>
              </w:rPr>
            </w:pPr>
          </w:p>
        </w:tc>
        <w:tc>
          <w:tcPr>
            <w:tcW w:w="2600" w:type="dxa"/>
            <w:vAlign w:val="bottom"/>
          </w:tcPr>
          <w:p>
            <w:pPr>
              <w:ind w:left="2020"/>
              <w:spacing w:after="0"/>
              <w:rPr>
                <w:sz w:val="20"/>
                <w:szCs w:val="20"/>
                <w:color w:val="auto"/>
              </w:rPr>
            </w:pPr>
            <w:r>
              <w:rPr>
                <w:rFonts w:ascii="Arial" w:cs="Arial" w:eastAsia="Arial" w:hAnsi="Arial"/>
                <w:sz w:val="18"/>
                <w:szCs w:val="18"/>
                <w:color w:val="auto"/>
              </w:rPr>
              <w:t>By:</w:t>
            </w:r>
          </w:p>
        </w:tc>
        <w:tc>
          <w:tcPr>
            <w:tcW w:w="4940" w:type="dxa"/>
            <w:vAlign w:val="bottom"/>
          </w:tcPr>
          <w:p>
            <w:pPr>
              <w:spacing w:after="0"/>
              <w:rPr>
                <w:sz w:val="20"/>
                <w:szCs w:val="20"/>
                <w:color w:val="auto"/>
              </w:rPr>
            </w:pPr>
            <w:r>
              <w:rPr>
                <w:rFonts w:ascii="Arial" w:cs="Arial" w:eastAsia="Arial" w:hAnsi="Arial"/>
                <w:sz w:val="18"/>
                <w:szCs w:val="18"/>
                <w:color w:val="auto"/>
              </w:rPr>
              <w:t>LE GP, LLC,</w:t>
            </w:r>
          </w:p>
        </w:tc>
      </w:tr>
      <w:tr>
        <w:trPr>
          <w:trHeight w:val="230"/>
        </w:trPr>
        <w:tc>
          <w:tcPr>
            <w:tcW w:w="34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its general partner</w:t>
            </w:r>
          </w:p>
        </w:tc>
      </w:tr>
      <w:tr>
        <w:trPr>
          <w:trHeight w:val="432"/>
        </w:trPr>
        <w:tc>
          <w:tcPr>
            <w:tcW w:w="3480" w:type="dxa"/>
            <w:vAlign w:val="bottom"/>
          </w:tcPr>
          <w:p>
            <w:pPr>
              <w:spacing w:after="0"/>
              <w:rPr>
                <w:sz w:val="20"/>
                <w:szCs w:val="20"/>
                <w:color w:val="auto"/>
              </w:rPr>
            </w:pPr>
            <w:r>
              <w:rPr>
                <w:rFonts w:ascii="Arial" w:cs="Arial" w:eastAsia="Arial" w:hAnsi="Arial"/>
                <w:sz w:val="18"/>
                <w:szCs w:val="18"/>
                <w:color w:val="auto"/>
              </w:rPr>
              <w:t>Date: April 16, 2021</w:t>
            </w:r>
          </w:p>
        </w:tc>
        <w:tc>
          <w:tcPr>
            <w:tcW w:w="2600" w:type="dxa"/>
            <w:vAlign w:val="bottom"/>
          </w:tcPr>
          <w:p>
            <w:pPr>
              <w:ind w:left="202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Bradford D. Whitehurst</w:t>
            </w:r>
          </w:p>
        </w:tc>
      </w:tr>
      <w:tr>
        <w:trPr>
          <w:trHeight w:val="209"/>
        </w:trPr>
        <w:tc>
          <w:tcPr>
            <w:tcW w:w="34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Name: Bradford D. Whitehurst</w:t>
            </w:r>
          </w:p>
        </w:tc>
      </w:tr>
      <w:tr>
        <w:trPr>
          <w:trHeight w:val="230"/>
        </w:trPr>
        <w:tc>
          <w:tcPr>
            <w:tcW w:w="348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Title:  Chief Financial Officer</w:t>
            </w:r>
          </w:p>
        </w:tc>
      </w:tr>
      <w:tr>
        <w:trPr>
          <w:trHeight w:val="229"/>
        </w:trPr>
        <w:tc>
          <w:tcPr>
            <w:tcW w:w="348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tcPr>
          <w:p>
            <w:pPr>
              <w:spacing w:after="0"/>
              <w:rPr>
                <w:sz w:val="19"/>
                <w:szCs w:val="19"/>
                <w:color w:val="auto"/>
              </w:rPr>
            </w:pPr>
          </w:p>
        </w:tc>
        <w:tc>
          <w:tcPr>
            <w:tcW w:w="4940" w:type="dxa"/>
            <w:vAlign w:val="bottom"/>
            <w:tcBorders>
              <w:bottom w:val="single" w:sz="8" w:color="auto"/>
            </w:tcBorders>
          </w:tcPr>
          <w:p>
            <w:pPr>
              <w:spacing w:after="0"/>
              <w:rPr>
                <w:sz w:val="19"/>
                <w:szCs w:val="19"/>
                <w:color w:val="auto"/>
              </w:rPr>
            </w:pPr>
          </w:p>
        </w:tc>
      </w:tr>
      <w:tr>
        <w:trPr>
          <w:trHeight w:val="48"/>
        </w:trPr>
        <w:tc>
          <w:tcPr>
            <w:tcW w:w="3480" w:type="dxa"/>
            <w:vAlign w:val="bottom"/>
            <w:tcBorders>
              <w:bottom w:val="single" w:sz="8" w:color="auto"/>
            </w:tcBorders>
          </w:tcPr>
          <w:p>
            <w:pPr>
              <w:spacing w:after="0"/>
              <w:rPr>
                <w:sz w:val="4"/>
                <w:szCs w:val="4"/>
                <w:color w:val="auto"/>
              </w:rPr>
            </w:pPr>
          </w:p>
        </w:tc>
        <w:tc>
          <w:tcPr>
            <w:tcW w:w="2600" w:type="dxa"/>
            <w:vAlign w:val="bottom"/>
            <w:tcBorders>
              <w:bottom w:val="single" w:sz="8" w:color="auto"/>
            </w:tcBorders>
          </w:tcPr>
          <w:p>
            <w:pPr>
              <w:spacing w:after="0"/>
              <w:rPr>
                <w:sz w:val="4"/>
                <w:szCs w:val="4"/>
                <w:color w:val="auto"/>
              </w:rPr>
            </w:pPr>
          </w:p>
        </w:tc>
        <w:tc>
          <w:tcPr>
            <w:tcW w:w="4940" w:type="dxa"/>
            <w:vAlign w:val="bottom"/>
            <w:tcBorders>
              <w:bottom w:val="single" w:sz="8" w:color="auto"/>
            </w:tcBorders>
          </w:tcPr>
          <w:p>
            <w:pPr>
              <w:spacing w:after="0"/>
              <w:rPr>
                <w:sz w:val="4"/>
                <w:szCs w:val="4"/>
                <w:color w:val="auto"/>
              </w:rPr>
            </w:pPr>
          </w:p>
        </w:tc>
      </w:tr>
    </w:tbl>
    <w:p>
      <w:pPr>
        <w:spacing w:after="0" w:line="1" w:lineRule="exact"/>
        <w:rPr>
          <w:sz w:val="24"/>
          <w:szCs w:val="24"/>
          <w:color w:val="auto"/>
        </w:rPr>
      </w:pPr>
    </w:p>
    <w:sectPr>
      <w:pgSz w:w="11900" w:h="16838" w:orient="portrait"/>
      <w:cols w:equalWidth="0" w:num="1">
        <w:col w:w="11020"/>
      </w:cols>
      <w:pgMar w:left="440" w:top="368" w:right="439" w:bottom="97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2021-04-16T16:24:40Z</dcterms:created>
  <dcterms:modified xsi:type="dcterms:W3CDTF">2021-04-16T16:24:40Z</dcterms:modified>
</cp:coreProperties>
</file>