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bidi w:val="0"/>
        <w:spacing w:before="0" w:after="0"/>
        <w:jc w:val="left"/>
        <w:rPr>
          <w:sz w:val="4"/>
          <w:szCs w:val="4"/>
        </w:rPr>
      </w:pPr>
      <w:r>
        <w:rPr>
          <w:sz w:val="4"/>
          <w:szCs w:val="4"/>
        </w:rPr>
      </w:r>
      <w:bookmarkStart w:id="0" w:name="primary_doc.xml.htm"/>
      <w:bookmarkStart w:id="1" w:name="ksprimary_doc"/>
      <w:bookmarkStart w:id="2" w:name="primary_doc.xml.htm"/>
      <w:bookmarkStart w:id="3" w:name="ksprimary_doc"/>
      <w:bookmarkEnd w:id="2"/>
      <w:bookmarkEnd w:id="3"/>
    </w:p>
    <w:tbl>
      <w:tblPr>
        <w:tblW w:w="10500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2624"/>
        <w:gridCol w:w="7876"/>
      </w:tblGrid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UNITED STATES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SECURITIES AND EXCHANGE COMMISSION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Washington, D.C. 20549</w:t>
            </w:r>
          </w:p>
        </w:tc>
      </w:tr>
      <w:tr>
        <w:trPr/>
        <w:tc>
          <w:tcPr>
            <w:tcW w:w="10500" w:type="dxa"/>
            <w:gridSpan w:val="2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/>
              <w:t>Notice of Effectiveness</w:t>
            </w:r>
          </w:p>
        </w:tc>
      </w:tr>
      <w:tr>
        <w:trPr/>
        <w:tc>
          <w:tcPr>
            <w:tcW w:w="26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Effectiveness Date:</w:t>
            </w:r>
          </w:p>
        </w:tc>
        <w:tc>
          <w:tcPr>
            <w:tcW w:w="78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 xml:space="preserve">November 8, 2023 </w:t>
            </w:r>
          </w:p>
        </w:tc>
      </w:tr>
    </w:tbl>
    <w:tbl>
      <w:tblPr>
        <w:tblW w:w="11907" w:type="dxa"/>
        <w:jc w:val="center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276"/>
        <w:gridCol w:w="10631"/>
      </w:tblGrid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Accession Number: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t>0001193125-23-270418</w:t>
            </w:r>
          </w:p>
        </w:tc>
      </w:tr>
      <w:tr>
        <w:trPr/>
        <w:tc>
          <w:tcPr>
            <w:tcW w:w="1276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b/>
              </w:rPr>
            </w:pPr>
            <w:r>
              <w:rPr>
                <w:b/>
              </w:rPr>
              <w:t>Submission Type:</w:t>
            </w:r>
          </w:p>
        </w:tc>
        <w:tc>
          <w:tcPr>
            <w:tcW w:w="10631" w:type="dxa"/>
            <w:tcBorders/>
            <w:vAlign w:val="center"/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/>
              <w:t>POS AM</w:t>
            </w:r>
          </w:p>
          <w:tbl>
            <w:tblPr>
              <w:tblW w:w="10500" w:type="dxa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2100"/>
              <w:gridCol w:w="8400"/>
            </w:tblGrid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CIK: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2">
                    <w:r>
                      <w:rPr>
                        <w:rStyle w:val="InternetLink"/>
                      </w:rPr>
                      <w:t>0001136352</w:t>
                    </w:r>
                  </w:hyperlink>
                </w:p>
              </w:tc>
            </w:tr>
            <w:tr>
              <w:trPr/>
              <w:tc>
                <w:tcPr>
                  <w:tcW w:w="2100" w:type="dxa"/>
                  <w:tcBorders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Company Name: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  <w:t>Crestwood Equity Partners LP</w:t>
                  </w:r>
                </w:p>
              </w:tc>
            </w:tr>
            <w:tr>
              <w:trPr/>
              <w:tc>
                <w:tcPr>
                  <w:tcW w:w="21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b/>
                    </w:rPr>
                  </w:pPr>
                  <w:r>
                    <w:rPr>
                      <w:b/>
                    </w:rPr>
                    <w:t>File Number:</w:t>
                  </w:r>
                </w:p>
              </w:tc>
              <w:tc>
                <w:tcPr>
                  <w:tcW w:w="840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3">
                    <w:r>
                      <w:rPr>
                        <w:rStyle w:val="InternetLink"/>
                      </w:rPr>
                      <w:t>333-255799</w:t>
                    </w:r>
                  </w:hyperlink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</w:r>
          </w:p>
        </w:tc>
      </w:tr>
      <w:tr>
        <w:trPr/>
        <w:tc>
          <w:tcPr>
            <w:tcW w:w="11907" w:type="dxa"/>
            <w:gridSpan w:val="2"/>
            <w:tcBorders>
              <w:top w:val="single" w:sz="2" w:space="0" w:color="000000"/>
            </w:tcBorders>
            <w:tcMar>
              <w:left w:w="0" w:type="dxa"/>
              <w:bottom w:w="0" w:type="dxa"/>
              <w:right w:w="0" w:type="dxa"/>
            </w:tcMar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DejaVu Sans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DejaVu Sans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://www.sec.gov/cgi-bin/browse-edgar?action=getcompany&amp;CIK=0001136352" TargetMode="External"/><Relationship Id="rId3" Type="http://schemas.openxmlformats.org/officeDocument/2006/relationships/hyperlink" Target="http://www.sec.gov/cgi-bin/browse-edgar?action=getcompany&amp;filenum=333-255799" TargetMode="Externa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35</Words>
  <Characters>244</Characters>
  <CharactersWithSpaces>264</CharactersWithSpaces>
  <Paragraphs>16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