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pBdr>
          <w:bottom w:val="single" w:sz="2" w:space="1" w:color="000000"/>
        </w:pBdr>
        <w:bidi w:val="0"/>
        <w:spacing w:lineRule="atLeast" w:line="142" w:before="0" w:after="0"/>
        <w:jc w:val="left"/>
        <w:rPr/>
      </w:pPr>
      <w:bookmarkStart w:id="0" w:name="d417762d1512g.htm"/>
      <w:bookmarkStart w:id="1" w:name="ksd417762d1512g"/>
      <w:bookmarkEnd w:id="0"/>
      <w:bookmarkEnd w:id="1"/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40"/>
        <w:jc w:val="left"/>
        <w:rPr/>
      </w:pPr>
      <w:r>
        <w:rPr/>
        <w:t> </w:t>
      </w:r>
    </w:p>
    <w:p>
      <w:pPr>
        <w:pStyle w:val="TextBody"/>
        <w:bidi w:val="0"/>
        <w:spacing w:before="8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FORM 15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CERTIFICATION AND NOTICE OF TERMINATION OF REGISTRATION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UNDER SECTION 12(g) OF THE SECURITIES EXCHANGE ACT OF 1934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OR SUSPENSION OF DUTY TO FILE REPORTS UNDER SECTIONS 13 AND 15(d)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OF THE SECURITIES EXCHANGE ACT OF 1934.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Commission File Number</w:t>
      </w:r>
      <w:r>
        <w:rPr>
          <w:rFonts w:ascii="Times New Roman" w:hAnsi="Times New Roman"/>
          <w:sz w:val="20"/>
        </w:rPr>
        <w:t xml:space="preserve">: </w:t>
      </w:r>
      <w:r>
        <w:rPr>
          <w:rFonts w:ascii="Times New Roman" w:hAnsi="Times New Roman"/>
          <w:b/>
          <w:sz w:val="20"/>
        </w:rPr>
        <w:t xml:space="preserve">001-34664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CRESTWOOD EQUITY PARTNERS LP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(Pachyderm Merger Sub LLC as successor by merger to Crestwood Equity Partners LP)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(Exact name of registrant as specified in its charter)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8111 Westchester Drive, Suite 600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Dallas, Texas 75225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(214) 981-0700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(Address, including zip code, and telephone number, including area code, of registrants principal executive offices)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Common Units representing limited partner interests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Preferred Units representing limited partner interests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 of each class of securities covered by this Form)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None.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(Titles of all other classes of securities for which a duty to file reports under section 13(a) or 15(d) remains)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Please place an X in the box(es) to designate the appropriate rule provision(s) relied upon to terminate or suspend the duty to file reports: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1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13"/>
        <w:gridCol w:w="60"/>
        <w:gridCol w:w="268"/>
      </w:tblGrid>
      <w:tr>
        <w:trPr/>
        <w:tc>
          <w:tcPr>
            <w:tcW w:w="17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12g-4(a)(1)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12g-4(a)(2)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12h-3(b)(1)(i)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12h-3(b)(1)(ii)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15d-6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15d-22(b)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Approximate number of holders of record as of the certification or notice date: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Common units representing limited partner interests: 1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Preferred unit representing limited partner interests: 0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40"/>
        <w:jc w:val="left"/>
        <w:rPr/>
      </w:pPr>
      <w:r>
        <w:rPr/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Pursuant to the requirements of the Securities Exchange Act of 1934, Crestwood Equity Partners LP has caused this certification/notice to be signed on its behalf by the undersigned duly authorized person.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95"/>
        <w:gridCol w:w="102"/>
        <w:gridCol w:w="404"/>
        <w:gridCol w:w="102"/>
        <w:gridCol w:w="313"/>
        <w:gridCol w:w="102"/>
        <w:gridCol w:w="4587"/>
      </w:tblGrid>
      <w:tr>
        <w:trPr/>
        <w:tc>
          <w:tcPr>
            <w:tcW w:w="45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9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002" w:type="dxa"/>
            <w:gridSpan w:val="3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PACHYDERM MERGER SUB LLC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(as successor by merger to Crestwood Equity Partners LP)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</w:tr>
      <w:tr>
        <w:trPr>
          <w:trHeight w:val="240" w:hRule="atLeast"/>
        </w:trPr>
        <w:tc>
          <w:tcPr>
            <w:tcW w:w="45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9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Date: </w:t>
            </w:r>
            <w:r>
              <w:rPr>
                <w:b/>
              </w:rPr>
              <w:t>November</w:t>
            </w:r>
            <w:r>
              <w:rPr/>
              <w:t> </w:t>
            </w:r>
            <w:r>
              <w:rPr>
                <w:b/>
              </w:rPr>
              <w:t>13, 2023</w:t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87" w:type="dxa"/>
            <w:tcBorders/>
          </w:tcPr>
          <w:p>
            <w:pPr>
              <w:pStyle w:val="TableContents"/>
              <w:pBdr>
                <w:bottom w:val="single" w:sz="2" w:space="1" w:color="000000"/>
              </w:pBdr>
              <w:bidi w:val="0"/>
              <w:spacing w:before="0" w:after="2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/s/ Dylan A. Bramhall</w:t>
            </w:r>
          </w:p>
        </w:tc>
      </w:tr>
      <w:tr>
        <w:trPr/>
        <w:tc>
          <w:tcPr>
            <w:tcW w:w="459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8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 Dylan A. Bramhall</w:t>
            </w:r>
          </w:p>
        </w:tc>
      </w:tr>
      <w:tr>
        <w:trPr/>
        <w:tc>
          <w:tcPr>
            <w:tcW w:w="459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8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   Executive Vice President &amp; Group Chief Financial Officer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282</Words>
  <Characters>1564</Characters>
  <CharactersWithSpaces>1863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15-12G</dc:title>
</cp:coreProperties>
</file>