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23,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333-204002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333-212192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333-204002</w:t>
      </w:r>
    </w:p>
    <w:p>
      <w:pPr>
        <w:spacing w:after="0" w:line="27"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333-212192</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2 TO FORM S-3 REGISTRATION STATEMENT NO. 333-215670</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333-224698</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ENABLE MIDSTREAM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3940" w:type="dxa"/>
            <w:vAlign w:val="bottom"/>
          </w:tcPr>
          <w:p>
            <w:pPr>
              <w:jc w:val="center"/>
              <w:ind w:right="1822"/>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tcPr>
          <w:p>
            <w:pPr>
              <w:jc w:val="center"/>
              <w:ind w:left="1842"/>
              <w:spacing w:after="0"/>
              <w:rPr>
                <w:sz w:val="20"/>
                <w:szCs w:val="20"/>
                <w:color w:val="auto"/>
              </w:rPr>
            </w:pPr>
            <w:r>
              <w:rPr>
                <w:rFonts w:ascii="Arial" w:cs="Arial" w:eastAsia="Arial" w:hAnsi="Arial"/>
                <w:sz w:val="18"/>
                <w:szCs w:val="18"/>
                <w:b w:val="1"/>
                <w:bCs w:val="1"/>
                <w:color w:val="auto"/>
                <w:w w:val="91"/>
              </w:rPr>
              <w:t>72-1252419</w:t>
            </w:r>
          </w:p>
        </w:tc>
      </w:tr>
      <w:tr>
        <w:trPr>
          <w:trHeight w:val="149"/>
        </w:trPr>
        <w:tc>
          <w:tcPr>
            <w:tcW w:w="3940" w:type="dxa"/>
            <w:vAlign w:val="bottom"/>
          </w:tcPr>
          <w:p>
            <w:pPr>
              <w:jc w:val="center"/>
              <w:ind w:right="1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60" w:type="dxa"/>
            <w:vAlign w:val="bottom"/>
          </w:tcPr>
          <w:p>
            <w:pPr>
              <w:jc w:val="center"/>
              <w:ind w:left="18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822"/>
              <w:spacing w:after="0"/>
              <w:rPr>
                <w:sz w:val="20"/>
                <w:szCs w:val="20"/>
                <w:color w:val="auto"/>
              </w:rPr>
            </w:pPr>
            <w:r>
              <w:rPr>
                <w:rFonts w:ascii="Arial" w:cs="Arial" w:eastAsia="Arial" w:hAnsi="Arial"/>
                <w:sz w:val="14"/>
                <w:szCs w:val="14"/>
                <w:b w:val="1"/>
                <w:bCs w:val="1"/>
                <w:color w:val="auto"/>
                <w:w w:val="93"/>
              </w:rPr>
              <w:t>of incorporation or organization)</w:t>
            </w:r>
          </w:p>
        </w:tc>
        <w:tc>
          <w:tcPr>
            <w:tcW w:w="3360" w:type="dxa"/>
            <w:vAlign w:val="bottom"/>
          </w:tcPr>
          <w:p>
            <w:pPr>
              <w:jc w:val="center"/>
              <w:ind w:left="184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499 West Sheridan Avenue, Suite 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Oklahoma City, Oklahoma 72102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(405) 525-7788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4540" w:type="dxa"/>
            <w:vAlign w:val="bottom"/>
          </w:tcPr>
          <w:p>
            <w:pPr>
              <w:jc w:val="center"/>
              <w:ind w:right="1435"/>
              <w:spacing w:after="0"/>
              <w:rPr>
                <w:sz w:val="20"/>
                <w:szCs w:val="20"/>
                <w:color w:val="auto"/>
              </w:rPr>
            </w:pPr>
            <w:r>
              <w:rPr>
                <w:rFonts w:ascii="Arial" w:cs="Arial" w:eastAsia="Arial" w:hAnsi="Arial"/>
                <w:sz w:val="14"/>
                <w:szCs w:val="14"/>
                <w:b w:val="1"/>
                <w:bCs w:val="1"/>
                <w:color w:val="auto"/>
                <w:w w:val="90"/>
              </w:rPr>
              <w:t>Name, address, including zip code, and telephone</w:t>
            </w:r>
          </w:p>
        </w:tc>
        <w:tc>
          <w:tcPr>
            <w:tcW w:w="3580" w:type="dxa"/>
            <w:vAlign w:val="bottom"/>
          </w:tcPr>
          <w:p>
            <w:pPr>
              <w:jc w:val="center"/>
              <w:ind w:left="1413"/>
              <w:spacing w:after="0"/>
              <w:rPr>
                <w:sz w:val="20"/>
                <w:szCs w:val="20"/>
                <w:color w:val="auto"/>
              </w:rPr>
            </w:pPr>
            <w:r>
              <w:rPr>
                <w:rFonts w:ascii="Arial" w:cs="Arial" w:eastAsia="Arial" w:hAnsi="Arial"/>
                <w:sz w:val="14"/>
                <w:szCs w:val="14"/>
                <w:b w:val="1"/>
                <w:bCs w:val="1"/>
                <w:color w:val="auto"/>
                <w:w w:val="90"/>
              </w:rPr>
              <w:t>Copy of communications to:</w:t>
            </w:r>
          </w:p>
        </w:tc>
      </w:tr>
      <w:tr>
        <w:trPr>
          <w:trHeight w:val="166"/>
        </w:trPr>
        <w:tc>
          <w:tcPr>
            <w:tcW w:w="4540" w:type="dxa"/>
            <w:vAlign w:val="bottom"/>
          </w:tcPr>
          <w:p>
            <w:pPr>
              <w:jc w:val="center"/>
              <w:ind w:right="1415"/>
              <w:spacing w:after="0"/>
              <w:rPr>
                <w:sz w:val="20"/>
                <w:szCs w:val="20"/>
                <w:color w:val="auto"/>
              </w:rPr>
            </w:pPr>
            <w:r>
              <w:rPr>
                <w:rFonts w:ascii="Arial" w:cs="Arial" w:eastAsia="Arial" w:hAnsi="Arial"/>
                <w:sz w:val="14"/>
                <w:szCs w:val="14"/>
                <w:b w:val="1"/>
                <w:bCs w:val="1"/>
                <w:color w:val="auto"/>
                <w:w w:val="91"/>
              </w:rPr>
              <w:t>number, including area code, of agent for service:</w:t>
            </w:r>
          </w:p>
        </w:tc>
        <w:tc>
          <w:tcPr>
            <w:tcW w:w="3580" w:type="dxa"/>
            <w:vAlign w:val="bottom"/>
          </w:tcPr>
          <w:p>
            <w:pPr>
              <w:spacing w:after="0"/>
              <w:rPr>
                <w:sz w:val="14"/>
                <w:szCs w:val="14"/>
                <w:color w:val="auto"/>
              </w:rPr>
            </w:pP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93"/>
              </w:rPr>
              <w:t>Bradford D. Whitehurst</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5"/>
              </w:rPr>
              <w:t>William N. Finnegan IV</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93"/>
              </w:rPr>
              <w:t>Chief Financial Officer</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2"/>
              </w:rPr>
              <w:t>Kevin M. Richardson</w:t>
            </w:r>
          </w:p>
        </w:tc>
      </w:tr>
      <w:tr>
        <w:trPr>
          <w:trHeight w:val="216"/>
        </w:trPr>
        <w:tc>
          <w:tcPr>
            <w:tcW w:w="4540" w:type="dxa"/>
            <w:vAlign w:val="bottom"/>
          </w:tcPr>
          <w:p>
            <w:pPr>
              <w:jc w:val="center"/>
              <w:ind w:right="1415"/>
              <w:spacing w:after="0"/>
              <w:rPr>
                <w:sz w:val="20"/>
                <w:szCs w:val="20"/>
                <w:color w:val="auto"/>
              </w:rPr>
            </w:pPr>
            <w:r>
              <w:rPr>
                <w:rFonts w:ascii="Arial" w:cs="Arial" w:eastAsia="Arial" w:hAnsi="Arial"/>
                <w:sz w:val="18"/>
                <w:szCs w:val="18"/>
                <w:b w:val="1"/>
                <w:bCs w:val="1"/>
                <w:color w:val="auto"/>
                <w:w w:val="93"/>
              </w:rPr>
              <w:t>Energy Transfer LP</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88"/>
              </w:rPr>
              <w:t>8111 Westchester Drive, Suite 600</w:t>
            </w:r>
          </w:p>
        </w:tc>
        <w:tc>
          <w:tcPr>
            <w:tcW w:w="3580" w:type="dxa"/>
            <w:vAlign w:val="bottom"/>
          </w:tcPr>
          <w:p>
            <w:pPr>
              <w:jc w:val="center"/>
              <w:ind w:left="1393"/>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88"/>
              </w:rPr>
              <w:t>Dallas, Texas 75225</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88"/>
              </w:rPr>
              <w:t>Houston, Texas 77002</w:t>
            </w:r>
          </w:p>
        </w:tc>
      </w:tr>
      <w:tr>
        <w:trPr>
          <w:trHeight w:val="234"/>
        </w:trPr>
        <w:tc>
          <w:tcPr>
            <w:tcW w:w="4540" w:type="dxa"/>
            <w:vAlign w:val="bottom"/>
          </w:tcPr>
          <w:p>
            <w:pPr>
              <w:jc w:val="center"/>
              <w:ind w:right="1415"/>
              <w:spacing w:after="0"/>
              <w:rPr>
                <w:sz w:val="20"/>
                <w:szCs w:val="20"/>
                <w:color w:val="auto"/>
              </w:rPr>
            </w:pPr>
            <w:r>
              <w:rPr>
                <w:rFonts w:ascii="Arial" w:cs="Arial" w:eastAsia="Arial" w:hAnsi="Arial"/>
                <w:sz w:val="18"/>
                <w:szCs w:val="18"/>
                <w:b w:val="1"/>
                <w:bCs w:val="1"/>
                <w:color w:val="auto"/>
                <w:w w:val="90"/>
              </w:rPr>
              <w:t>(214) 981-0700</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0"/>
              </w:rPr>
              <w:t>(713) 546-5400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Not applicable.</w:t>
      </w:r>
    </w:p>
    <w:p>
      <w:pPr>
        <w:spacing w:after="0" w:line="229"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80"/>
            <w:col w:w="5660" w:space="720"/>
            <w:col w:w="17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20" w:space="480"/>
            <w:col w:w="160" w:space="40"/>
            <w:col w:w="5460" w:space="720"/>
            <w:col w:w="1960" w:space="460"/>
            <w:col w:w="220"/>
          </w:cols>
          <w:pgMar w:left="440" w:top="229" w:right="43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These post-effective amendments (these “</w:t>
      </w:r>
      <w:r>
        <w:rPr>
          <w:rFonts w:ascii="Arial" w:cs="Arial" w:eastAsia="Arial" w:hAnsi="Arial"/>
          <w:sz w:val="18"/>
          <w:szCs w:val="18"/>
          <w:u w:val="single" w:color="auto"/>
          <w:color w:val="auto"/>
        </w:rPr>
        <w:t>Post-Effective Amendments</w:t>
      </w:r>
      <w:r>
        <w:rPr>
          <w:rFonts w:ascii="Arial" w:cs="Arial" w:eastAsia="Arial" w:hAnsi="Arial"/>
          <w:sz w:val="18"/>
          <w:szCs w:val="18"/>
          <w:color w:val="auto"/>
        </w:rPr>
        <w:t>”) relate to the following Registration Statements on Form S-3 (collectively, the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 filed by Enable Midstream Partners, LP, a Delaware limited partnership (“</w:t>
      </w:r>
      <w:r>
        <w:rPr>
          <w:rFonts w:ascii="Arial" w:cs="Arial" w:eastAsia="Arial" w:hAnsi="Arial"/>
          <w:sz w:val="18"/>
          <w:szCs w:val="18"/>
          <w:u w:val="single" w:color="auto"/>
          <w:color w:val="auto"/>
        </w:rPr>
        <w:t>Enable</w:t>
      </w:r>
      <w:r>
        <w:rPr>
          <w:rFonts w:ascii="Arial" w:cs="Arial" w:eastAsia="Arial" w:hAnsi="Arial"/>
          <w:sz w:val="18"/>
          <w:szCs w:val="18"/>
          <w:color w:val="auto"/>
        </w:rPr>
        <w:t>”), with the Securities and Exchange Commission:</w:t>
      </w:r>
    </w:p>
    <w:p>
      <w:pPr>
        <w:spacing w:after="0" w:line="89" w:lineRule="exact"/>
        <w:rPr>
          <w:sz w:val="20"/>
          <w:szCs w:val="20"/>
          <w:color w:val="auto"/>
        </w:rPr>
      </w:pPr>
    </w:p>
    <w:p>
      <w:pPr>
        <w:ind w:left="960" w:right="62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333-204002 on </w:t>
      </w:r>
      <w:hyperlink r:id="rId18">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May 8, 2015, registering an indeterminate number of common units representing limited partner interests in Enable (the “Common Units”) and senior debt securities of Enable;</w:t>
      </w:r>
    </w:p>
    <w:p>
      <w:pPr>
        <w:spacing w:after="0" w:line="51" w:lineRule="exact"/>
        <w:rPr>
          <w:rFonts w:ascii="Arial" w:cs="Arial" w:eastAsia="Arial" w:hAnsi="Arial"/>
          <w:sz w:val="17"/>
          <w:szCs w:val="17"/>
          <w:color w:val="auto"/>
        </w:rPr>
      </w:pPr>
    </w:p>
    <w:p>
      <w:pPr>
        <w:ind w:left="960" w:right="24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333-212192 on </w:t>
      </w:r>
      <w:hyperlink r:id="rId19">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June 23, 2016, registering 12,500,000 Common Units in connection with the Distribution Reinvestment Plan of Enable;</w:t>
      </w:r>
    </w:p>
    <w:p>
      <w:pPr>
        <w:spacing w:after="0" w:line="75" w:lineRule="exact"/>
        <w:rPr>
          <w:rFonts w:ascii="Arial" w:cs="Arial" w:eastAsia="Arial" w:hAnsi="Arial"/>
          <w:sz w:val="18"/>
          <w:szCs w:val="18"/>
          <w:color w:val="auto"/>
        </w:rPr>
      </w:pPr>
    </w:p>
    <w:p>
      <w:pPr>
        <w:ind w:left="960" w:right="38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333-215670 on </w:t>
      </w:r>
      <w:hyperlink r:id="rId20">
        <w:r>
          <w:rPr>
            <w:rFonts w:ascii="Arial" w:cs="Arial" w:eastAsia="Arial" w:hAnsi="Arial"/>
            <w:sz w:val="17"/>
            <w:szCs w:val="17"/>
            <w:u w:val="single" w:color="auto"/>
            <w:color w:val="0000EE"/>
          </w:rPr>
          <w:t>Form S-3</w:t>
        </w:r>
      </w:hyperlink>
      <w:r>
        <w:rPr>
          <w:rFonts w:ascii="Arial" w:cs="Arial" w:eastAsia="Arial" w:hAnsi="Arial"/>
          <w:sz w:val="17"/>
          <w:szCs w:val="17"/>
          <w:color w:val="auto"/>
        </w:rPr>
        <w:t xml:space="preserve">, filed on January 23, 2017, as amended by </w:t>
      </w:r>
      <w:hyperlink r:id="rId21">
        <w:r>
          <w:rPr>
            <w:rFonts w:ascii="Arial" w:cs="Arial" w:eastAsia="Arial" w:hAnsi="Arial"/>
            <w:sz w:val="17"/>
            <w:szCs w:val="17"/>
            <w:u w:val="single" w:color="auto"/>
            <w:color w:val="0000EE"/>
          </w:rPr>
          <w:t>Amendment No. 1</w:t>
        </w:r>
      </w:hyperlink>
      <w:r>
        <w:rPr>
          <w:rFonts w:ascii="Arial" w:cs="Arial" w:eastAsia="Arial" w:hAnsi="Arial"/>
          <w:sz w:val="17"/>
          <w:szCs w:val="17"/>
          <w:color w:val="auto"/>
        </w:rPr>
        <w:t>, filed on May 10, 2017, registering an indeterminate number of Common Units that may be offered from time to time by Enable; and</w:t>
      </w:r>
    </w:p>
    <w:p>
      <w:pPr>
        <w:spacing w:after="0" w:line="51" w:lineRule="exact"/>
        <w:rPr>
          <w:rFonts w:ascii="Arial" w:cs="Arial" w:eastAsia="Arial" w:hAnsi="Arial"/>
          <w:sz w:val="17"/>
          <w:szCs w:val="17"/>
          <w:color w:val="auto"/>
        </w:rPr>
      </w:pPr>
    </w:p>
    <w:p>
      <w:pPr>
        <w:ind w:left="960" w:right="28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333-224698 on </w:t>
      </w:r>
      <w:hyperlink r:id="rId22">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May 7, 2018, registering an indeterminate number of shares of Common Units, preferred units representing limited partner interests in Enable and senior debt securities of Enable.</w:t>
      </w:r>
    </w:p>
    <w:p>
      <w:pPr>
        <w:spacing w:after="0" w:line="170" w:lineRule="exact"/>
        <w:rPr>
          <w:rFonts w:ascii="Arial" w:cs="Arial" w:eastAsia="Arial" w:hAnsi="Arial"/>
          <w:sz w:val="17"/>
          <w:szCs w:val="17"/>
          <w:color w:val="auto"/>
        </w:rPr>
      </w:pPr>
    </w:p>
    <w:p>
      <w:pPr>
        <w:spacing w:after="0" w:line="275" w:lineRule="auto"/>
        <w:rPr>
          <w:sz w:val="20"/>
          <w:szCs w:val="20"/>
          <w:color w:val="auto"/>
        </w:rPr>
      </w:pPr>
      <w:r>
        <w:rPr>
          <w:rFonts w:ascii="Arial" w:cs="Arial" w:eastAsia="Arial" w:hAnsi="Arial"/>
          <w:sz w:val="17"/>
          <w:szCs w:val="17"/>
          <w:color w:val="auto"/>
        </w:rPr>
        <w:t>Reference is made to the Agreement and Plan of Merger dated February 16, 2021 (“Merger Agreement”), by and among Energy Transfer LP, a Delaware limited partnership (“ET”), Elk Merger Sub LLC, a Delaware limited liability company and a wholly owned subsidiary of ET, Elk GP Merger Sub LLC, a Delaware limited liability company and a wholly owned subsidiary of ET, Enable, Enable GP, LLC, a Delaware limited liability company and the sole general partner of Enable, solely for the purposes of Section 2.1(a)(i) therein, LE GP, LLC, a Delaware limited liability company and sole general partner of ET, and solely for the purposes of Section 1.1(b)(i) therein, CenterPoint Energy, Inc., a Texas Corporation.</w:t>
      </w:r>
    </w:p>
    <w:p>
      <w:pPr>
        <w:spacing w:after="0" w:line="176" w:lineRule="exact"/>
        <w:rPr>
          <w:rFonts w:ascii="Arial" w:cs="Arial" w:eastAsia="Arial" w:hAnsi="Arial"/>
          <w:sz w:val="17"/>
          <w:szCs w:val="17"/>
          <w:color w:val="auto"/>
        </w:rPr>
      </w:pPr>
    </w:p>
    <w:p>
      <w:pPr>
        <w:ind w:right="40"/>
        <w:spacing w:after="0" w:line="273" w:lineRule="auto"/>
        <w:rPr>
          <w:sz w:val="20"/>
          <w:szCs w:val="20"/>
          <w:color w:val="auto"/>
        </w:rPr>
      </w:pPr>
      <w:r>
        <w:rPr>
          <w:rFonts w:ascii="Arial" w:cs="Arial" w:eastAsia="Arial" w:hAnsi="Arial"/>
          <w:sz w:val="17"/>
          <w:szCs w:val="17"/>
          <w:color w:val="auto"/>
        </w:rPr>
        <w:t>On December 2, 2021, in connection with the consummation of the mergers contemplated by the Merger Agreement, Enable has terminated all offerings of securities pursuant to the Registration Statements. In accordance with the undertakings made by Enable in the Registration Statements to remove from registration, by means of a post-effective amendment, any of the securities that had been registered for issuance that remain unsold at the termination of such offerings, Enable hereby removes from registration by means of this Post-Effective Amendment all such securities registered but unsold under the Registration Statements as of the date hereof. The Registration Statements are hereby amended, as appropriate, to reflect the deregistration of all such securities and Enable hereby terminates the effectiveness of the Registration Statements.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these Post-Effective Amendments to the Registration Statements to be signed on its behalf by the undersigned, thereunto duly authorized, in the City of Dallas, State of Texas, on this 23rd day of December, 2021.</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ENABLE MIDSTREAM PARTNERS, LP</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Enable GP, LLC, its general partner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Bradford D. Whitehurst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these Post-Effective Amendments in reliance upon Rule 478 under the Securities Act of 1933.</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8" Type="http://schemas.openxmlformats.org/officeDocument/2006/relationships/hyperlink" Target="http://www.sec.gov/Archives/edgar/data/1591763/000119312515179557/d921479ds3asr.htm" TargetMode="External"/><Relationship Id="rId19" Type="http://schemas.openxmlformats.org/officeDocument/2006/relationships/hyperlink" Target="http://www.sec.gov/Archives/edgar/data/1591763/000119312516629436/d214689ds3d.htm" TargetMode="External"/><Relationship Id="rId20" Type="http://schemas.openxmlformats.org/officeDocument/2006/relationships/hyperlink" Target="http://www.sec.gov/Archives/edgar/data/1591763/000119312517015439/d331075ds3.htm" TargetMode="External"/><Relationship Id="rId21" Type="http://schemas.openxmlformats.org/officeDocument/2006/relationships/hyperlink" Target="http://www.sec.gov/Archives/edgar/data/1591763/000119312517165867/d393333ds3a.htm" TargetMode="External"/><Relationship Id="rId22" Type="http://schemas.openxmlformats.org/officeDocument/2006/relationships/hyperlink" Target="http://www.sec.gov/Archives/edgar/data/0001591763/000119312518153636/d545261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2021-12-27T05:13:17Z</dcterms:created>
  <dcterms:modified xsi:type="dcterms:W3CDTF">2021-12-27T05:13:17Z</dcterms:modified>
</cp:coreProperties>
</file>