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11, 2019</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333-185649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333-210044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333-220946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333-232633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333-185649</w:t>
      </w:r>
    </w:p>
    <w:p>
      <w:pPr>
        <w:spacing w:after="0" w:line="21" w:lineRule="exact"/>
        <w:rPr>
          <w:sz w:val="24"/>
          <w:szCs w:val="24"/>
          <w:color w:val="auto"/>
        </w:rPr>
      </w:pP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333-210044</w:t>
      </w: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333-220946</w:t>
      </w: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333-232633</w:t>
      </w: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333-232635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160020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SEMGROUP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800" w:type="dxa"/>
        <w:tblCellMar>
          <w:top w:w="0" w:type="dxa"/>
          <w:left w:w="0" w:type="dxa"/>
          <w:bottom w:w="0" w:type="dxa"/>
          <w:right w:w="0" w:type="dxa"/>
        </w:tblCellMar>
      </w:tblPr>
      <w:tr>
        <w:trPr>
          <w:trHeight w:val="212"/>
        </w:trPr>
        <w:tc>
          <w:tcPr>
            <w:tcW w:w="3960" w:type="dxa"/>
            <w:vAlign w:val="bottom"/>
          </w:tcPr>
          <w:p>
            <w:pPr>
              <w:jc w:val="center"/>
              <w:ind w:right="1842"/>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center"/>
              <w:ind w:left="1822"/>
              <w:spacing w:after="0"/>
              <w:rPr>
                <w:sz w:val="20"/>
                <w:szCs w:val="20"/>
                <w:color w:val="auto"/>
              </w:rPr>
            </w:pPr>
            <w:r>
              <w:rPr>
                <w:rFonts w:ascii="Arial" w:cs="Arial" w:eastAsia="Arial" w:hAnsi="Arial"/>
                <w:sz w:val="18"/>
                <w:szCs w:val="18"/>
                <w:b w:val="1"/>
                <w:bCs w:val="1"/>
                <w:color w:val="auto"/>
                <w:w w:val="91"/>
              </w:rPr>
              <w:t>20-3533152</w:t>
            </w:r>
          </w:p>
        </w:tc>
      </w:tr>
      <w:tr>
        <w:trPr>
          <w:trHeight w:val="149"/>
        </w:trPr>
        <w:tc>
          <w:tcPr>
            <w:tcW w:w="3960" w:type="dxa"/>
            <w:vAlign w:val="bottom"/>
          </w:tcPr>
          <w:p>
            <w:pPr>
              <w:jc w:val="center"/>
              <w:ind w:right="18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40" w:type="dxa"/>
            <w:vAlign w:val="bottom"/>
          </w:tcPr>
          <w:p>
            <w:pPr>
              <w:jc w:val="center"/>
              <w:ind w:left="18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1842"/>
              <w:spacing w:after="0"/>
              <w:rPr>
                <w:sz w:val="20"/>
                <w:szCs w:val="20"/>
                <w:color w:val="auto"/>
              </w:rPr>
            </w:pPr>
            <w:r>
              <w:rPr>
                <w:rFonts w:ascii="Arial" w:cs="Arial" w:eastAsia="Arial" w:hAnsi="Arial"/>
                <w:sz w:val="14"/>
                <w:szCs w:val="14"/>
                <w:b w:val="1"/>
                <w:bCs w:val="1"/>
                <w:color w:val="auto"/>
                <w:w w:val="93"/>
              </w:rPr>
              <w:t>of incorporation or organization)</w:t>
            </w:r>
          </w:p>
        </w:tc>
        <w:tc>
          <w:tcPr>
            <w:tcW w:w="3340" w:type="dxa"/>
            <w:vAlign w:val="bottom"/>
          </w:tcPr>
          <w:p>
            <w:pPr>
              <w:jc w:val="center"/>
              <w:ind w:left="184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Two Warren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6120 S. Yale Avenue, Suite 1500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Tulsa, OK 74136-4231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(918) 524-8100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w:t>
      </w:r>
    </w:p>
    <w:p>
      <w:pPr>
        <w:jc w:val="center"/>
        <w:spacing w:after="0"/>
        <w:rPr>
          <w:sz w:val="20"/>
          <w:szCs w:val="20"/>
          <w:color w:val="auto"/>
        </w:rPr>
      </w:pPr>
      <w:r>
        <w:rPr>
          <w:rFonts w:ascii="Arial" w:cs="Arial" w:eastAsia="Arial" w:hAnsi="Arial"/>
          <w:sz w:val="14"/>
          <w:szCs w:val="14"/>
          <w:b w:val="1"/>
          <w:bCs w:val="1"/>
          <w:color w:val="auto"/>
        </w:rPr>
        <w:t>of registrant’s principal executive offices)</w:t>
      </w:r>
    </w:p>
    <w:p>
      <w:pPr>
        <w:spacing w:after="0" w:line="189"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4540" w:type="dxa"/>
            <w:vAlign w:val="bottom"/>
          </w:tcPr>
          <w:p>
            <w:pPr>
              <w:jc w:val="center"/>
              <w:ind w:right="1414"/>
              <w:spacing w:after="0"/>
              <w:rPr>
                <w:sz w:val="20"/>
                <w:szCs w:val="20"/>
                <w:color w:val="auto"/>
              </w:rPr>
            </w:pPr>
            <w:r>
              <w:rPr>
                <w:rFonts w:ascii="Arial" w:cs="Arial" w:eastAsia="Arial" w:hAnsi="Arial"/>
                <w:sz w:val="14"/>
                <w:szCs w:val="14"/>
                <w:b w:val="1"/>
                <w:bCs w:val="1"/>
                <w:color w:val="auto"/>
                <w:w w:val="90"/>
              </w:rPr>
              <w:t>Name, address, including zip code, and telephone</w:t>
            </w:r>
          </w:p>
        </w:tc>
        <w:tc>
          <w:tcPr>
            <w:tcW w:w="3600" w:type="dxa"/>
            <w:vAlign w:val="bottom"/>
          </w:tcPr>
          <w:p>
            <w:pPr>
              <w:jc w:val="center"/>
              <w:ind w:left="1393"/>
              <w:spacing w:after="0"/>
              <w:rPr>
                <w:sz w:val="20"/>
                <w:szCs w:val="20"/>
                <w:color w:val="auto"/>
              </w:rPr>
            </w:pPr>
            <w:r>
              <w:rPr>
                <w:rFonts w:ascii="Arial" w:cs="Arial" w:eastAsia="Arial" w:hAnsi="Arial"/>
                <w:sz w:val="14"/>
                <w:szCs w:val="14"/>
                <w:b w:val="1"/>
                <w:bCs w:val="1"/>
                <w:color w:val="auto"/>
                <w:w w:val="90"/>
              </w:rPr>
              <w:t>Copy of communications to:</w:t>
            </w:r>
          </w:p>
        </w:tc>
      </w:tr>
      <w:tr>
        <w:trPr>
          <w:trHeight w:val="166"/>
        </w:trPr>
        <w:tc>
          <w:tcPr>
            <w:tcW w:w="4540" w:type="dxa"/>
            <w:vAlign w:val="bottom"/>
          </w:tcPr>
          <w:p>
            <w:pPr>
              <w:jc w:val="center"/>
              <w:ind w:right="1414"/>
              <w:spacing w:after="0"/>
              <w:rPr>
                <w:sz w:val="20"/>
                <w:szCs w:val="20"/>
                <w:color w:val="auto"/>
              </w:rPr>
            </w:pPr>
            <w:r>
              <w:rPr>
                <w:rFonts w:ascii="Arial" w:cs="Arial" w:eastAsia="Arial" w:hAnsi="Arial"/>
                <w:sz w:val="14"/>
                <w:szCs w:val="14"/>
                <w:b w:val="1"/>
                <w:bCs w:val="1"/>
                <w:color w:val="auto"/>
                <w:w w:val="91"/>
              </w:rPr>
              <w:t>number, including area code, of agent for service:</w:t>
            </w:r>
          </w:p>
        </w:tc>
        <w:tc>
          <w:tcPr>
            <w:tcW w:w="3600" w:type="dxa"/>
            <w:vAlign w:val="bottom"/>
          </w:tcPr>
          <w:p>
            <w:pPr>
              <w:spacing w:after="0"/>
              <w:rPr>
                <w:sz w:val="14"/>
                <w:szCs w:val="14"/>
                <w:color w:val="auto"/>
              </w:rPr>
            </w:pPr>
          </w:p>
        </w:tc>
      </w:tr>
      <w:tr>
        <w:trPr>
          <w:trHeight w:val="216"/>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91"/>
              </w:rPr>
              <w:t>Thomas E. Long</w:t>
            </w:r>
          </w:p>
        </w:tc>
        <w:tc>
          <w:tcPr>
            <w:tcW w:w="3600" w:type="dxa"/>
            <w:vAlign w:val="bottom"/>
          </w:tcPr>
          <w:p>
            <w:pPr>
              <w:jc w:val="center"/>
              <w:ind w:left="1393"/>
              <w:spacing w:after="0"/>
              <w:rPr>
                <w:sz w:val="20"/>
                <w:szCs w:val="20"/>
                <w:color w:val="auto"/>
              </w:rPr>
            </w:pPr>
            <w:r>
              <w:rPr>
                <w:rFonts w:ascii="Arial" w:cs="Arial" w:eastAsia="Arial" w:hAnsi="Arial"/>
                <w:sz w:val="18"/>
                <w:szCs w:val="18"/>
                <w:b w:val="1"/>
                <w:bCs w:val="1"/>
                <w:color w:val="auto"/>
                <w:w w:val="95"/>
              </w:rPr>
              <w:t>William N. Finnegan IV</w:t>
            </w:r>
          </w:p>
        </w:tc>
      </w:tr>
      <w:tr>
        <w:trPr>
          <w:trHeight w:val="216"/>
        </w:trPr>
        <w:tc>
          <w:tcPr>
            <w:tcW w:w="4540" w:type="dxa"/>
            <w:vAlign w:val="bottom"/>
          </w:tcPr>
          <w:p>
            <w:pPr>
              <w:jc w:val="center"/>
              <w:ind w:right="1434"/>
              <w:spacing w:after="0"/>
              <w:rPr>
                <w:sz w:val="20"/>
                <w:szCs w:val="20"/>
                <w:color w:val="auto"/>
              </w:rPr>
            </w:pPr>
            <w:r>
              <w:rPr>
                <w:rFonts w:ascii="Arial" w:cs="Arial" w:eastAsia="Arial" w:hAnsi="Arial"/>
                <w:sz w:val="18"/>
                <w:szCs w:val="18"/>
                <w:b w:val="1"/>
                <w:bCs w:val="1"/>
                <w:color w:val="auto"/>
                <w:w w:val="93"/>
              </w:rPr>
              <w:t>Chief Financial Officer</w:t>
            </w:r>
          </w:p>
        </w:tc>
        <w:tc>
          <w:tcPr>
            <w:tcW w:w="3600" w:type="dxa"/>
            <w:vAlign w:val="bottom"/>
          </w:tcPr>
          <w:p>
            <w:pPr>
              <w:jc w:val="center"/>
              <w:ind w:left="1413"/>
              <w:spacing w:after="0"/>
              <w:rPr>
                <w:sz w:val="20"/>
                <w:szCs w:val="20"/>
                <w:color w:val="auto"/>
              </w:rPr>
            </w:pPr>
            <w:r>
              <w:rPr>
                <w:rFonts w:ascii="Arial" w:cs="Arial" w:eastAsia="Arial" w:hAnsi="Arial"/>
                <w:sz w:val="18"/>
                <w:szCs w:val="18"/>
                <w:b w:val="1"/>
                <w:bCs w:val="1"/>
                <w:color w:val="auto"/>
                <w:w w:val="93"/>
              </w:rPr>
              <w:t>Kevin M. Richardson</w:t>
            </w:r>
          </w:p>
        </w:tc>
      </w:tr>
      <w:tr>
        <w:trPr>
          <w:trHeight w:val="216"/>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91"/>
              </w:rPr>
              <w:t>SemGroup Corporation</w:t>
            </w:r>
          </w:p>
        </w:tc>
        <w:tc>
          <w:tcPr>
            <w:tcW w:w="3600" w:type="dxa"/>
            <w:vAlign w:val="bottom"/>
          </w:tcPr>
          <w:p>
            <w:pPr>
              <w:jc w:val="center"/>
              <w:ind w:left="1393"/>
              <w:spacing w:after="0"/>
              <w:rPr>
                <w:sz w:val="20"/>
                <w:szCs w:val="20"/>
                <w:color w:val="auto"/>
              </w:rPr>
            </w:pPr>
            <w:r>
              <w:rPr>
                <w:rFonts w:ascii="Arial" w:cs="Arial" w:eastAsia="Arial" w:hAnsi="Arial"/>
                <w:sz w:val="18"/>
                <w:szCs w:val="18"/>
                <w:b w:val="1"/>
                <w:bCs w:val="1"/>
                <w:color w:val="auto"/>
                <w:w w:val="96"/>
              </w:rPr>
              <w:t>Latham &amp; Watkins LLP</w:t>
            </w:r>
          </w:p>
        </w:tc>
      </w:tr>
      <w:tr>
        <w:trPr>
          <w:trHeight w:val="216"/>
        </w:trPr>
        <w:tc>
          <w:tcPr>
            <w:tcW w:w="4540" w:type="dxa"/>
            <w:vAlign w:val="bottom"/>
          </w:tcPr>
          <w:p>
            <w:pPr>
              <w:jc w:val="center"/>
              <w:ind w:right="1434"/>
              <w:spacing w:after="0"/>
              <w:rPr>
                <w:sz w:val="20"/>
                <w:szCs w:val="20"/>
                <w:color w:val="auto"/>
              </w:rPr>
            </w:pPr>
            <w:r>
              <w:rPr>
                <w:rFonts w:ascii="Arial" w:cs="Arial" w:eastAsia="Arial" w:hAnsi="Arial"/>
                <w:sz w:val="18"/>
                <w:szCs w:val="18"/>
                <w:b w:val="1"/>
                <w:bCs w:val="1"/>
                <w:color w:val="auto"/>
                <w:w w:val="91"/>
              </w:rPr>
              <w:t>Two Warren Place</w:t>
            </w:r>
          </w:p>
        </w:tc>
        <w:tc>
          <w:tcPr>
            <w:tcW w:w="3600" w:type="dxa"/>
            <w:vAlign w:val="bottom"/>
          </w:tcPr>
          <w:p>
            <w:pPr>
              <w:jc w:val="center"/>
              <w:ind w:left="1413"/>
              <w:spacing w:after="0"/>
              <w:rPr>
                <w:sz w:val="20"/>
                <w:szCs w:val="20"/>
                <w:color w:val="auto"/>
              </w:rPr>
            </w:pPr>
            <w:r>
              <w:rPr>
                <w:rFonts w:ascii="Arial" w:cs="Arial" w:eastAsia="Arial" w:hAnsi="Arial"/>
                <w:sz w:val="18"/>
                <w:szCs w:val="18"/>
                <w:b w:val="1"/>
                <w:bCs w:val="1"/>
                <w:color w:val="auto"/>
                <w:w w:val="90"/>
              </w:rPr>
              <w:t>811 Main Street, Suite 3700</w:t>
            </w:r>
          </w:p>
        </w:tc>
      </w:tr>
      <w:tr>
        <w:trPr>
          <w:trHeight w:val="216"/>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89"/>
              </w:rPr>
              <w:t>6120 S. Yale Avenue, Suite 1500</w:t>
            </w:r>
          </w:p>
        </w:tc>
        <w:tc>
          <w:tcPr>
            <w:tcW w:w="3600" w:type="dxa"/>
            <w:vAlign w:val="bottom"/>
          </w:tcPr>
          <w:p>
            <w:pPr>
              <w:jc w:val="center"/>
              <w:ind w:left="1393"/>
              <w:spacing w:after="0"/>
              <w:rPr>
                <w:sz w:val="20"/>
                <w:szCs w:val="20"/>
                <w:color w:val="auto"/>
              </w:rPr>
            </w:pPr>
            <w:r>
              <w:rPr>
                <w:rFonts w:ascii="Arial" w:cs="Arial" w:eastAsia="Arial" w:hAnsi="Arial"/>
                <w:sz w:val="18"/>
                <w:szCs w:val="18"/>
                <w:b w:val="1"/>
                <w:bCs w:val="1"/>
                <w:color w:val="auto"/>
                <w:w w:val="88"/>
              </w:rPr>
              <w:t>Houston, Texas 77002</w:t>
            </w:r>
          </w:p>
        </w:tc>
      </w:tr>
      <w:tr>
        <w:trPr>
          <w:trHeight w:val="216"/>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90"/>
              </w:rPr>
              <w:t>Tulsa, OK 74136-4231</w:t>
            </w:r>
          </w:p>
        </w:tc>
        <w:tc>
          <w:tcPr>
            <w:tcW w:w="3600" w:type="dxa"/>
            <w:vAlign w:val="bottom"/>
          </w:tcPr>
          <w:p>
            <w:pPr>
              <w:jc w:val="center"/>
              <w:ind w:left="1393"/>
              <w:spacing w:after="0"/>
              <w:rPr>
                <w:sz w:val="20"/>
                <w:szCs w:val="20"/>
                <w:color w:val="auto"/>
              </w:rPr>
            </w:pPr>
            <w:r>
              <w:rPr>
                <w:rFonts w:ascii="Arial" w:cs="Arial" w:eastAsia="Arial" w:hAnsi="Arial"/>
                <w:sz w:val="18"/>
                <w:szCs w:val="18"/>
                <w:b w:val="1"/>
                <w:bCs w:val="1"/>
                <w:color w:val="auto"/>
                <w:w w:val="90"/>
              </w:rPr>
              <w:t>(713) 546-5400</w:t>
            </w:r>
          </w:p>
        </w:tc>
      </w:tr>
      <w:tr>
        <w:trPr>
          <w:trHeight w:val="234"/>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90"/>
              </w:rPr>
              <w:t>(918) 524-8100</w:t>
            </w:r>
          </w:p>
        </w:tc>
        <w:tc>
          <w:tcPr>
            <w:tcW w:w="36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154305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Not applicable.</w:t>
      </w:r>
    </w:p>
    <w:p>
      <w:pPr>
        <w:spacing w:after="0" w:line="121"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ectPr>
          <w:pgSz w:w="11900" w:h="16838" w:orient="portrait"/>
          <w:cols w:equalWidth="0" w:num="1">
            <w:col w:w="11020"/>
          </w:cols>
          <w:pgMar w:left="440" w:top="229" w:right="439" w:bottom="1440" w:gutter="0" w:footer="0" w:header="0"/>
        </w:sectPr>
      </w:pPr>
    </w:p>
    <w:bookmarkStart w:id="1" w:name="page2"/>
    <w:bookmarkEnd w:id="1"/>
    <w:p>
      <w:pPr>
        <w:ind w:right="1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0"/>
          <w:szCs w:val="20"/>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20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52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620" w:type="dxa"/>
            <w:vAlign w:val="bottom"/>
          </w:tcPr>
          <w:p>
            <w:pPr>
              <w:ind w:left="14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229" w:lineRule="exact"/>
        <w:rPr>
          <w:sz w:val="20"/>
          <w:szCs w:val="20"/>
          <w:color w:val="auto"/>
        </w:rPr>
      </w:pPr>
    </w:p>
    <w:p>
      <w:pPr>
        <w:jc w:val="both"/>
        <w:ind w:right="40" w:firstLine="441"/>
        <w:spacing w:after="0" w:line="342" w:lineRule="auto"/>
        <w:rPr>
          <w:sz w:val="20"/>
          <w:szCs w:val="20"/>
          <w:color w:val="auto"/>
        </w:rPr>
      </w:pPr>
      <w:r>
        <w:rPr>
          <w:rFonts w:ascii="Arial" w:cs="Arial" w:eastAsia="Arial" w:hAnsi="Arial"/>
          <w:sz w:val="16"/>
          <w:szCs w:val="16"/>
          <w:color w:val="auto"/>
        </w:rPr>
        <w:t>These post-effective amendments (these “</w:t>
      </w:r>
      <w:r>
        <w:rPr>
          <w:rFonts w:ascii="Arial" w:cs="Arial" w:eastAsia="Arial" w:hAnsi="Arial"/>
          <w:sz w:val="16"/>
          <w:szCs w:val="16"/>
          <w:u w:val="single" w:color="auto"/>
          <w:color w:val="auto"/>
        </w:rPr>
        <w:t>Post-Effective Amendments</w:t>
      </w:r>
      <w:r>
        <w:rPr>
          <w:rFonts w:ascii="Arial" w:cs="Arial" w:eastAsia="Arial" w:hAnsi="Arial"/>
          <w:sz w:val="16"/>
          <w:szCs w:val="16"/>
          <w:color w:val="auto"/>
        </w:rPr>
        <w:t>”) relate to the following Registration Statements on Form S-3 (collectively, the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filed by SemGroup Corporation, a Delaware corporation (“</w:t>
      </w:r>
      <w:r>
        <w:rPr>
          <w:rFonts w:ascii="Arial" w:cs="Arial" w:eastAsia="Arial" w:hAnsi="Arial"/>
          <w:sz w:val="16"/>
          <w:szCs w:val="16"/>
          <w:u w:val="single" w:color="auto"/>
          <w:color w:val="auto"/>
        </w:rPr>
        <w:t>SemGroup</w:t>
      </w:r>
      <w:r>
        <w:rPr>
          <w:rFonts w:ascii="Arial" w:cs="Arial" w:eastAsia="Arial" w:hAnsi="Arial"/>
          <w:sz w:val="16"/>
          <w:szCs w:val="16"/>
          <w:color w:val="auto"/>
        </w:rPr>
        <w:t>”), with the Securities and Exchange Commission:</w:t>
      </w:r>
    </w:p>
    <w:p>
      <w:pPr>
        <w:spacing w:after="0" w:line="29" w:lineRule="exact"/>
        <w:rPr>
          <w:sz w:val="20"/>
          <w:szCs w:val="20"/>
          <w:color w:val="auto"/>
        </w:rPr>
      </w:pPr>
    </w:p>
    <w:p>
      <w:pPr>
        <w:ind w:left="980" w:right="280" w:hanging="436"/>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333-185649 on </w:t>
      </w:r>
      <w:hyperlink r:id="rId17">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December 21, 2012, registering an indeterminate number of shares of Class A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senior debt securities, subordinated debt securities, warrants, purchase contracts and units of SemGroup;</w:t>
      </w:r>
    </w:p>
    <w:p>
      <w:pPr>
        <w:spacing w:after="0" w:line="86" w:lineRule="exact"/>
        <w:rPr>
          <w:rFonts w:ascii="Arial" w:cs="Arial" w:eastAsia="Arial" w:hAnsi="Arial"/>
          <w:sz w:val="18"/>
          <w:szCs w:val="18"/>
          <w:color w:val="auto"/>
        </w:rPr>
      </w:pPr>
    </w:p>
    <w:p>
      <w:pPr>
        <w:ind w:left="980" w:right="100" w:hanging="436"/>
        <w:spacing w:after="0" w:line="308"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Registration Statement No. 333-210044 on </w:t>
      </w:r>
      <w:hyperlink r:id="rId18">
        <w:r>
          <w:rPr>
            <w:rFonts w:ascii="Arial" w:cs="Arial" w:eastAsia="Arial" w:hAnsi="Arial"/>
            <w:sz w:val="17"/>
            <w:szCs w:val="17"/>
            <w:u w:val="single" w:color="auto"/>
            <w:color w:val="0000EE"/>
          </w:rPr>
          <w:t>Form S-3</w:t>
        </w:r>
      </w:hyperlink>
      <w:r>
        <w:rPr>
          <w:rFonts w:ascii="Arial" w:cs="Arial" w:eastAsia="Arial" w:hAnsi="Arial"/>
          <w:sz w:val="17"/>
          <w:szCs w:val="17"/>
          <w:color w:val="auto"/>
        </w:rPr>
        <w:t>, filed on March 9, 2016, registering an indeterminate number of shares of Common Stock, senior debt securities, subordinated debt securities, warrants, purchase contracts and units of SemGroup;</w:t>
      </w:r>
    </w:p>
    <w:p>
      <w:pPr>
        <w:spacing w:after="0" w:line="51" w:lineRule="exact"/>
        <w:rPr>
          <w:rFonts w:ascii="Arial" w:cs="Arial" w:eastAsia="Arial" w:hAnsi="Arial"/>
          <w:sz w:val="17"/>
          <w:szCs w:val="17"/>
          <w:color w:val="auto"/>
        </w:rPr>
      </w:pPr>
    </w:p>
    <w:p>
      <w:pPr>
        <w:ind w:left="980" w:right="240" w:hanging="436"/>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333-220946 on </w:t>
      </w:r>
      <w:hyperlink r:id="rId19">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October 13, 2017, registering an aggregate of up to 12,383,900 shares of Common Stock that may be offered from time to time by the selling stockholders named therein;</w:t>
      </w:r>
    </w:p>
    <w:p>
      <w:pPr>
        <w:spacing w:after="0" w:line="75" w:lineRule="exact"/>
        <w:rPr>
          <w:rFonts w:ascii="Arial" w:cs="Arial" w:eastAsia="Arial" w:hAnsi="Arial"/>
          <w:sz w:val="18"/>
          <w:szCs w:val="18"/>
          <w:color w:val="auto"/>
        </w:rPr>
      </w:pPr>
    </w:p>
    <w:p>
      <w:pPr>
        <w:ind w:left="980" w:right="520" w:hanging="436"/>
        <w:spacing w:after="0" w:line="308"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Registration Statement No. 333-232633 on </w:t>
      </w:r>
      <w:hyperlink r:id="rId20">
        <w:r>
          <w:rPr>
            <w:rFonts w:ascii="Arial" w:cs="Arial" w:eastAsia="Arial" w:hAnsi="Arial"/>
            <w:sz w:val="17"/>
            <w:szCs w:val="17"/>
            <w:u w:val="single" w:color="auto"/>
            <w:color w:val="0000EE"/>
          </w:rPr>
          <w:t>Form S-3</w:t>
        </w:r>
      </w:hyperlink>
      <w:r>
        <w:rPr>
          <w:rFonts w:ascii="Arial" w:cs="Arial" w:eastAsia="Arial" w:hAnsi="Arial"/>
          <w:sz w:val="17"/>
          <w:szCs w:val="17"/>
          <w:color w:val="auto"/>
        </w:rPr>
        <w:t>, filed on July 12, 2019, registering an aggregate of up to 12,569,664 shares of Common Stock that may be offered from time to time by the selling stockholders named therein; and</w:t>
      </w:r>
    </w:p>
    <w:p>
      <w:pPr>
        <w:spacing w:after="0" w:line="51" w:lineRule="exact"/>
        <w:rPr>
          <w:rFonts w:ascii="Arial" w:cs="Arial" w:eastAsia="Arial" w:hAnsi="Arial"/>
          <w:sz w:val="17"/>
          <w:szCs w:val="17"/>
          <w:color w:val="auto"/>
        </w:rPr>
      </w:pPr>
    </w:p>
    <w:p>
      <w:pPr>
        <w:ind w:left="980" w:right="40" w:hanging="436"/>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333-232635 on </w:t>
      </w:r>
      <w:hyperlink r:id="rId21">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July 12, 2019, registering an indeterminate number of shares of Common Stock, shares of preferred stock, par value $0.01 per share, senior debt securities, subordinated debt securities, depositary shares, warrants, purchase contracts and units of SemGroup.</w:t>
      </w:r>
    </w:p>
    <w:p>
      <w:pPr>
        <w:spacing w:after="0" w:line="181" w:lineRule="exact"/>
        <w:rPr>
          <w:rFonts w:ascii="Arial" w:cs="Arial" w:eastAsia="Arial" w:hAnsi="Arial"/>
          <w:sz w:val="17"/>
          <w:szCs w:val="17"/>
          <w:color w:val="auto"/>
        </w:rPr>
      </w:pPr>
    </w:p>
    <w:p>
      <w:pPr>
        <w:ind w:right="60" w:firstLine="441"/>
        <w:spacing w:after="0" w:line="255" w:lineRule="auto"/>
        <w:rPr>
          <w:sz w:val="20"/>
          <w:szCs w:val="20"/>
          <w:color w:val="auto"/>
        </w:rPr>
      </w:pPr>
      <w:r>
        <w:rPr>
          <w:rFonts w:ascii="Arial" w:cs="Arial" w:eastAsia="Arial" w:hAnsi="Arial"/>
          <w:sz w:val="18"/>
          <w:szCs w:val="18"/>
          <w:color w:val="auto"/>
        </w:rPr>
        <w:t>On December 5, 2019, Energy Transfer LP, a Delaware limited partnership (“</w:t>
      </w:r>
      <w:r>
        <w:rPr>
          <w:rFonts w:ascii="Arial" w:cs="Arial" w:eastAsia="Arial" w:hAnsi="Arial"/>
          <w:sz w:val="18"/>
          <w:szCs w:val="18"/>
          <w:u w:val="single" w:color="auto"/>
          <w:color w:val="auto"/>
        </w:rPr>
        <w:t>ET</w:t>
      </w:r>
      <w:r>
        <w:rPr>
          <w:rFonts w:ascii="Arial" w:cs="Arial" w:eastAsia="Arial" w:hAnsi="Arial"/>
          <w:sz w:val="18"/>
          <w:szCs w:val="18"/>
          <w:color w:val="auto"/>
        </w:rPr>
        <w:t>”), completed the acquisition of SemGroup, pursuant to the terms of the Agreement and Plan of Merger, dated as of September 15, 2019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SemGroup, ET and Nautilus Merger Sub LLC, a Delaware limited liability company and a wholly owned subsidiary of ET (“</w:t>
      </w:r>
      <w:r>
        <w:rPr>
          <w:rFonts w:ascii="Arial" w:cs="Arial" w:eastAsia="Arial" w:hAnsi="Arial"/>
          <w:sz w:val="18"/>
          <w:szCs w:val="18"/>
          <w:u w:val="single" w:color="auto"/>
          <w:color w:val="auto"/>
        </w:rPr>
        <w:t>Merger Sub</w:t>
      </w:r>
      <w:r>
        <w:rPr>
          <w:rFonts w:ascii="Arial" w:cs="Arial" w:eastAsia="Arial" w:hAnsi="Arial"/>
          <w:sz w:val="18"/>
          <w:szCs w:val="18"/>
          <w:color w:val="auto"/>
        </w:rPr>
        <w:t>”). Under the terms of the Merger Agreement, Merger Sub merged with and into SemGroup (the “</w:t>
      </w:r>
      <w:r>
        <w:rPr>
          <w:rFonts w:ascii="Arial" w:cs="Arial" w:eastAsia="Arial" w:hAnsi="Arial"/>
          <w:sz w:val="18"/>
          <w:szCs w:val="18"/>
          <w:u w:val="single" w:color="auto"/>
          <w:color w:val="auto"/>
        </w:rPr>
        <w:t>Merger</w:t>
      </w:r>
      <w:r>
        <w:rPr>
          <w:rFonts w:ascii="Arial" w:cs="Arial" w:eastAsia="Arial" w:hAnsi="Arial"/>
          <w:sz w:val="18"/>
          <w:szCs w:val="18"/>
          <w:color w:val="auto"/>
        </w:rPr>
        <w:t>”), with SemGroup surviving the Merger as a direct wholly owned subsidiary of ET. Each outstanding share of Common Stock was converted into the right to receive (x) $6.80 in cash, without interest and (y) 0.7275 of a common unit representing a limited partner interest in ET.</w:t>
      </w:r>
    </w:p>
    <w:p>
      <w:pPr>
        <w:spacing w:after="0" w:line="193" w:lineRule="exact"/>
        <w:rPr>
          <w:rFonts w:ascii="Arial" w:cs="Arial" w:eastAsia="Arial" w:hAnsi="Arial"/>
          <w:sz w:val="17"/>
          <w:szCs w:val="17"/>
          <w:color w:val="auto"/>
        </w:rPr>
      </w:pPr>
    </w:p>
    <w:p>
      <w:pPr>
        <w:ind w:firstLine="441"/>
        <w:spacing w:after="0" w:line="279" w:lineRule="auto"/>
        <w:rPr>
          <w:sz w:val="20"/>
          <w:szCs w:val="20"/>
          <w:color w:val="auto"/>
        </w:rPr>
      </w:pPr>
      <w:r>
        <w:rPr>
          <w:rFonts w:ascii="Arial" w:cs="Arial" w:eastAsia="Arial" w:hAnsi="Arial"/>
          <w:sz w:val="17"/>
          <w:szCs w:val="17"/>
          <w:color w:val="auto"/>
        </w:rPr>
        <w:t>In connection with the consummation of the Merger, SemGroup has terminated all offerings of securities pursuant to the Registration Statements. In accordance with the undertakings made by SemGroup in the Registration Statements to remove from registration, by means of a post-effective amendment, any of the securities that had been registered for issuance that remain unsold at the termination of such offering, SemGroup hereby removes from registration all of such securities of SemGroup registered but unsold under the Registration Statements.</w:t>
      </w:r>
    </w:p>
    <w:p>
      <w:pPr>
        <w:sectPr>
          <w:pgSz w:w="11900" w:h="16838" w:orient="portrait"/>
          <w:cols w:equalWidth="0" w:num="1">
            <w:col w:w="11000"/>
          </w:cols>
          <w:pgMar w:left="440" w:top="270" w:right="45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S-3 and has duly caused these Post-Effective Amendments to the Registration Statements to be signed on its behalf by the undersigned, thereunto duly authorized, in the City of Dallas, State of Texas, on this 11</w:t>
      </w:r>
      <w:r>
        <w:rPr>
          <w:rFonts w:ascii="Arial" w:cs="Arial" w:eastAsia="Arial" w:hAnsi="Arial"/>
          <w:sz w:val="13"/>
          <w:szCs w:val="13"/>
          <w:color w:val="auto"/>
        </w:rPr>
        <w:t>th</w:t>
      </w:r>
      <w:r>
        <w:rPr>
          <w:rFonts w:ascii="Arial" w:cs="Arial" w:eastAsia="Arial" w:hAnsi="Arial"/>
          <w:sz w:val="16"/>
          <w:szCs w:val="16"/>
          <w:color w:val="auto"/>
        </w:rPr>
        <w:t xml:space="preserve"> day of December, 2019.</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SEMGROUP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E. Long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tab/>
        <w:t>Chief Financial Officer</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other person is required to sign these Post-Effective Amendments in reliance upon Rule 478 under the Securities Act of 1933.</w:t>
      </w:r>
    </w:p>
    <w:sectPr>
      <w:pgSz w:w="11900" w:h="16838" w:orient="portrait"/>
      <w:cols w:equalWidth="0" w:num="1">
        <w:col w:w="10840"/>
      </w:cols>
      <w:pgMar w:left="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7" Type="http://schemas.openxmlformats.org/officeDocument/2006/relationships/hyperlink" Target="http://www.sec.gov/Archives/edgar/data/1489136/000119312512513172/d457173ds3asr.htm" TargetMode="External"/><Relationship Id="rId18" Type="http://schemas.openxmlformats.org/officeDocument/2006/relationships/hyperlink" Target="http://www.sec.gov/Archives/edgar/data/1489136/000119312516498478/d156552ds3asr.htm" TargetMode="External"/><Relationship Id="rId19" Type="http://schemas.openxmlformats.org/officeDocument/2006/relationships/hyperlink" Target="http://www.sec.gov/Archives/edgar/data/1489136/000119312517309876/d473901ds3asr.htm" TargetMode="External"/><Relationship Id="rId20" Type="http://schemas.openxmlformats.org/officeDocument/2006/relationships/hyperlink" Target="http://www.sec.gov/Archives/edgar/data/1489136/000119312519193264/d770448ds3asr.htm" TargetMode="External"/><Relationship Id="rId21" Type="http://schemas.openxmlformats.org/officeDocument/2006/relationships/hyperlink" Target="http://www.sec.gov/Archives/edgar/data/1489136/000119312519193269/d767830d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2019-12-11T15:34:07Z</dcterms:created>
  <dcterms:modified xsi:type="dcterms:W3CDTF">2019-12-11T15:34:07Z</dcterms:modified>
</cp:coreProperties>
</file>