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tbl>
      <w:tblPr>
        <w:tblW w:w="8865" w:type="dxa"/>
        <w:jc w:val="center"/>
        <w:tblInd w:w="0" w:type="dxa"/>
        <w:tblLayout w:type="fixed"/>
        <w:tblCellMar>
          <w:top w:w="28" w:type="dxa"/>
          <w:left w:w="28" w:type="dxa"/>
          <w:bottom w:w="28" w:type="dxa"/>
          <w:right w:w="28" w:type="dxa"/>
        </w:tblCellMar>
      </w:tblPr>
      <w:tblGrid>
        <w:gridCol w:w="1333"/>
        <w:gridCol w:w="1171"/>
        <w:gridCol w:w="1171"/>
        <w:gridCol w:w="765"/>
        <w:gridCol w:w="765"/>
        <w:gridCol w:w="765"/>
        <w:gridCol w:w="834"/>
        <w:gridCol w:w="834"/>
        <w:gridCol w:w="1227"/>
      </w:tblGrid>
      <w:tr>
        <w:trPr/>
        <w:tc>
          <w:tcPr>
            <w:tcW w:w="133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8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 2026</w:t>
            </w:r>
          </w:p>
        </w:tc>
      </w:tr>
      <w:tr>
        <w:trPr/>
        <w:tc>
          <w:tcPr>
            <w:tcW w:w="8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tc>
      </w:tr>
      <w:tr>
        <w:trPr/>
        <w:tc>
          <w:tcPr>
            <w:tcW w:w="88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ENERGY TRANSFER LP</w:t>
            </w:r>
          </w:p>
        </w:tc>
      </w:tr>
      <w:tr>
        <w:trPr/>
        <w:tc>
          <w:tcPr>
            <w:tcW w:w="8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1-32740</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30-0108820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8111 Westchester Drive, 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Dallas, Texas 75225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bl>
      <w:tblPr>
        <w:tblW w:w="4468" w:type="dxa"/>
        <w:jc w:val="center"/>
        <w:tblInd w:w="0" w:type="dxa"/>
        <w:tblLayout w:type="fixed"/>
        <w:tblCellMar>
          <w:top w:w="28" w:type="dxa"/>
          <w:left w:w="28" w:type="dxa"/>
          <w:bottom w:w="28" w:type="dxa"/>
          <w:right w:w="28" w:type="dxa"/>
        </w:tblCellMar>
      </w:tblPr>
      <w:tblGrid>
        <w:gridCol w:w="596"/>
        <w:gridCol w:w="527"/>
        <w:gridCol w:w="530"/>
        <w:gridCol w:w="823"/>
        <w:gridCol w:w="823"/>
        <w:gridCol w:w="1169"/>
      </w:tblGrid>
      <w:tr>
        <w:trPr/>
        <w:tc>
          <w:tcPr>
            <w:tcW w:w="59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w:t>
            </w:r>
          </w:p>
        </w:tc>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981-0700</w:t>
            </w:r>
          </w:p>
        </w:tc>
      </w:tr>
      <w:tr>
        <w:trPr/>
        <w:tc>
          <w:tcPr>
            <w:tcW w:w="44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68" w:type="dxa"/>
        <w:jc w:val="center"/>
        <w:tblInd w:w="0" w:type="dxa"/>
        <w:tblLayout w:type="fixed"/>
        <w:tblCellMar>
          <w:top w:w="28" w:type="dxa"/>
          <w:left w:w="28" w:type="dxa"/>
          <w:bottom w:w="28" w:type="dxa"/>
          <w:right w:w="28" w:type="dxa"/>
        </w:tblCellMar>
      </w:tblPr>
      <w:tblGrid>
        <w:gridCol w:w="1456"/>
        <w:gridCol w:w="1274"/>
        <w:gridCol w:w="1290"/>
        <w:gridCol w:w="109"/>
        <w:gridCol w:w="109"/>
        <w:gridCol w:w="109"/>
        <w:gridCol w:w="529"/>
        <w:gridCol w:w="529"/>
        <w:gridCol w:w="531"/>
        <w:gridCol w:w="109"/>
        <w:gridCol w:w="109"/>
        <w:gridCol w:w="109"/>
        <w:gridCol w:w="1085"/>
        <w:gridCol w:w="1085"/>
        <w:gridCol w:w="1535"/>
      </w:tblGrid>
      <w:tr>
        <w:trPr/>
        <w:tc>
          <w:tcPr>
            <w:tcW w:w="145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9.250% Series I Fixed Rate Perpetual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ETprI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rPr>
        <w:t>Emerging growth company </w:t>
      </w:r>
      <w:r>
        <w:rPr>
          <w:color w:val="000000"/>
        </w:rPr>
        <w:t>☐</w:t>
      </w:r>
      <w:r>
        <w:rPr>
          <w:color w:val="231F2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3.01 Notice of Delisting or Failure to Satisfy a Continued Listing Rule or Standard; Transfer of Listing.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3, 2026, Energy Transfer LP (the “Partnership”) approved the voluntary withdrawal of its common units representing limited partner interests (the “Common Units”) and its 9.250% Series I Fixed Rate Perpetual Preferred Units (the “Series I Preferred Units”, and together with the Common Units, the “Partnership Units”) from listing on the New York Stock Exchange (“NYSE”), and the transfer of those listings to the Texas Stock Exchange (“TXSE”). The Partnership expects that the listing and trading of the Partnership Units on the NYSE will end at market close on October 2, 2026, and that trading will begin on the TXSE at market open on October 5, 2026. The ticker symbols for the Common Units (TXSE: ET) and Series I Preferred Units (TXSE: ETprI) will remain unchanged.</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2026, the Partnership issued the press release attached hereto as Exhibit 99.1 in connection with the transfer of the listings of the Common Units and Series I Preferred Units from NYSE to TXSE.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Item 7.01 of this Current Report on Form 8-K, including Exhibit 99.1 hereto, shall not be deemed “filed” for the purposes of Section 18 of the Exchange Act or otherwise subject to the liabilities of that section. The information in Item 7.01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pStyle w:val="TextBody"/>
        <w:bidi w:val="0"/>
        <w:spacing w:before="12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tbl>
      <w:tblPr>
        <w:tblW w:w="8570"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2183"/>
        <w:gridCol w:w="2183"/>
        <w:gridCol w:w="2189"/>
        <w:gridCol w:w="109"/>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nys.htm">
              <w:r>
                <w:rPr>
                  <w:rStyle w:val="InternetLink"/>
                  <w:rFonts w:ascii="Times New Roman;serif" w:hAnsi="Times New Roman;serif"/>
                  <w:b w:val="false"/>
                  <w:color w:val="0000FF"/>
                  <w:sz w:val="20"/>
                  <w:u w:val="single"/>
                </w:rPr>
                <w:t>Press Release dated September 10,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369"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365"/>
        <w:gridCol w:w="365"/>
        <w:gridCol w:w="365"/>
        <w:gridCol w:w="1449"/>
        <w:gridCol w:w="1449"/>
        <w:gridCol w:w="20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TRANSFER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 GP, LLC, its general partner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10, 2026</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160"/>
        <w:ind w:left="0" w:right="0" w:firstLine="720"/>
        <w:jc w:val="center"/>
        <w:rPr/>
      </w:pPr>
      <w:r>
        <w:rPr/>
        <w:drawing>
          <wp:inline distT="0" distB="0" distL="0" distR="0">
            <wp:extent cx="2600325"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00325" cy="762000"/>
                    </a:xfrm>
                    <a:prstGeom prst="rect">
                      <a:avLst/>
                    </a:prstGeom>
                  </pic:spPr>
                </pic:pic>
              </a:graphicData>
            </a:graphic>
          </wp:inline>
        </w:drawing>
      </w:r>
    </w:p>
    <w:p>
      <w:pPr>
        <w:pStyle w:val="TextBody"/>
        <w:bidi w:val="0"/>
        <w:spacing w:before="120" w:after="160"/>
        <w:jc w:val="left"/>
        <w:rPr/>
      </w:pPr>
      <w:r>
        <w:rPr/>
      </w:r>
    </w:p>
    <w:p>
      <w:pPr>
        <w:pStyle w:val="TextBody"/>
        <w:bidi w:val="0"/>
        <w:spacing w:lineRule="auto" w:line="288" w:before="120" w:after="283"/>
        <w:jc w:val="center"/>
        <w:rPr/>
      </w:pPr>
      <w:r>
        <w:rPr>
          <w:rFonts w:ascii="Times New Roman;serif" w:hAnsi="Times New Roman;serif"/>
          <w:b/>
          <w:color w:val="000000"/>
          <w:sz w:val="24"/>
        </w:rPr>
        <w:t>ENERGY TRANSFER TO TRANSFER STOCK EXCHANGE LISTINGS TO TEXAS STOCK EXCHANGE</w:t>
        <w:br/>
        <w:br/>
      </w:r>
      <w:r>
        <w:rPr>
          <w:rFonts w:ascii="Times New Roman;serif" w:hAnsi="Times New Roman;serif"/>
          <w:b w:val="false"/>
          <w:i/>
          <w:color w:val="000000"/>
          <w:sz w:val="24"/>
        </w:rPr>
        <w:t>Trading tickers to remain unchanged</w:t>
      </w:r>
    </w:p>
    <w:p>
      <w:pPr>
        <w:pStyle w:val="TextBody"/>
        <w:bidi w:val="0"/>
        <w:spacing w:lineRule="auto" w:line="288" w:before="120" w:after="283"/>
        <w:jc w:val="both"/>
        <w:rPr/>
      </w:pPr>
      <w:r>
        <w:rPr>
          <w:rFonts w:ascii="Times New Roman;serif" w:hAnsi="Times New Roman;serif"/>
          <w:b/>
          <w:color w:val="000000"/>
          <w:sz w:val="20"/>
        </w:rPr>
        <w:t>Dallas – September 10, 2026 - Energy Transfer LP (NYSE: ET)</w:t>
      </w:r>
      <w:r>
        <w:rPr>
          <w:color w:val="000000"/>
        </w:rPr>
        <w:t> </w:t>
      </w:r>
      <w:r>
        <w:rPr>
          <w:rFonts w:ascii="Times New Roman;serif" w:hAnsi="Times New Roman;serif"/>
          <w:b w:val="false"/>
          <w:color w:val="000000"/>
          <w:sz w:val="20"/>
        </w:rPr>
        <w:t>today announced it will transfer the listing of its common units from the New York Stock Exchange (NYSE) to the Texas Stock Exchange (TXSE). Energy Transfer expects its units to begin trading on the TXSE on October 5, 2026, under the current ticker symbol “ET”.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move aligns Energy Transfer’s Texas-based legacy with TXSE’s technology-driven platform, creating opportunities to enhance value and support the partnership’s continued growth.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Energy Transfer’s Series I Preferred Units, which currently trade on NYSE, will also transfer to the TXSE. The preferred units are expected to begin trading on the TXSE on October 5, 2026, under the current symbol “ETprI”.</w:t>
      </w:r>
    </w:p>
    <w:p>
      <w:pPr>
        <w:pStyle w:val="TextBody"/>
        <w:bidi w:val="0"/>
        <w:spacing w:lineRule="auto" w:line="288" w:before="120" w:after="283"/>
        <w:jc w:val="both"/>
        <w:rPr/>
      </w:pPr>
      <w:r>
        <w:rPr>
          <w:rFonts w:ascii="Times New Roman;serif" w:hAnsi="Times New Roman;serif"/>
          <w:b/>
          <w:color w:val="000000"/>
          <w:sz w:val="20"/>
        </w:rPr>
        <w:t>Energy Transfer LP (NYSE: ET) </w:t>
      </w:r>
      <w:r>
        <w:rPr>
          <w:rFonts w:ascii="Times New Roman;serif" w:hAnsi="Times New Roman;serif"/>
          <w:b w:val="false"/>
          <w:color w:val="000000"/>
          <w:sz w:val="20"/>
        </w:rPr>
        <w:t>owns and operates one of the largest and most diversified portfolios of energy assets in the United States, with approximately 140,000 miles of pipeline and associated energy infrastructure. Energy Transfer’s strategic network spans 44 states with assets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the general partner interests, the incentive distribution rights and approximately 28 million common units (representing 15% of the aggregate outstanding common units and Class D units) of Sunoco LP (NYSE: SUN), the managing member interests in SunocoCorp LLC (NYSE: SUNC), and the general partner interests and approximately 46 million common units (representing 32% of the outstanding common units) of USA Compression Partners, LP (NYSE: USAC). For more information, visit the Energy Transfer LP website at </w:t>
      </w:r>
      <w:r>
        <w:rPr>
          <w:rFonts w:ascii="Times New Roman;serif" w:hAnsi="Times New Roman;serif"/>
          <w:b w:val="false"/>
          <w:color w:val="467886"/>
          <w:sz w:val="20"/>
          <w:u w:val="single"/>
        </w:rPr>
        <w:t>www.energytransfer.com</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news release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 that can affect future results are discussed in the Partnership’s Annual Report on Form 10-K and other documents filed from time to time with the Securities and Exchange Commission. The Partnership undertakes no obligation to update or revise any forward-looking statement to reflect new information or events.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Contacts</w:t>
      </w:r>
    </w:p>
    <w:tbl>
      <w:tblPr>
        <w:tblW w:w="7721" w:type="dxa"/>
        <w:jc w:val="left"/>
        <w:tblInd w:w="0" w:type="dxa"/>
        <w:tblLayout w:type="fixed"/>
        <w:tblCellMar>
          <w:top w:w="28" w:type="dxa"/>
          <w:left w:w="28" w:type="dxa"/>
          <w:bottom w:w="28" w:type="dxa"/>
          <w:right w:w="28" w:type="dxa"/>
        </w:tblCellMar>
      </w:tblPr>
      <w:tblGrid>
        <w:gridCol w:w="1739"/>
        <w:gridCol w:w="1525"/>
        <w:gridCol w:w="1536"/>
        <w:gridCol w:w="109"/>
        <w:gridCol w:w="109"/>
        <w:gridCol w:w="109"/>
        <w:gridCol w:w="759"/>
        <w:gridCol w:w="759"/>
        <w:gridCol w:w="1076"/>
      </w:tblGrid>
      <w:tr>
        <w:trPr/>
        <w:tc>
          <w:tcPr>
            <w:tcW w:w="173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 Relations:</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 Baerg, Brent Ratliff, Lyndsay Hannah, 214-981-0795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Vicki Granado, 214-840-5820</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1100</Words>
  <Characters>6069</Characters>
  <CharactersWithSpaces>7134</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