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9647d8k12b.htm"/>
      <w:bookmarkStart w:id="1" w:name="ksd109647d8k12b"/>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July 6, 2026 </w:t>
      </w:r>
    </w:p>
    <w:p>
      <w:pPr>
        <w:pStyle w:val="TextBody"/>
        <w:bidi w:val="0"/>
        <w:spacing w:before="0" w:after="0"/>
        <w:jc w:val="center"/>
        <w:rPr>
          <w:rFonts w:ascii="Times New Roman" w:hAnsi="Times New Roman"/>
          <w:b/>
          <w:sz w:val="20"/>
        </w:rPr>
      </w:pPr>
      <w:r>
        <w:rPr>
          <w:rFonts w:ascii="Times New Roman" w:hAnsi="Times New Roman"/>
          <w:b/>
          <w:sz w:val="20"/>
        </w:rPr>
        <w:t xml:space="preserve">Date of Report (Date of earliest event reported)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ENERGY TRANSFER LP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1"/>
        <w:gridCol w:w="3266"/>
        <w:gridCol w:w="101"/>
        <w:gridCol w:w="3266"/>
      </w:tblGrid>
      <w:tr>
        <w:trPr/>
        <w:tc>
          <w:tcPr>
            <w:tcW w:w="347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Texas</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1-32740</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30-0108820</w:t>
            </w:r>
          </w:p>
        </w:tc>
      </w:tr>
      <w:tr>
        <w:trPr/>
        <w:tc>
          <w:tcPr>
            <w:tcW w:w="3471"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8111 Westchester Drive, Suite 600 </w:t>
      </w:r>
    </w:p>
    <w:p>
      <w:pPr>
        <w:pStyle w:val="TextBody"/>
        <w:bidi w:val="0"/>
        <w:spacing w:before="0" w:after="0"/>
        <w:jc w:val="center"/>
        <w:rPr>
          <w:rFonts w:ascii="Times New Roman" w:hAnsi="Times New Roman"/>
          <w:b/>
          <w:sz w:val="20"/>
        </w:rPr>
      </w:pPr>
      <w:r>
        <w:rPr>
          <w:rFonts w:ascii="Times New Roman" w:hAnsi="Times New Roman"/>
          <w:b/>
          <w:sz w:val="20"/>
        </w:rPr>
        <w:t xml:space="preserve">Dallas, Texas 75225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240" w:after="0"/>
        <w:jc w:val="center"/>
        <w:rPr>
          <w:rFonts w:ascii="Times New Roman" w:hAnsi="Times New Roman"/>
          <w:b/>
          <w:sz w:val="20"/>
        </w:rPr>
      </w:pPr>
      <w:r>
        <w:rPr>
          <w:rFonts w:ascii="Times New Roman" w:hAnsi="Times New Roman"/>
          <w:b/>
          <w:sz w:val="20"/>
        </w:rPr>
        <w:t xml:space="preserve">(214) 981-0700 </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bidi w:val="0"/>
        <w:spacing w:before="240" w:after="0"/>
        <w:jc w:val="left"/>
        <w:rPr/>
      </w:pPr>
      <w:r>
        <w:rPr/>
        <w:t>☐ </w:t>
      </w:r>
      <w:r>
        <w:rPr>
          <w:rFonts w:ascii="Times New Roman" w:hAnsi="Times New Roman"/>
          <w:sz w:val="20"/>
        </w:rPr>
        <w:t xml:space="preserve">Written communications pursuant to Rule 425 under the Securities Act (17 CFR 230.425) </w:t>
      </w:r>
    </w:p>
    <w:p>
      <w:pPr>
        <w:pStyle w:val="TextBody"/>
        <w:bidi w:val="0"/>
        <w:spacing w:before="240" w:after="0"/>
        <w:jc w:val="left"/>
        <w:rPr/>
      </w:pPr>
      <w:r>
        <w:rPr/>
        <w:t>☐ </w:t>
      </w:r>
      <w:r>
        <w:rPr>
          <w:rFonts w:ascii="Times New Roman" w:hAnsi="Times New Roman"/>
          <w:sz w:val="20"/>
        </w:rPr>
        <w:t xml:space="preserve">Soliciting material pursuant to Rule 14a-12 under the Exchange Act (17 CFR 240.14a-12) </w:t>
      </w:r>
    </w:p>
    <w:p>
      <w:pPr>
        <w:pStyle w:val="TextBody"/>
        <w:bidi w:val="0"/>
        <w:spacing w:before="240" w:after="0"/>
        <w:jc w:val="left"/>
        <w:rPr/>
      </w:pPr>
      <w:r>
        <w:rPr/>
        <w:t>☐ </w:t>
      </w:r>
      <w:r>
        <w:rPr>
          <w:rFonts w:ascii="Times New Roman" w:hAnsi="Times New Roman"/>
          <w:sz w:val="20"/>
        </w:rPr>
        <w:t xml:space="preserve">Pre-commencement communications pursuant to Rule 14d-2(b) under the Exchange Act (17 CFR 240.14d-2(b)) </w:t>
      </w:r>
    </w:p>
    <w:p>
      <w:pPr>
        <w:pStyle w:val="TextBody"/>
        <w:bidi w:val="0"/>
        <w:spacing w:before="240" w:after="0"/>
        <w:jc w:val="left"/>
        <w:rPr/>
      </w:pPr>
      <w:r>
        <w:rPr/>
        <w:t>☐ </w:t>
      </w:r>
      <w:r>
        <w:rPr>
          <w:rFonts w:ascii="Times New Roman" w:hAnsi="Times New Roman"/>
          <w:sz w:val="20"/>
        </w:rPr>
        <w:t xml:space="preserve">Pre-commencement communications pursuant to Rule 13e-4(c) under the Exchange Act (17 CFR 240.13e-4(c))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0"/>
        <w:gridCol w:w="3267"/>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 of each class</w:t>
            </w:r>
          </w:p>
        </w:tc>
        <w:tc>
          <w:tcPr>
            <w:tcW w:w="100" w:type="dxa"/>
            <w:tcBorders/>
            <w:vAlign w:val="bottom"/>
          </w:tcPr>
          <w:p>
            <w:pPr>
              <w:pStyle w:val="TableContents"/>
              <w:bidi w:val="0"/>
              <w:spacing w:before="0" w:after="283"/>
              <w:jc w:val="left"/>
              <w:rPr/>
            </w:pPr>
            <w:r>
              <w:rPr/>
              <w:t> </w:t>
            </w:r>
          </w:p>
        </w:tc>
        <w:tc>
          <w:tcPr>
            <w:tcW w:w="3267"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symbol(s)</w:t>
            </w:r>
          </w:p>
        </w:tc>
        <w:tc>
          <w:tcPr>
            <w:tcW w:w="101" w:type="dxa"/>
            <w:tcBorders/>
            <w:vAlign w:val="bottom"/>
          </w:tcPr>
          <w:p>
            <w:pPr>
              <w:pStyle w:val="TableContents"/>
              <w:bidi w:val="0"/>
              <w:spacing w:before="0" w:after="283"/>
              <w:jc w:val="left"/>
              <w:rPr/>
            </w:pPr>
            <w:r>
              <w:rPr/>
              <w:t> </w:t>
            </w:r>
          </w:p>
        </w:tc>
        <w:tc>
          <w:tcPr>
            <w:tcW w:w="3267"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 on</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which registered</w:t>
            </w:r>
          </w:p>
        </w:tc>
      </w:tr>
      <w:tr>
        <w:trPr/>
        <w:tc>
          <w:tcPr>
            <w:tcW w:w="3470" w:type="dxa"/>
            <w:tcBorders/>
          </w:tcPr>
          <w:p>
            <w:pPr>
              <w:pStyle w:val="TableContents"/>
              <w:bidi w:val="0"/>
              <w:spacing w:before="0" w:after="283"/>
              <w:jc w:val="center"/>
              <w:rPr/>
            </w:pPr>
            <w:r>
              <w:rPr/>
              <w:t>Common Units</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ET</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New York Stock Exchange</w:t>
            </w:r>
          </w:p>
        </w:tc>
      </w:tr>
      <w:tr>
        <w:trPr/>
        <w:tc>
          <w:tcPr>
            <w:tcW w:w="3470" w:type="dxa"/>
            <w:tcBorders/>
          </w:tcPr>
          <w:p>
            <w:pPr>
              <w:pStyle w:val="TableContents"/>
              <w:bidi w:val="0"/>
              <w:spacing w:before="0" w:after="283"/>
              <w:jc w:val="center"/>
              <w:rPr/>
            </w:pPr>
            <w:r>
              <w:rPr/>
              <w:t>9.250% Series I Fixed Rate Perpetual Preferred Units</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ETprI</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3.03</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Material Modification to Rights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included in Item 5.03 of this Current Report on Form 8-K is incorporated by reference in this Item 3.03 to the extent required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5.03</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to Articles of Incorporation or Bylaws; Change in Fiscal Year.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Redomiciliation from Delaware to Texas </w:t>
      </w:r>
    </w:p>
    <w:p>
      <w:pPr>
        <w:pStyle w:val="TextBody"/>
        <w:bidi w:val="0"/>
        <w:spacing w:before="120" w:after="0"/>
        <w:jc w:val="left"/>
        <w:rPr>
          <w:rFonts w:ascii="Times New Roman" w:hAnsi="Times New Roman"/>
          <w:sz w:val="20"/>
        </w:rPr>
      </w:pPr>
      <w:r>
        <w:rPr>
          <w:rFonts w:ascii="Times New Roman" w:hAnsi="Times New Roman"/>
          <w:sz w:val="20"/>
        </w:rPr>
        <w:t xml:space="preserve">On July 6, 2026, Energy Transfer LP (the “Partnership”) changed its state of formation from the State of Delaware to the State of Texas pursuant to a Plan of Conversion. This redomiciliation was approved by the board of directors of the general partner in reliance in part on the recommendation and Special Approval (as defined in the Delaware Partnership Agreement (as defined below)) of the Conflicts Committee (as defined in the Delaware Partnership Agreement). </w:t>
      </w:r>
    </w:p>
    <w:p>
      <w:pPr>
        <w:pStyle w:val="TextBody"/>
        <w:bidi w:val="0"/>
        <w:spacing w:before="240" w:after="0"/>
        <w:jc w:val="left"/>
        <w:rPr>
          <w:rFonts w:ascii="Times New Roman" w:hAnsi="Times New Roman"/>
          <w:sz w:val="20"/>
        </w:rPr>
      </w:pPr>
      <w:r>
        <w:rPr>
          <w:rFonts w:ascii="Times New Roman" w:hAnsi="Times New Roman"/>
          <w:sz w:val="20"/>
        </w:rPr>
        <w:t xml:space="preserve">The redomiciliation was accomplished by filing a Certificate of Conversion with the Delaware Secretary of State and a Certificate of Conversion and a Certificate of Formation with the Texas Secretary of State.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redomiciliation: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affairs of the Partnership ceased to be governed by the Delaware Revised Uniform Limited Partnership Act (the “Delaware Act”) and became subject to the Texas Business Organizations Code (the “TBOC”), and the certificate of limited partnership and Fourth Amended and Restated Agreement of Limited Partnership of the Partnership (the “Delaware Partnership Agreement”) that were in effect immediately prior to the redomiciliation were replaced by the certificate of formation and Agreement of Limited Partnership of the Partnership (the “Texas Partnership Agreement”) approved in connection with the redomiciliation and Plan of Conversion. For clarity, references in this filing to “the Delaware Partnership” mean the Partnership as it existed prior to the time of the redomiciliation; and references to “the Texas Partnership” mean the Partnership at the time of and following the redomiciliation.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Partnership is deemed to be the same entity as it was prior to the redomiciliation, without interruption; all property that the Delaware Partnership had prior to the redomiciliation continues to be vested in the Texas Partnership; all debts, obligations and liabilities of the Delaware Partnership prior to the redomiciliation continue as the debts, obligations and other liabilities of the Texas Partnership after the redomiciliation; and, except as provided by law, all of the rights, privileges, immunities and powers which the Delaware Partnership possessed prior to the redomiciliation continue to be vested in the Texas Partnership without change after the redomiciliation.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unitholders of the Delaware Partnership immediately before the redomiciliation remain unitholders of the Texas Partnership immediately after the redomiciliation, in that each Common Unit of the Delaware Partnership converted into a Common Unit of the Texas Partnership, each Class A Unit of the Delaware Partnership converted into a Class A Unit of the Texas Partnership, each Class B Unit of the Delaware Partnership converted into a Class B Unit of the Texas Partnership, each Series B Preferred Unit of the Delaware Partnership converted into a Series B Preferred Unit of the Texas Partnership, each Series G Preferred Unit of the Delaware Partnership converted into a Series G Preferred Unit of the Texas Partnership, each Series H Preferred Unit of the Delaware Partnership converted into a Series H Preferred Unit of the Texas Partnership, and each Series I Preferred Unit of the Delaware Partnership converted into a Series I Preferred Unit of the Texas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option, warrant or other right to acquire Common Units of the Delaware Partnership that was outstanding immediately prior to the redomiciliation converted to an outstanding option, warrant or other right to acquire Common Units of the Texas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performance unit, restricted unit award or restricted unit relating to the Common Units of the Delaware Partnership that was outstanding immediately prior to the redomiciliation converted to an equivalent performance unit, restricted unit award or restricted unit of the Texas Partnership having the same terms and conditions as were in effect immediately prior to the redomiciliation.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employee benefit plan, incentive compensation plan or other similar plan of the Delaware Partnership that was in effect immediately prior to the redomiciliation continues to be an employee benefit plan, incentive compensation plan or other similar plan of the Texas Partnership following the redomiciliation.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director or officer of the general partner who was in office immediately before the redomiciliation continues to hold his or her respective office with the general partner following the redomiciliation of the Partnership. The general partner is redomiciling from Delaware to Texas concurrently with the Partnership and will remain the general partner of the Partnership following the redomiciliation.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redomiciliation did not result in any change in the Partnership’s CUSIP, trading symbol, federal tax identification number, or any material change in its business, offices, assets, liabilities, obligations or net worth, or employees. The Partnership continues to maintain its principal executive offices at 8111 Westchester Drive, Suite 600, Dallas, Texas 75225. </w:t>
      </w:r>
    </w:p>
    <w:p>
      <w:pPr>
        <w:pStyle w:val="TextBody"/>
        <w:bidi w:val="0"/>
        <w:spacing w:before="240" w:after="0"/>
        <w:jc w:val="left"/>
        <w:rPr>
          <w:rFonts w:ascii="Times New Roman" w:hAnsi="Times New Roman"/>
          <w:sz w:val="20"/>
        </w:rPr>
      </w:pPr>
      <w:r>
        <w:rPr>
          <w:rFonts w:ascii="Times New Roman" w:hAnsi="Times New Roman"/>
          <w:sz w:val="20"/>
        </w:rPr>
        <w:t xml:space="preserve">The rights of the unitholders were governed by the Delaware Partnership Agreement and the Delaware Act prior to the redomiciliation. Following the redomiciliation, the unitholders’ rights are governed by the Texas Partnership Agreement, as in effect upon consummation of the redomiciliation, and the TBOC. The Partnership believes that the rights and obligations of unitholders of the Partnership contained in the Delaware Partnership Agreement immediately prior to the conversion are the same as the rights and obligations of unitholders of the Partnership contained in the Texas Partnership Agreement immediately after the conversion. </w:t>
      </w:r>
    </w:p>
    <w:p>
      <w:pPr>
        <w:pStyle w:val="TextBody"/>
        <w:bidi w:val="0"/>
        <w:spacing w:before="240" w:after="0"/>
        <w:jc w:val="left"/>
        <w:rPr>
          <w:rFonts w:ascii="Times New Roman" w:hAnsi="Times New Roman"/>
          <w:sz w:val="20"/>
        </w:rPr>
      </w:pPr>
      <w:r>
        <w:rPr>
          <w:rFonts w:ascii="Times New Roman" w:hAnsi="Times New Roman"/>
          <w:sz w:val="20"/>
        </w:rPr>
        <w:t xml:space="preserve">Set forth below is a comparison between the rights of a unitholder under the Delaware Partnership Agreement and the Delaware Act, on the one hand, and the rights of a holder of units under the Texas Partnership Agreement and the TBOC, on the other hand. The comparison below is by its nature a summary and does not include descriptions of all of the terms in the Delaware Partnership Agreement or Texas Partnership Agreement or of all statutory provisions in the Delaware Act or the TBOC.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does not reflect any rules of the New York Stock Exchange (the “NYSE”) or any other national exchange that may apply to the Partnership in connection with the matters discussed. This summary does not purport to be a complete discussion of, and is qualified in its entirety by reference to, the Delaware Act, the TBOC, the Delaware Partnership Agreement and the Texas Partnership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Purpose and Term of Existence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left"/>
              <w:rPr>
                <w:b/>
              </w:rPr>
            </w:pPr>
            <w:r>
              <w:rPr>
                <w:b/>
              </w:rPr>
              <w:t>Delaware Partnership</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left"/>
              <w:rPr>
                <w:b/>
              </w:rPr>
            </w:pPr>
            <w:r>
              <w:rPr>
                <w:b/>
              </w:rPr>
              <w:t>Texas Partnership</w:t>
            </w:r>
          </w:p>
        </w:tc>
      </w:tr>
      <w:tr>
        <w:trPr/>
        <w:tc>
          <w:tcPr>
            <w:tcW w:w="5153" w:type="dxa"/>
            <w:tcBorders/>
          </w:tcPr>
          <w:p>
            <w:pPr>
              <w:pStyle w:val="TableContents"/>
              <w:bidi w:val="0"/>
              <w:spacing w:before="0" w:after="0"/>
              <w:jc w:val="left"/>
              <w:rPr>
                <w:rFonts w:ascii="Times New Roman" w:hAnsi="Times New Roman"/>
                <w:sz w:val="20"/>
              </w:rPr>
            </w:pPr>
            <w:r>
              <w:rPr>
                <w:rFonts w:ascii="Times New Roman" w:hAnsi="Times New Roman"/>
                <w:sz w:val="20"/>
              </w:rPr>
              <w:t>Engage in any business activity that is approved by the general partner and that lawfully may be conducted by a limited partnership.</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Until dissolved pursuant to the terms of the Delaware Partnership Agreement.</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left"/>
              <w:rPr>
                <w:rFonts w:ascii="Times New Roman" w:hAnsi="Times New Roman"/>
                <w:sz w:val="20"/>
              </w:rPr>
            </w:pPr>
            <w:r>
              <w:rPr>
                <w:rFonts w:ascii="Times New Roman" w:hAnsi="Times New Roman"/>
                <w:sz w:val="20"/>
              </w:rPr>
              <w:t>Engage in any business activity that is approved by the general partner and that lawfully may be conducted by a limited partnership.</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Until dissolved pursuant to the terms of the Texas Partnership Agreement.</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Distributions of Available Cash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5"/>
        <w:gridCol w:w="210"/>
        <w:gridCol w:w="4840"/>
      </w:tblGrid>
      <w:tr>
        <w:trPr/>
        <w:tc>
          <w:tcPr>
            <w:tcW w:w="515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4840" w:type="dxa"/>
            <w:tcBorders/>
            <w:vAlign w:val="center"/>
          </w:tcPr>
          <w:p>
            <w:pPr>
              <w:pStyle w:val="TableContents"/>
              <w:bidi w:val="0"/>
              <w:spacing w:before="0" w:after="283"/>
              <w:jc w:val="left"/>
              <w:rPr>
                <w:sz w:val="4"/>
                <w:szCs w:val="4"/>
              </w:rPr>
            </w:pPr>
            <w:r>
              <w:rPr>
                <w:sz w:val="4"/>
                <w:szCs w:val="4"/>
              </w:rPr>
            </w:r>
          </w:p>
        </w:tc>
      </w:tr>
      <w:tr>
        <w:trPr/>
        <w:tc>
          <w:tcPr>
            <w:tcW w:w="5155" w:type="dxa"/>
            <w:tcBorders/>
          </w:tcPr>
          <w:p>
            <w:pPr>
              <w:pStyle w:val="TableContents"/>
              <w:bidi w:val="0"/>
              <w:spacing w:before="0" w:after="283"/>
              <w:jc w:val="left"/>
              <w:rPr>
                <w:b/>
              </w:rPr>
            </w:pPr>
            <w:r>
              <w:rPr>
                <w:b/>
              </w:rPr>
              <w:t>Delaware Partnership</w:t>
            </w:r>
          </w:p>
        </w:tc>
        <w:tc>
          <w:tcPr>
            <w:tcW w:w="210" w:type="dxa"/>
            <w:tcBorders/>
            <w:vAlign w:val="bottom"/>
          </w:tcPr>
          <w:p>
            <w:pPr>
              <w:pStyle w:val="TableContents"/>
              <w:bidi w:val="0"/>
              <w:spacing w:before="0" w:after="283"/>
              <w:jc w:val="left"/>
              <w:rPr/>
            </w:pPr>
            <w:r>
              <w:rPr/>
              <w:t>  </w:t>
            </w:r>
          </w:p>
        </w:tc>
        <w:tc>
          <w:tcPr>
            <w:tcW w:w="4840" w:type="dxa"/>
            <w:tcBorders/>
          </w:tcPr>
          <w:p>
            <w:pPr>
              <w:pStyle w:val="TableContents"/>
              <w:bidi w:val="0"/>
              <w:spacing w:before="0" w:after="283"/>
              <w:jc w:val="left"/>
              <w:rPr>
                <w:b/>
              </w:rPr>
            </w:pPr>
            <w:r>
              <w:rPr>
                <w:b/>
              </w:rPr>
              <w:t>Texas Partnership</w:t>
            </w:r>
          </w:p>
        </w:tc>
      </w:tr>
      <w:tr>
        <w:trPr/>
        <w:tc>
          <w:tcPr>
            <w:tcW w:w="5155" w:type="dxa"/>
            <w:tcBorders/>
          </w:tcPr>
          <w:p>
            <w:pPr>
              <w:pStyle w:val="TableContents"/>
              <w:bidi w:val="0"/>
              <w:spacing w:before="0" w:after="283"/>
              <w:jc w:val="left"/>
              <w:rPr/>
            </w:pPr>
            <w:r>
              <w:rPr/>
              <w:t>Within 50 days after the end of each quarter, the Partnership will distribute all of its available cash to the partners.</w:t>
            </w:r>
          </w:p>
        </w:tc>
        <w:tc>
          <w:tcPr>
            <w:tcW w:w="210" w:type="dxa"/>
            <w:tcBorders/>
            <w:vAlign w:val="bottom"/>
          </w:tcPr>
          <w:p>
            <w:pPr>
              <w:pStyle w:val="TableContents"/>
              <w:bidi w:val="0"/>
              <w:spacing w:before="0" w:after="283"/>
              <w:jc w:val="left"/>
              <w:rPr/>
            </w:pPr>
            <w:r>
              <w:rPr/>
              <w:t>  </w:t>
            </w:r>
          </w:p>
        </w:tc>
        <w:tc>
          <w:tcPr>
            <w:tcW w:w="4840" w:type="dxa"/>
            <w:tcBorders/>
          </w:tcPr>
          <w:p>
            <w:pPr>
              <w:pStyle w:val="TableContents"/>
              <w:bidi w:val="0"/>
              <w:spacing w:before="0" w:after="283"/>
              <w:jc w:val="left"/>
              <w:rPr/>
            </w:pPr>
            <w:r>
              <w:rPr/>
              <w:t>Within 50 days after the end of each quarter, the Partnership will distribute all of its available cash to the partners.</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156"/>
        <w:gridCol w:w="209"/>
        <w:gridCol w:w="4840"/>
      </w:tblGrid>
      <w:tr>
        <w:trPr/>
        <w:tc>
          <w:tcPr>
            <w:tcW w:w="5156"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4840" w:type="dxa"/>
            <w:tcBorders/>
            <w:vAlign w:val="center"/>
          </w:tcPr>
          <w:p>
            <w:pPr>
              <w:pStyle w:val="TableContents"/>
              <w:bidi w:val="0"/>
              <w:spacing w:before="0" w:after="283"/>
              <w:jc w:val="left"/>
              <w:rPr>
                <w:sz w:val="4"/>
                <w:szCs w:val="4"/>
              </w:rPr>
            </w:pPr>
            <w:r>
              <w:rPr>
                <w:sz w:val="4"/>
                <w:szCs w:val="4"/>
              </w:rPr>
            </w:r>
          </w:p>
        </w:tc>
      </w:tr>
      <w:tr>
        <w:trPr/>
        <w:tc>
          <w:tcPr>
            <w:tcW w:w="5156" w:type="dxa"/>
            <w:tcBorders/>
          </w:tcPr>
          <w:p>
            <w:pPr>
              <w:pStyle w:val="TableContents"/>
              <w:bidi w:val="0"/>
              <w:spacing w:before="0" w:after="0"/>
              <w:jc w:val="left"/>
              <w:rPr>
                <w:rFonts w:ascii="Times New Roman" w:hAnsi="Times New Roman"/>
                <w:sz w:val="20"/>
              </w:rPr>
            </w:pPr>
            <w:r>
              <w:rPr>
                <w:rFonts w:ascii="Times New Roman" w:hAnsi="Times New Roman"/>
                <w:sz w:val="20"/>
              </w:rPr>
              <w:t>Available cash is defined in the Delaware Partnership Agreement and generally means, with respect to each calendar quarter, all cash and cash equivalents on hand at the end of such quarter, less the amount of cash reserves established by the general partner to:</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provide for the proper conduct of the business (including reserves for future capital expenditures, for anticipated future credit needs of the business and for refunds of collected rates reasonably likely to be refunded as a result of a settlement or hearing relating to Federal Energy Regulatory Commission (“FERC”) rate proceedings);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comply with applicable law, any of the Delaware Partnership’s debt instruments or other agreements;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provide funds for distributions to the Delaware Partnership’s unitholders for any one or more of the next four quarters; or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provide funds for distributions to the Delaware Partnership’s unitholders.</w:t>
            </w:r>
          </w:p>
        </w:tc>
        <w:tc>
          <w:tcPr>
            <w:tcW w:w="209" w:type="dxa"/>
            <w:tcBorders/>
            <w:vAlign w:val="bottom"/>
          </w:tcPr>
          <w:p>
            <w:pPr>
              <w:pStyle w:val="TableContents"/>
              <w:bidi w:val="0"/>
              <w:spacing w:before="0" w:after="283"/>
              <w:jc w:val="left"/>
              <w:rPr/>
            </w:pPr>
            <w:r>
              <w:rPr/>
              <w:t>  </w:t>
            </w:r>
          </w:p>
        </w:tc>
        <w:tc>
          <w:tcPr>
            <w:tcW w:w="4840" w:type="dxa"/>
            <w:tcBorders/>
          </w:tcPr>
          <w:p>
            <w:pPr>
              <w:pStyle w:val="TableContents"/>
              <w:bidi w:val="0"/>
              <w:spacing w:before="0" w:after="0"/>
              <w:jc w:val="left"/>
              <w:rPr>
                <w:rFonts w:ascii="Times New Roman" w:hAnsi="Times New Roman"/>
                <w:sz w:val="20"/>
              </w:rPr>
            </w:pPr>
            <w:r>
              <w:rPr>
                <w:rFonts w:ascii="Times New Roman" w:hAnsi="Times New Roman"/>
                <w:sz w:val="20"/>
              </w:rPr>
              <w:t>Available cash is defined in the Texas Partnership Agreement and generally means, with respect to each calendar quarter, all cash and cash equivalents on hand at the end of such quarter, less the amount of cash reserves established by the general partner to:</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provide for the proper conduct of the business (including reserves for future capital expenditures, for anticipated future credit needs of the business and for refunds of collected rates reasonably likely to be refunded as a result of a settlement or hearing relating to FERC rate proceedings);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comply with applicable law, any of the Texas Partnership’s debt instruments or other agreements;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provide funds for distributions to the Texas Partnership’s unitholders for any one or more of the next four quarters; or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provide funds for distributions to the Texas Partnership’s unitholders.</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Distributions upon Liquidation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6"/>
        <w:gridCol w:w="209"/>
        <w:gridCol w:w="4840"/>
      </w:tblGrid>
      <w:tr>
        <w:trPr/>
        <w:tc>
          <w:tcPr>
            <w:tcW w:w="5156"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4840" w:type="dxa"/>
            <w:tcBorders/>
            <w:vAlign w:val="center"/>
          </w:tcPr>
          <w:p>
            <w:pPr>
              <w:pStyle w:val="TableContents"/>
              <w:bidi w:val="0"/>
              <w:spacing w:before="0" w:after="283"/>
              <w:jc w:val="left"/>
              <w:rPr>
                <w:sz w:val="4"/>
                <w:szCs w:val="4"/>
              </w:rPr>
            </w:pPr>
            <w:r>
              <w:rPr>
                <w:sz w:val="4"/>
                <w:szCs w:val="4"/>
              </w:rPr>
            </w:r>
          </w:p>
        </w:tc>
      </w:tr>
      <w:tr>
        <w:trPr/>
        <w:tc>
          <w:tcPr>
            <w:tcW w:w="5156" w:type="dxa"/>
            <w:tcBorders/>
          </w:tcPr>
          <w:p>
            <w:pPr>
              <w:pStyle w:val="TableContents"/>
              <w:bidi w:val="0"/>
              <w:spacing w:before="0" w:after="283"/>
              <w:jc w:val="left"/>
              <w:rPr>
                <w:b/>
              </w:rPr>
            </w:pPr>
            <w:r>
              <w:rPr>
                <w:b/>
              </w:rPr>
              <w:t>Delaware Partnership</w:t>
            </w:r>
          </w:p>
        </w:tc>
        <w:tc>
          <w:tcPr>
            <w:tcW w:w="209" w:type="dxa"/>
            <w:tcBorders/>
            <w:vAlign w:val="bottom"/>
          </w:tcPr>
          <w:p>
            <w:pPr>
              <w:pStyle w:val="TableContents"/>
              <w:bidi w:val="0"/>
              <w:spacing w:before="0" w:after="283"/>
              <w:jc w:val="left"/>
              <w:rPr/>
            </w:pPr>
            <w:r>
              <w:rPr/>
              <w:t>  </w:t>
            </w:r>
          </w:p>
        </w:tc>
        <w:tc>
          <w:tcPr>
            <w:tcW w:w="4840" w:type="dxa"/>
            <w:tcBorders/>
          </w:tcPr>
          <w:p>
            <w:pPr>
              <w:pStyle w:val="TableContents"/>
              <w:bidi w:val="0"/>
              <w:spacing w:before="0" w:after="283"/>
              <w:jc w:val="left"/>
              <w:rPr>
                <w:b/>
              </w:rPr>
            </w:pPr>
            <w:r>
              <w:rPr>
                <w:b/>
              </w:rPr>
              <w:t>Texas Partnership</w:t>
            </w:r>
          </w:p>
        </w:tc>
      </w:tr>
      <w:tr>
        <w:trPr/>
        <w:tc>
          <w:tcPr>
            <w:tcW w:w="5156" w:type="dxa"/>
            <w:tcBorders/>
          </w:tcPr>
          <w:p>
            <w:pPr>
              <w:pStyle w:val="TableContents"/>
              <w:bidi w:val="0"/>
              <w:spacing w:before="0" w:after="283"/>
              <w:jc w:val="left"/>
              <w:rPr/>
            </w:pPr>
            <w:r>
              <w:rPr/>
              <w:t>Proceeds from the liquidation of the Delaware Partnership’s assets will be used to discharge the liabilities of the Delaware Partnership. Any remaining assets will be distributed to partners per their capital account balances, subject to preferred unit liquidation preferences.</w:t>
            </w:r>
          </w:p>
        </w:tc>
        <w:tc>
          <w:tcPr>
            <w:tcW w:w="209" w:type="dxa"/>
            <w:tcBorders/>
            <w:vAlign w:val="bottom"/>
          </w:tcPr>
          <w:p>
            <w:pPr>
              <w:pStyle w:val="TableContents"/>
              <w:bidi w:val="0"/>
              <w:spacing w:before="0" w:after="283"/>
              <w:jc w:val="left"/>
              <w:rPr/>
            </w:pPr>
            <w:r>
              <w:rPr/>
              <w:t>  </w:t>
            </w:r>
          </w:p>
        </w:tc>
        <w:tc>
          <w:tcPr>
            <w:tcW w:w="4840" w:type="dxa"/>
            <w:tcBorders/>
          </w:tcPr>
          <w:p>
            <w:pPr>
              <w:pStyle w:val="TableContents"/>
              <w:bidi w:val="0"/>
              <w:spacing w:before="0" w:after="283"/>
              <w:jc w:val="left"/>
              <w:rPr/>
            </w:pPr>
            <w:r>
              <w:rPr/>
              <w:t>Proceeds from the liquidation of the Texas Partnership’s assets will be used to discharge the liabilities of the Texas Partnership. Any remaining assets will be distributed to partners per their capital account balances, subject to preferred unit liquidation preferences.</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Merger and Consolidation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4"/>
        <w:gridCol w:w="120"/>
        <w:gridCol w:w="4901"/>
      </w:tblGrid>
      <w:tr>
        <w:trPr/>
        <w:tc>
          <w:tcPr>
            <w:tcW w:w="518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01" w:type="dxa"/>
            <w:tcBorders/>
            <w:vAlign w:val="center"/>
          </w:tcPr>
          <w:p>
            <w:pPr>
              <w:pStyle w:val="TableContents"/>
              <w:bidi w:val="0"/>
              <w:spacing w:before="0" w:after="283"/>
              <w:jc w:val="left"/>
              <w:rPr>
                <w:sz w:val="4"/>
                <w:szCs w:val="4"/>
              </w:rPr>
            </w:pPr>
            <w:r>
              <w:rPr>
                <w:sz w:val="4"/>
                <w:szCs w:val="4"/>
              </w:rPr>
            </w:r>
          </w:p>
        </w:tc>
      </w:tr>
      <w:tr>
        <w:trPr/>
        <w:tc>
          <w:tcPr>
            <w:tcW w:w="5184" w:type="dxa"/>
            <w:tcBorders/>
          </w:tcPr>
          <w:p>
            <w:pPr>
              <w:pStyle w:val="TableContents"/>
              <w:bidi w:val="0"/>
              <w:spacing w:before="0" w:after="283"/>
              <w:jc w:val="left"/>
              <w:rPr>
                <w:b/>
              </w:rPr>
            </w:pPr>
            <w:r>
              <w:rPr>
                <w:b/>
              </w:rPr>
              <w:t>Delaware Partnership</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left"/>
              <w:rPr>
                <w:b/>
              </w:rPr>
            </w:pPr>
            <w:r>
              <w:rPr>
                <w:b/>
              </w:rPr>
              <w:t>Texas Partnership</w:t>
            </w:r>
          </w:p>
        </w:tc>
      </w:tr>
      <w:tr>
        <w:trPr/>
        <w:tc>
          <w:tcPr>
            <w:tcW w:w="5184" w:type="dxa"/>
            <w:tcBorders/>
          </w:tcPr>
          <w:p>
            <w:pPr>
              <w:pStyle w:val="TableContents"/>
              <w:bidi w:val="0"/>
              <w:spacing w:before="0" w:after="283"/>
              <w:jc w:val="left"/>
              <w:rPr/>
            </w:pPr>
            <w:r>
              <w:rPr/>
              <w:t>Merger or consolidation requires the prior consent of the general partner. Once approved by the general partner, unless the merger or consolidation is of a type not requiring limited partner approval, the merger agreement must be submitted to a vote of the limited partners, and the merger agreement will be approved upon receipt of the affirmative vote of the holders of a majority of the outstanding units (unless, in certain circumstances, the affirmative vote of a greater percentage is required). In certain specified circumstances set forth in the Delaware Partnership Agreement, the general partner can convert or merge the Delaware Partnership into another limited liability entity without the approval of the limited partners.</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left"/>
              <w:rPr/>
            </w:pPr>
            <w:r>
              <w:rPr/>
              <w:t>Merger or consolidation requires the prior consent of the general partner. Once approved by the general partner, unless the merger or consolidation is of a type not requiring limited partner approval, the merger agreement must be submitted to a vote of the limited partners, and the merger agreement will be approved upon receipt of the affirmative vote of the holders of a majority of the outstanding units (unless, in certain circumstances, the affirmative vote of a greater percentage is required). In certain specified circumstances set forth in the Texas Partnership Agreement, the general partner can convert or merge the Texas Partnership into another limited liability entity without the approval of the limited partners.</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Disposal of Assets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5"/>
        <w:gridCol w:w="120"/>
        <w:gridCol w:w="4900"/>
      </w:tblGrid>
      <w:tr>
        <w:trPr/>
        <w:tc>
          <w:tcPr>
            <w:tcW w:w="51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00" w:type="dxa"/>
            <w:tcBorders/>
            <w:vAlign w:val="center"/>
          </w:tcPr>
          <w:p>
            <w:pPr>
              <w:pStyle w:val="TableContents"/>
              <w:bidi w:val="0"/>
              <w:spacing w:before="0" w:after="283"/>
              <w:jc w:val="left"/>
              <w:rPr>
                <w:sz w:val="4"/>
                <w:szCs w:val="4"/>
              </w:rPr>
            </w:pPr>
            <w:r>
              <w:rPr>
                <w:sz w:val="4"/>
                <w:szCs w:val="4"/>
              </w:rPr>
            </w:r>
          </w:p>
        </w:tc>
      </w:tr>
      <w:tr>
        <w:trPr/>
        <w:tc>
          <w:tcPr>
            <w:tcW w:w="5185" w:type="dxa"/>
            <w:tcBorders/>
          </w:tcPr>
          <w:p>
            <w:pPr>
              <w:pStyle w:val="TableContents"/>
              <w:bidi w:val="0"/>
              <w:spacing w:before="0" w:after="283"/>
              <w:jc w:val="left"/>
              <w:rPr>
                <w:b/>
              </w:rPr>
            </w:pPr>
            <w:r>
              <w:rPr>
                <w:b/>
              </w:rPr>
              <w:t>Delaware Partnership</w:t>
            </w:r>
          </w:p>
        </w:tc>
        <w:tc>
          <w:tcPr>
            <w:tcW w:w="120" w:type="dxa"/>
            <w:tcBorders/>
            <w:vAlign w:val="bottom"/>
          </w:tcPr>
          <w:p>
            <w:pPr>
              <w:pStyle w:val="TableContents"/>
              <w:bidi w:val="0"/>
              <w:spacing w:before="0" w:after="283"/>
              <w:jc w:val="left"/>
              <w:rPr/>
            </w:pPr>
            <w:r>
              <w:rPr/>
              <w:t>  </w:t>
            </w:r>
          </w:p>
        </w:tc>
        <w:tc>
          <w:tcPr>
            <w:tcW w:w="4900" w:type="dxa"/>
            <w:tcBorders/>
          </w:tcPr>
          <w:p>
            <w:pPr>
              <w:pStyle w:val="TableContents"/>
              <w:bidi w:val="0"/>
              <w:spacing w:before="0" w:after="283"/>
              <w:jc w:val="left"/>
              <w:rPr>
                <w:b/>
              </w:rPr>
            </w:pPr>
            <w:r>
              <w:rPr>
                <w:b/>
              </w:rPr>
              <w:t>Texas Partnership</w:t>
            </w:r>
          </w:p>
        </w:tc>
      </w:tr>
      <w:tr>
        <w:trPr/>
        <w:tc>
          <w:tcPr>
            <w:tcW w:w="5185" w:type="dxa"/>
            <w:tcBorders/>
          </w:tcPr>
          <w:p>
            <w:pPr>
              <w:pStyle w:val="TableContents"/>
              <w:bidi w:val="0"/>
              <w:spacing w:before="0" w:after="283"/>
              <w:jc w:val="left"/>
              <w:rPr/>
            </w:pPr>
            <w:r>
              <w:rPr/>
              <w:t>Except in limited circumstances specified in the Delaware Partnership Agreement, the general partner may not sell, exchange or otherwise dispose of all or substantially all of the assets of the Delaware Partnership in a single transaction or series of related transactions (including by way of merger, consolidation or other combination) without approval of the holders of a majority of the outstanding units. The general partner is able to mortgage, pledge, hypothecate or grant a security interest in all or substantially all of the Delaware Partnership’s assets without approval, and, if such encumbrance is foreclosed or realized upon, sell the Delaware Partnership’s assets in satisfaction of such encumbrance.</w:t>
            </w:r>
          </w:p>
        </w:tc>
        <w:tc>
          <w:tcPr>
            <w:tcW w:w="120" w:type="dxa"/>
            <w:tcBorders/>
            <w:vAlign w:val="bottom"/>
          </w:tcPr>
          <w:p>
            <w:pPr>
              <w:pStyle w:val="TableContents"/>
              <w:bidi w:val="0"/>
              <w:spacing w:before="0" w:after="283"/>
              <w:jc w:val="left"/>
              <w:rPr/>
            </w:pPr>
            <w:r>
              <w:rPr/>
              <w:t>  </w:t>
            </w:r>
          </w:p>
        </w:tc>
        <w:tc>
          <w:tcPr>
            <w:tcW w:w="4900" w:type="dxa"/>
            <w:tcBorders/>
          </w:tcPr>
          <w:p>
            <w:pPr>
              <w:pStyle w:val="TableContents"/>
              <w:bidi w:val="0"/>
              <w:spacing w:before="0" w:after="283"/>
              <w:jc w:val="left"/>
              <w:rPr/>
            </w:pPr>
            <w:r>
              <w:rPr/>
              <w:t>Except in limited circumstances specified in the Texas Partnership Agreement, the general partner may not sell, exchange or otherwise dispose of all or substantially all of the assets of the Texas Partnership in a single transaction or series of related transactions (including by way of merger, consolidation or other combination) without approval of the holders of a majority of the outstanding units. The general partner is able to mortgage, pledge, hypothecate or grant a security interest in all or substantially all of the Texas Partnership’s assets without approval, and, if such encumbrance is foreclosed or realized upon, sell the Texas Partnership’s assets in satisfaction of such encumbrance.</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Rights and Obligations of the Different Classes of Unitholders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3"/>
        <w:gridCol w:w="123"/>
        <w:gridCol w:w="4899"/>
      </w:tblGrid>
      <w:tr>
        <w:trPr/>
        <w:tc>
          <w:tcPr>
            <w:tcW w:w="518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99" w:type="dxa"/>
            <w:tcBorders/>
            <w:vAlign w:val="center"/>
          </w:tcPr>
          <w:p>
            <w:pPr>
              <w:pStyle w:val="TableContents"/>
              <w:bidi w:val="0"/>
              <w:spacing w:before="0" w:after="283"/>
              <w:jc w:val="left"/>
              <w:rPr>
                <w:sz w:val="4"/>
                <w:szCs w:val="4"/>
              </w:rPr>
            </w:pPr>
            <w:r>
              <w:rPr>
                <w:sz w:val="4"/>
                <w:szCs w:val="4"/>
              </w:rPr>
            </w:r>
          </w:p>
        </w:tc>
      </w:tr>
      <w:tr>
        <w:trPr/>
        <w:tc>
          <w:tcPr>
            <w:tcW w:w="5183" w:type="dxa"/>
            <w:tcBorders/>
          </w:tcPr>
          <w:p>
            <w:pPr>
              <w:pStyle w:val="TableContents"/>
              <w:bidi w:val="0"/>
              <w:spacing w:before="0" w:after="283"/>
              <w:jc w:val="left"/>
              <w:rPr>
                <w:b/>
              </w:rPr>
            </w:pPr>
            <w:r>
              <w:rPr>
                <w:b/>
              </w:rPr>
              <w:t>Delaware Partnership</w:t>
            </w:r>
          </w:p>
        </w:tc>
        <w:tc>
          <w:tcPr>
            <w:tcW w:w="123"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b/>
              </w:rPr>
            </w:pPr>
            <w:r>
              <w:rPr>
                <w:b/>
              </w:rPr>
              <w:t>Texas Partnership</w:t>
            </w:r>
          </w:p>
        </w:tc>
      </w:tr>
      <w:tr>
        <w:trPr/>
        <w:tc>
          <w:tcPr>
            <w:tcW w:w="5183" w:type="dxa"/>
            <w:tcBorders/>
          </w:tcPr>
          <w:p>
            <w:pPr>
              <w:pStyle w:val="TableContents"/>
              <w:bidi w:val="0"/>
              <w:spacing w:before="0" w:after="283"/>
              <w:jc w:val="left"/>
              <w:rPr/>
            </w:pPr>
            <w:r>
              <w:rPr/>
              <w:t>Holders of Common Units, Class A Units, Class B Units, Series B Preferred Units, Series G Preferred Units, Series H Preferred Units, Series I Preferred Units and General Partner Units have certain voting, economic and other rights and obligations that are specific and particular to such equityholder’s class of equity.</w:t>
            </w:r>
          </w:p>
        </w:tc>
        <w:tc>
          <w:tcPr>
            <w:tcW w:w="123"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Holders of Common Units, Class A Units, Class B Units, Series B Preferred Units, Series G Preferred Units, Series H Preferred Units, Series I Preferred Units and General Partner Units have certain voting, economic and other rights and obligations that are specific and particular to such equityholder’s class of equity.</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Transfer of General Partner Interest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5"/>
        <w:gridCol w:w="210"/>
        <w:gridCol w:w="4840"/>
      </w:tblGrid>
      <w:tr>
        <w:trPr/>
        <w:tc>
          <w:tcPr>
            <w:tcW w:w="515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4840" w:type="dxa"/>
            <w:tcBorders/>
            <w:vAlign w:val="center"/>
          </w:tcPr>
          <w:p>
            <w:pPr>
              <w:pStyle w:val="TableContents"/>
              <w:bidi w:val="0"/>
              <w:spacing w:before="0" w:after="283"/>
              <w:jc w:val="left"/>
              <w:rPr>
                <w:sz w:val="4"/>
                <w:szCs w:val="4"/>
              </w:rPr>
            </w:pPr>
            <w:r>
              <w:rPr>
                <w:sz w:val="4"/>
                <w:szCs w:val="4"/>
              </w:rPr>
            </w:r>
          </w:p>
        </w:tc>
      </w:tr>
      <w:tr>
        <w:trPr/>
        <w:tc>
          <w:tcPr>
            <w:tcW w:w="5155" w:type="dxa"/>
            <w:tcBorders/>
          </w:tcPr>
          <w:p>
            <w:pPr>
              <w:pStyle w:val="TableContents"/>
              <w:bidi w:val="0"/>
              <w:spacing w:before="0" w:after="283"/>
              <w:jc w:val="left"/>
              <w:rPr>
                <w:b/>
              </w:rPr>
            </w:pPr>
            <w:r>
              <w:rPr>
                <w:b/>
              </w:rPr>
              <w:t>Delaware Partnership</w:t>
            </w:r>
          </w:p>
        </w:tc>
        <w:tc>
          <w:tcPr>
            <w:tcW w:w="210" w:type="dxa"/>
            <w:tcBorders/>
            <w:vAlign w:val="bottom"/>
          </w:tcPr>
          <w:p>
            <w:pPr>
              <w:pStyle w:val="TableContents"/>
              <w:bidi w:val="0"/>
              <w:spacing w:before="0" w:after="283"/>
              <w:jc w:val="left"/>
              <w:rPr/>
            </w:pPr>
            <w:r>
              <w:rPr/>
              <w:t>  </w:t>
            </w:r>
          </w:p>
        </w:tc>
        <w:tc>
          <w:tcPr>
            <w:tcW w:w="4840" w:type="dxa"/>
            <w:tcBorders/>
          </w:tcPr>
          <w:p>
            <w:pPr>
              <w:pStyle w:val="TableContents"/>
              <w:bidi w:val="0"/>
              <w:spacing w:before="0" w:after="283"/>
              <w:jc w:val="left"/>
              <w:rPr>
                <w:b/>
              </w:rPr>
            </w:pPr>
            <w:r>
              <w:rPr>
                <w:b/>
              </w:rPr>
              <w:t>Texas Partnership</w:t>
            </w:r>
          </w:p>
        </w:tc>
      </w:tr>
      <w:tr>
        <w:trPr/>
        <w:tc>
          <w:tcPr>
            <w:tcW w:w="5155" w:type="dxa"/>
            <w:tcBorders/>
          </w:tcPr>
          <w:p>
            <w:pPr>
              <w:pStyle w:val="TableContents"/>
              <w:bidi w:val="0"/>
              <w:spacing w:before="0" w:after="283"/>
              <w:jc w:val="left"/>
              <w:rPr/>
            </w:pPr>
            <w:r>
              <w:rPr/>
              <w:t>The general partner may transfer all or any of its general partner interest at any time without unitholder approval if (i) the transferee assumes the rights and duties of the general partner and is bound by the Delaware Partnership Agreement, (ii) the Delaware Partnership receives an opinion of counsel confirming no loss of limited liability or taxable entity status under Delaware law, and (iii) the transferee agrees to purchase all of the general partner interest in the Delaware Partnership or membership interests of the general partner in each other subsidiary of the Delaware Partnership.</w:t>
            </w:r>
          </w:p>
        </w:tc>
        <w:tc>
          <w:tcPr>
            <w:tcW w:w="210" w:type="dxa"/>
            <w:tcBorders/>
            <w:vAlign w:val="bottom"/>
          </w:tcPr>
          <w:p>
            <w:pPr>
              <w:pStyle w:val="TableContents"/>
              <w:bidi w:val="0"/>
              <w:spacing w:before="0" w:after="283"/>
              <w:jc w:val="left"/>
              <w:rPr/>
            </w:pPr>
            <w:r>
              <w:rPr/>
              <w:t>  </w:t>
            </w:r>
          </w:p>
        </w:tc>
        <w:tc>
          <w:tcPr>
            <w:tcW w:w="4840" w:type="dxa"/>
            <w:tcBorders/>
          </w:tcPr>
          <w:p>
            <w:pPr>
              <w:pStyle w:val="TableContents"/>
              <w:bidi w:val="0"/>
              <w:spacing w:before="0" w:after="283"/>
              <w:jc w:val="left"/>
              <w:rPr/>
            </w:pPr>
            <w:r>
              <w:rPr/>
              <w:t>The general partner may transfer all or any of its general partner interest at any time without unitholder approval if (i) the transferee assumes the rights and duties of the general partner and is bound by the Texas Partnership Agreement, (ii) the Texas Partnership receives an opinion of counsel confirming no loss of limited liability or taxable entity status under Texas law, and (iii) the transferee agrees to purchase all of the general partner interest in the Texas Partnership or membership interests of the general partner in each other subsidiary of the Texas Partnership.</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Withdrawal of General Partner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4"/>
        <w:gridCol w:w="122"/>
        <w:gridCol w:w="4899"/>
      </w:tblGrid>
      <w:tr>
        <w:trPr/>
        <w:tc>
          <w:tcPr>
            <w:tcW w:w="518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99" w:type="dxa"/>
            <w:tcBorders/>
            <w:vAlign w:val="center"/>
          </w:tcPr>
          <w:p>
            <w:pPr>
              <w:pStyle w:val="TableContents"/>
              <w:bidi w:val="0"/>
              <w:spacing w:before="0" w:after="283"/>
              <w:jc w:val="left"/>
              <w:rPr>
                <w:sz w:val="4"/>
                <w:szCs w:val="4"/>
              </w:rPr>
            </w:pPr>
            <w:r>
              <w:rPr>
                <w:sz w:val="4"/>
                <w:szCs w:val="4"/>
              </w:rPr>
            </w:r>
          </w:p>
        </w:tc>
      </w:tr>
      <w:tr>
        <w:trPr/>
        <w:tc>
          <w:tcPr>
            <w:tcW w:w="5184" w:type="dxa"/>
            <w:tcBorders/>
          </w:tcPr>
          <w:p>
            <w:pPr>
              <w:pStyle w:val="TableContents"/>
              <w:bidi w:val="0"/>
              <w:spacing w:before="0" w:after="283"/>
              <w:jc w:val="left"/>
              <w:rPr>
                <w:b/>
              </w:rPr>
            </w:pPr>
            <w:r>
              <w:rPr>
                <w:b/>
              </w:rPr>
              <w:t>Delaware Partnership</w:t>
            </w:r>
          </w:p>
        </w:tc>
        <w:tc>
          <w:tcPr>
            <w:tcW w:w="122"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b/>
              </w:rPr>
            </w:pPr>
            <w:r>
              <w:rPr>
                <w:b/>
              </w:rPr>
              <w:t>Texas Partnership</w:t>
            </w:r>
          </w:p>
        </w:tc>
      </w:tr>
      <w:tr>
        <w:trPr/>
        <w:tc>
          <w:tcPr>
            <w:tcW w:w="5184" w:type="dxa"/>
            <w:tcBorders/>
          </w:tcPr>
          <w:p>
            <w:pPr>
              <w:pStyle w:val="TableContents"/>
              <w:bidi w:val="0"/>
              <w:spacing w:before="0" w:after="283"/>
              <w:jc w:val="left"/>
              <w:rPr/>
            </w:pPr>
            <w:r>
              <w:rPr/>
              <w:t>The general partner may voluntarily withdraw at any time by giving at least 90 days’ advance written notice to unitholders. Upon voluntary withdrawal, the holders of a majority of the outstanding units may elect a successor general partner prior to the effective date of withdrawal.</w:t>
            </w:r>
          </w:p>
        </w:tc>
        <w:tc>
          <w:tcPr>
            <w:tcW w:w="122"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The general partner may voluntarily withdraw at any time by giving at least 90 days’ advance written notice to unitholders. Upon voluntary withdrawal, the holders of a majority of the outstanding units may elect a successor general partner prior to the effective date of withdrawal.</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Removal of General Partner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4"/>
        <w:gridCol w:w="122"/>
        <w:gridCol w:w="4899"/>
      </w:tblGrid>
      <w:tr>
        <w:trPr/>
        <w:tc>
          <w:tcPr>
            <w:tcW w:w="518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99" w:type="dxa"/>
            <w:tcBorders/>
            <w:vAlign w:val="center"/>
          </w:tcPr>
          <w:p>
            <w:pPr>
              <w:pStyle w:val="TableContents"/>
              <w:bidi w:val="0"/>
              <w:spacing w:before="0" w:after="283"/>
              <w:jc w:val="left"/>
              <w:rPr>
                <w:sz w:val="4"/>
                <w:szCs w:val="4"/>
              </w:rPr>
            </w:pPr>
            <w:r>
              <w:rPr>
                <w:sz w:val="4"/>
                <w:szCs w:val="4"/>
              </w:rPr>
            </w:r>
          </w:p>
        </w:tc>
      </w:tr>
      <w:tr>
        <w:trPr/>
        <w:tc>
          <w:tcPr>
            <w:tcW w:w="5184" w:type="dxa"/>
            <w:tcBorders/>
          </w:tcPr>
          <w:p>
            <w:pPr>
              <w:pStyle w:val="TableContents"/>
              <w:bidi w:val="0"/>
              <w:spacing w:before="0" w:after="283"/>
              <w:jc w:val="left"/>
              <w:rPr>
                <w:b/>
              </w:rPr>
            </w:pPr>
            <w:r>
              <w:rPr>
                <w:b/>
              </w:rPr>
              <w:t>Delaware Partnership</w:t>
            </w:r>
          </w:p>
        </w:tc>
        <w:tc>
          <w:tcPr>
            <w:tcW w:w="122"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b/>
              </w:rPr>
            </w:pPr>
            <w:r>
              <w:rPr>
                <w:b/>
              </w:rPr>
              <w:t>Texas Partnership</w:t>
            </w:r>
          </w:p>
        </w:tc>
      </w:tr>
      <w:tr>
        <w:trPr/>
        <w:tc>
          <w:tcPr>
            <w:tcW w:w="5184" w:type="dxa"/>
            <w:tcBorders/>
          </w:tcPr>
          <w:p>
            <w:pPr>
              <w:pStyle w:val="TableContents"/>
              <w:bidi w:val="0"/>
              <w:spacing w:before="0" w:after="283"/>
              <w:jc w:val="left"/>
              <w:rPr/>
            </w:pPr>
            <w:r>
              <w:rPr/>
              <w:t>The general partner may be removed if such removal is approved by a vote of at least 66 2/3% of the outstanding units voting as a single class, including units held by the general partner and its affiliates, and the Delaware Partnership receives an opinion of counsel as to limited liability and tax matters.</w:t>
            </w:r>
          </w:p>
        </w:tc>
        <w:tc>
          <w:tcPr>
            <w:tcW w:w="122"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The general partner may be removed if such removal is approved by a vote of at least 66 2/3% of the outstanding units voting as a single class, including units held by the general partner and its affiliates, and the Texas Partnership receives an opinion of counsel as to limited liability and tax matters.</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Limited Call Rights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4"/>
        <w:gridCol w:w="122"/>
        <w:gridCol w:w="4899"/>
      </w:tblGrid>
      <w:tr>
        <w:trPr/>
        <w:tc>
          <w:tcPr>
            <w:tcW w:w="518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99" w:type="dxa"/>
            <w:tcBorders/>
            <w:vAlign w:val="center"/>
          </w:tcPr>
          <w:p>
            <w:pPr>
              <w:pStyle w:val="TableContents"/>
              <w:bidi w:val="0"/>
              <w:spacing w:before="0" w:after="283"/>
              <w:jc w:val="left"/>
              <w:rPr>
                <w:sz w:val="4"/>
                <w:szCs w:val="4"/>
              </w:rPr>
            </w:pPr>
            <w:r>
              <w:rPr>
                <w:sz w:val="4"/>
                <w:szCs w:val="4"/>
              </w:rPr>
            </w:r>
          </w:p>
        </w:tc>
      </w:tr>
      <w:tr>
        <w:trPr/>
        <w:tc>
          <w:tcPr>
            <w:tcW w:w="5184" w:type="dxa"/>
            <w:tcBorders/>
          </w:tcPr>
          <w:p>
            <w:pPr>
              <w:pStyle w:val="TableContents"/>
              <w:bidi w:val="0"/>
              <w:spacing w:before="0" w:after="283"/>
              <w:jc w:val="left"/>
              <w:rPr>
                <w:b/>
              </w:rPr>
            </w:pPr>
            <w:r>
              <w:rPr>
                <w:b/>
              </w:rPr>
              <w:t>Delaware Partnership</w:t>
            </w:r>
          </w:p>
        </w:tc>
        <w:tc>
          <w:tcPr>
            <w:tcW w:w="122"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b/>
              </w:rPr>
            </w:pPr>
            <w:r>
              <w:rPr>
                <w:b/>
              </w:rPr>
              <w:t>Texas Partnership</w:t>
            </w:r>
          </w:p>
        </w:tc>
      </w:tr>
      <w:tr>
        <w:trPr/>
        <w:tc>
          <w:tcPr>
            <w:tcW w:w="5184" w:type="dxa"/>
            <w:tcBorders/>
          </w:tcPr>
          <w:p>
            <w:pPr>
              <w:pStyle w:val="TableContents"/>
              <w:bidi w:val="0"/>
              <w:spacing w:before="0" w:after="0"/>
              <w:jc w:val="left"/>
              <w:rPr>
                <w:rFonts w:ascii="Times New Roman" w:hAnsi="Times New Roman"/>
                <w:sz w:val="20"/>
              </w:rPr>
            </w:pPr>
            <w:r>
              <w:rPr>
                <w:rFonts w:ascii="Times New Roman" w:hAnsi="Times New Roman"/>
                <w:sz w:val="20"/>
              </w:rPr>
              <w:t>If at any time the general partner and its affiliates own more than 90% of the issued and outstanding limited partner interests of any class, the general partner has the right, assignable to the Delaware Partnership or any of the general partner’s affiliates, to purchase all, but not less than all, of the outstanding units of that class held by non-affiliated persons, as of a record date to be selected by the general partner, on at least 10, but not more than 60, days’ notice. The purchase price in the event of this purchase is the greater of:</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highest price paid by the general partner or any of its affiliates for any limited partner interests of the class purchased within the 90 days preceding the date on which the general partner first mails notice of its election to purchase those limited partner interests; and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average of the daily closing prices of the partnership securities of such class over the 20 consecutive trading days preceding the date that is three days before the date the notice is mailed.</w:t>
            </w:r>
          </w:p>
        </w:tc>
        <w:tc>
          <w:tcPr>
            <w:tcW w:w="122"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If at any time the general partner and its affiliates own more than 90% of the issued and outstanding limited partner interests of any class, the general partner has the right, assignable to the Texas Partnership or any of the general partner’s affiliates, to purchase all, but not less than all, of the outstanding units of that class held by non-affiliated persons, as of a record date to be selected by the general partner, on at least 10, but not more than 60, days’ notice. The purchase price in the event of this purchase is the greater of:</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highest price paid by the general partner or any of its affiliates for any limited partner interests of the class purchased within the 90 days preceding the date on which the general partner first mails notice of its election to purchase those limited partner interests; and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average of the daily closing prices of the partnership securities of such class over the 20 consecutive trading days preceding the date that is three days before the date the notice is mailed.</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Partnership Agreement Amendment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4"/>
        <w:gridCol w:w="122"/>
        <w:gridCol w:w="4899"/>
      </w:tblGrid>
      <w:tr>
        <w:trPr/>
        <w:tc>
          <w:tcPr>
            <w:tcW w:w="518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99" w:type="dxa"/>
            <w:tcBorders/>
            <w:vAlign w:val="center"/>
          </w:tcPr>
          <w:p>
            <w:pPr>
              <w:pStyle w:val="TableContents"/>
              <w:bidi w:val="0"/>
              <w:spacing w:before="0" w:after="283"/>
              <w:jc w:val="left"/>
              <w:rPr>
                <w:sz w:val="4"/>
                <w:szCs w:val="4"/>
              </w:rPr>
            </w:pPr>
            <w:r>
              <w:rPr>
                <w:sz w:val="4"/>
                <w:szCs w:val="4"/>
              </w:rPr>
            </w:r>
          </w:p>
        </w:tc>
      </w:tr>
      <w:tr>
        <w:trPr/>
        <w:tc>
          <w:tcPr>
            <w:tcW w:w="518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Delaware Partnership</w:t>
            </w:r>
          </w:p>
        </w:tc>
        <w:tc>
          <w:tcPr>
            <w:tcW w:w="122" w:type="dxa"/>
            <w:tcBorders/>
            <w:vAlign w:val="bottom"/>
          </w:tcPr>
          <w:p>
            <w:pPr>
              <w:pStyle w:val="TableContents"/>
              <w:bidi w:val="0"/>
              <w:spacing w:before="0" w:after="283"/>
              <w:jc w:val="left"/>
              <w:rPr/>
            </w:pPr>
            <w:r>
              <w:rPr/>
              <w:t>  </w:t>
            </w:r>
          </w:p>
        </w:tc>
        <w:tc>
          <w:tcPr>
            <w:tcW w:w="489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Texas Partnership</w:t>
            </w:r>
          </w:p>
        </w:tc>
      </w:tr>
      <w:tr>
        <w:trPr/>
        <w:tc>
          <w:tcPr>
            <w:tcW w:w="5184" w:type="dxa"/>
            <w:tcBorders/>
          </w:tcPr>
          <w:p>
            <w:pPr>
              <w:pStyle w:val="TableContents"/>
              <w:bidi w:val="0"/>
              <w:spacing w:before="0" w:after="0"/>
              <w:jc w:val="left"/>
              <w:rPr>
                <w:rFonts w:ascii="Times New Roman" w:hAnsi="Times New Roman"/>
                <w:sz w:val="20"/>
              </w:rPr>
            </w:pPr>
            <w:r>
              <w:rPr>
                <w:rFonts w:ascii="Times New Roman" w:hAnsi="Times New Roman"/>
                <w:sz w:val="20"/>
              </w:rPr>
              <w:t>Amendments to the Delaware Partnership Agreement may be proposed only by the general partner. However, the general partner will have no duty or obligation to propose any amendment and may decline to do so free of any fiduciary duty or obligation whatsoever to the Delaware Partnership or the limited partners, including any duty to act in good faith or in the best interests of the Delaware Partnership or the limited partners. In order to adopt a proposed amendment, other than the amendments discussed below, the general partner is required to seek written approval of the holders of the number of the Delaware Partnership’s units required to approve the amendment or to call a meeting of the limited partners to consider and vote upon the proposed amendment. Proposed amendments submitted to the unitholders must be approved by a requisite percentage of unitholders.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Delaware Partnership’s general partner may generally make amendments to the Delaware Partnership Agreement without the approval of any limited partner to reflect:</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 change in the Delaware Partnership’s name, the location of its principal place of business, its registered agent or its registered office;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admission, substitution, withdrawal or removal of partners in accordance with the Delaware Partnership Agreement;</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 change that the general partner determines to be necessary or appropriate to qualify or continue the qualification of the Delaware Partnership as a limited partnership or other entity in which the limited partners have limited liability under the laws of any state or to ensure that neither the Partnership nor any of its subsidiaries will be treated as an association taxable as a corporation or otherwise taxed as an entity for U.S. federal income tax purposes;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 change that the general partner determines (i) does not adversely affect the limited partners in any material respect, (ii) to be necessary or appropriate to (A) satisfy any requirements, conditions or guidelines contained in any opinion, directive, order, ruling or regulation of any federal or state agency or judicial authority or contained in any federal or state statute (including the Delaware Act) or (B) facilitate the trading of the limited partner interests or comply with any rule, regulation, guideline or requirement of any national securities exchange on which the limited partner interests are or will be listed, (iii) to be necessary or appropriate in connection with action taken by the general partner to effect a combination or split of the Delaware Partnership’s securities or (iv) to be required to effect the intent expressed in the Delaware Partnership’s Registration Statement or the intent of the provisions of the Delaware Partnership Agreement;</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 change in the Delaware Partnership’s fiscal year or taxable year and related changes;</w:t>
            </w:r>
          </w:p>
        </w:tc>
        <w:tc>
          <w:tcPr>
            <w:tcW w:w="122"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Amendments to the Texas Partnership Agreement may be proposed only by the general partner. However, the general partner will have no duty or obligation to propose any amendment and may decline to do so free of any fiduciary duty or obligation whatsoever to the Texas Partnership or the limited partners, including any duty to act in good faith or in the best interests of the Texas Partnership or the limited partners. In order to adopt a proposed amendment, other than the amendments discussed below, the general partner is required to seek written approval of the holders of the number of the Texas Partnership’s units required to approve the amendment or to call a meeting of the limited partners to consider and vote upon the proposed amendment. Proposed amendments submitted to the unitholders must be approved by a requisite percentage of unitholders.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Texas Partnership’s general partner may generally make amendments to the Texas Partnership Agreement without the approval of any limited partner to reflect:</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 change in the Texas Partnership’s name, the location of its principal place of business, its registered agent or its registered office;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admission, substitution, withdrawal or removal of partners in accordance with the Texas Partnership Agreement;</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 change that the general partner determines to be necessary or appropriate to qualify or continue the qualification of the Texas Partnership as a limited partnership or other entity in which the limited partners have limited liability under the laws of any state or to ensure that neither the Partnership nor any of its subsidiaries will be treated as an association taxable as a corporation or otherwise taxed as an entity for U.S. federal income tax purposes;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 change that the general partner determines (i) does not adversely affect the limited partners in any material respect, (ii) to be necessary or appropriate to (A) satisfy any requirements, conditions or guidelines contained in any opinion, directive, order, ruling or regulation of any federal or state agency or judicial authority or contained in any federal or state statute (including the TBOC) or (B) facilitate the trading of the limited partner interests or comply with any rule, regulation, guideline or requirement of any national securities exchange on which the limited partner interests are or will be listed, (iii) to be necessary or appropriate in connection with action taken by the general partner to effect a combination or split of the Texas Partnership’s securities or (iv) to be required to effect the intent expressed in the Texas Partnership’s Registration Statement or the intent of the provisions of the Texas Partnership Agreement;</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 change in the Texas Partnership’s fiscal year or taxable year and related changes;</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185"/>
        <w:gridCol w:w="120"/>
        <w:gridCol w:w="4900"/>
      </w:tblGrid>
      <w:tr>
        <w:trPr/>
        <w:tc>
          <w:tcPr>
            <w:tcW w:w="51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00" w:type="dxa"/>
            <w:tcBorders/>
            <w:vAlign w:val="center"/>
          </w:tcPr>
          <w:p>
            <w:pPr>
              <w:pStyle w:val="TableContents"/>
              <w:bidi w:val="0"/>
              <w:spacing w:before="0" w:after="283"/>
              <w:jc w:val="left"/>
              <w:rPr>
                <w:sz w:val="4"/>
                <w:szCs w:val="4"/>
              </w:rPr>
            </w:pPr>
            <w:r>
              <w:rPr>
                <w:sz w:val="4"/>
                <w:szCs w:val="4"/>
              </w:rPr>
            </w:r>
          </w:p>
        </w:tc>
      </w:tr>
      <w:tr>
        <w:trPr/>
        <w:tc>
          <w:tcPr>
            <w:tcW w:w="5185"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 amendment that is necessary, in the opinion of the Delaware Partnership’s counsel, to prevent the Delaware Partnership or its general partner or its general partner’s directors, officers, agents or trustees from in any manner being subjected to the provisions of the Investment Company Act of 1940, the Investment Advisers Act of 1940 or “plan asset” regulations adopted under ERISA whether or not substantially similar to plan asset regulations currently applied or proposed;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 amendment that the Delaware Partnership’s general partner determines to be necessary or appropriate in connection with the authorization or issuance of additional partnership interests;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any amendment expressly permitted in the Delaware Partnership Agreement to be made by the general partner acting alone;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 amendment effected, necessitated or contemplated by a merger agreement that has been approved under the terms of the Delaware Partnership Agreement;</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any amendment that the general partner determines to be necessary or appropriate for the formation by the Delaware Partnership of, or its investment in, any corporation, partnership or other entity, as otherwise permitted by the Delaware Partnership Agreement;</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conversions into, mergers with or conveyances to another limited liability entity pursuant to the Delaware Partnership Agreement;</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 change in form of the transfer application or the taxation certificate of the limited partner interests determined by the general partner to be necessary or appropriate; or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any other amendments substantially similar to any of the matters described above.</w:t>
            </w:r>
          </w:p>
        </w:tc>
        <w:tc>
          <w:tcPr>
            <w:tcW w:w="120" w:type="dxa"/>
            <w:tcBorders/>
            <w:vAlign w:val="bottom"/>
          </w:tcPr>
          <w:p>
            <w:pPr>
              <w:pStyle w:val="TableContents"/>
              <w:bidi w:val="0"/>
              <w:spacing w:before="0" w:after="283"/>
              <w:jc w:val="left"/>
              <w:rPr/>
            </w:pPr>
            <w:r>
              <w:rPr/>
              <w:t>  </w:t>
            </w:r>
          </w:p>
        </w:tc>
        <w:tc>
          <w:tcPr>
            <w:tcW w:w="4900"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 amendment that is necessary, in the opinion of the Texas Partnership’s counsel, to prevent the Texas Partnership or its general partner or its general partner’s directors, officers, agents or trustees from in any manner being subjected to the provisions of the Investment Company Act of 1940, the Investment Advisers Act of 1940 or “plan asset” regulations adopted under ERISA whether or not substantially similar to plan asset regulations currently applied or proposed;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 amendment that the Texas Partnership’s general partner determines to be necessary or appropriate in connection with the authorization or issuance of additional partnership interests;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any amendment expressly permitted in the Texas Partnership Agreement to be made by the general partner acting alone;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 amendment effected, necessitated or contemplated by a merger agreement that has been approved under the terms of the Texas Partnership Agreement;</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any amendment that the general partner determines to be necessary or appropriate for the formation by the Texas Partnership of, or its investment in, any corporation, partnership or other entity, as otherwise permitted by the Texas Partnership Agreement;</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conversions into, mergers with or conveyances to another limited liability entity pursuant to the Texas Partnership Agreement;</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 change in form of the transfer application or the taxation certificate of the limited partner interests determined by the general partner to be necessary or appropriate; or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any other amendments substantially similar to any of the matters described above.</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Dissolution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7"/>
        <w:gridCol w:w="120"/>
        <w:gridCol w:w="4898"/>
      </w:tblGrid>
      <w:tr>
        <w:trPr/>
        <w:tc>
          <w:tcPr>
            <w:tcW w:w="518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98" w:type="dxa"/>
            <w:tcBorders/>
            <w:vAlign w:val="center"/>
          </w:tcPr>
          <w:p>
            <w:pPr>
              <w:pStyle w:val="TableContents"/>
              <w:bidi w:val="0"/>
              <w:spacing w:before="0" w:after="283"/>
              <w:jc w:val="left"/>
              <w:rPr>
                <w:sz w:val="4"/>
                <w:szCs w:val="4"/>
              </w:rPr>
            </w:pPr>
            <w:r>
              <w:rPr>
                <w:sz w:val="4"/>
                <w:szCs w:val="4"/>
              </w:rPr>
            </w:r>
          </w:p>
        </w:tc>
      </w:tr>
      <w:tr>
        <w:trPr/>
        <w:tc>
          <w:tcPr>
            <w:tcW w:w="518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Delaware Partnership</w:t>
            </w:r>
          </w:p>
        </w:tc>
        <w:tc>
          <w:tcPr>
            <w:tcW w:w="120" w:type="dxa"/>
            <w:tcBorders/>
            <w:vAlign w:val="bottom"/>
          </w:tcPr>
          <w:p>
            <w:pPr>
              <w:pStyle w:val="TableContents"/>
              <w:bidi w:val="0"/>
              <w:spacing w:before="0" w:after="283"/>
              <w:jc w:val="left"/>
              <w:rPr/>
            </w:pPr>
            <w:r>
              <w:rPr/>
              <w:t>  </w:t>
            </w:r>
          </w:p>
        </w:tc>
        <w:tc>
          <w:tcPr>
            <w:tcW w:w="489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Texas Partnership</w:t>
            </w:r>
          </w:p>
        </w:tc>
      </w:tr>
      <w:tr>
        <w:trPr/>
        <w:tc>
          <w:tcPr>
            <w:tcW w:w="5187" w:type="dxa"/>
            <w:tcBorders/>
          </w:tcPr>
          <w:p>
            <w:pPr>
              <w:pStyle w:val="TableContents"/>
              <w:bidi w:val="0"/>
              <w:spacing w:before="0" w:after="0"/>
              <w:jc w:val="left"/>
              <w:rPr>
                <w:rFonts w:ascii="Times New Roman" w:hAnsi="Times New Roman"/>
                <w:sz w:val="20"/>
              </w:rPr>
            </w:pPr>
            <w:r>
              <w:rPr>
                <w:rFonts w:ascii="Times New Roman" w:hAnsi="Times New Roman"/>
                <w:sz w:val="20"/>
              </w:rPr>
              <w:t>The Delaware Partnership will dissolve and its affairs will be wound up, if:</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general partner withdraws and no successor is elected;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general partner elects to dissolve the Delaware Partnership and the election is approved by a majority of unitholders;</w:t>
            </w:r>
          </w:p>
        </w:tc>
        <w:tc>
          <w:tcPr>
            <w:tcW w:w="120" w:type="dxa"/>
            <w:tcBorders/>
            <w:vAlign w:val="bottom"/>
          </w:tcPr>
          <w:p>
            <w:pPr>
              <w:pStyle w:val="TableContents"/>
              <w:bidi w:val="0"/>
              <w:spacing w:before="0" w:after="283"/>
              <w:jc w:val="left"/>
              <w:rPr/>
            </w:pPr>
            <w:r>
              <w:rPr/>
              <w:t>  </w:t>
            </w:r>
          </w:p>
        </w:tc>
        <w:tc>
          <w:tcPr>
            <w:tcW w:w="4898" w:type="dxa"/>
            <w:tcBorders/>
          </w:tcPr>
          <w:p>
            <w:pPr>
              <w:pStyle w:val="TableContents"/>
              <w:bidi w:val="0"/>
              <w:spacing w:before="0" w:after="0"/>
              <w:jc w:val="left"/>
              <w:rPr>
                <w:rFonts w:ascii="Times New Roman" w:hAnsi="Times New Roman"/>
                <w:sz w:val="20"/>
              </w:rPr>
            </w:pPr>
            <w:r>
              <w:rPr>
                <w:rFonts w:ascii="Times New Roman" w:hAnsi="Times New Roman"/>
                <w:sz w:val="20"/>
              </w:rPr>
              <w:t>The Texas Partnership will dissolve and its affairs will be wound up, if:</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general partner withdraws and no successor is elected;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general partner elects to dissolve the Texas Partnership and the election is approved by a majority of unitholders;</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187"/>
        <w:gridCol w:w="120"/>
        <w:gridCol w:w="4898"/>
      </w:tblGrid>
      <w:tr>
        <w:trPr/>
        <w:tc>
          <w:tcPr>
            <w:tcW w:w="518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98" w:type="dxa"/>
            <w:tcBorders/>
            <w:vAlign w:val="center"/>
          </w:tcPr>
          <w:p>
            <w:pPr>
              <w:pStyle w:val="TableContents"/>
              <w:bidi w:val="0"/>
              <w:spacing w:before="0" w:after="283"/>
              <w:jc w:val="left"/>
              <w:rPr>
                <w:sz w:val="4"/>
                <w:szCs w:val="4"/>
              </w:rPr>
            </w:pPr>
            <w:r>
              <w:rPr>
                <w:sz w:val="4"/>
                <w:szCs w:val="4"/>
              </w:rPr>
            </w:r>
          </w:p>
        </w:tc>
      </w:tr>
      <w:tr>
        <w:trPr/>
        <w:tc>
          <w:tcPr>
            <w:tcW w:w="5187"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there is an entry of a judicial decree for dissolution pursuant to the Delaware Act; or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at any time there are no limited partners, unless the Delaware Partnership is continued without dissolution in accordance with the Delaware Act.</w:t>
            </w:r>
          </w:p>
        </w:tc>
        <w:tc>
          <w:tcPr>
            <w:tcW w:w="120" w:type="dxa"/>
            <w:tcBorders/>
            <w:vAlign w:val="bottom"/>
          </w:tcPr>
          <w:p>
            <w:pPr>
              <w:pStyle w:val="TableContents"/>
              <w:bidi w:val="0"/>
              <w:spacing w:before="0" w:after="283"/>
              <w:jc w:val="left"/>
              <w:rPr/>
            </w:pPr>
            <w:r>
              <w:rPr/>
              <w:t>  </w:t>
            </w:r>
          </w:p>
        </w:tc>
        <w:tc>
          <w:tcPr>
            <w:tcW w:w="4898"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there is an entry of a judicial decree for dissolution pursuant to the TBOC; or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at any time there are no limited partners, unless the Texas Partnership is continued without dissolution in accordance with the TBOC.</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Management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5"/>
        <w:gridCol w:w="123"/>
        <w:gridCol w:w="4897"/>
      </w:tblGrid>
      <w:tr>
        <w:trPr/>
        <w:tc>
          <w:tcPr>
            <w:tcW w:w="518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97" w:type="dxa"/>
            <w:tcBorders/>
            <w:vAlign w:val="center"/>
          </w:tcPr>
          <w:p>
            <w:pPr>
              <w:pStyle w:val="TableContents"/>
              <w:bidi w:val="0"/>
              <w:spacing w:before="0" w:after="283"/>
              <w:jc w:val="left"/>
              <w:rPr>
                <w:sz w:val="4"/>
                <w:szCs w:val="4"/>
              </w:rPr>
            </w:pPr>
            <w:r>
              <w:rPr>
                <w:sz w:val="4"/>
                <w:szCs w:val="4"/>
              </w:rPr>
            </w:r>
          </w:p>
        </w:tc>
      </w:tr>
      <w:tr>
        <w:trPr/>
        <w:tc>
          <w:tcPr>
            <w:tcW w:w="518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Delaware Partnership</w:t>
            </w:r>
          </w:p>
        </w:tc>
        <w:tc>
          <w:tcPr>
            <w:tcW w:w="123" w:type="dxa"/>
            <w:tcBorders/>
            <w:vAlign w:val="bottom"/>
          </w:tcPr>
          <w:p>
            <w:pPr>
              <w:pStyle w:val="TableContents"/>
              <w:bidi w:val="0"/>
              <w:spacing w:before="0" w:after="283"/>
              <w:jc w:val="left"/>
              <w:rPr/>
            </w:pPr>
            <w:r>
              <w:rPr/>
              <w:t>  </w:t>
            </w:r>
          </w:p>
        </w:tc>
        <w:tc>
          <w:tcPr>
            <w:tcW w:w="489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Texas Partnership</w:t>
            </w:r>
          </w:p>
        </w:tc>
      </w:tr>
      <w:tr>
        <w:trPr/>
        <w:tc>
          <w:tcPr>
            <w:tcW w:w="5185" w:type="dxa"/>
            <w:tcBorders/>
          </w:tcPr>
          <w:p>
            <w:pPr>
              <w:pStyle w:val="TableContents"/>
              <w:bidi w:val="0"/>
              <w:spacing w:before="0" w:after="0"/>
              <w:jc w:val="left"/>
              <w:rPr>
                <w:rFonts w:ascii="Times New Roman" w:hAnsi="Times New Roman"/>
                <w:sz w:val="20"/>
              </w:rPr>
            </w:pPr>
            <w:r>
              <w:rPr>
                <w:rFonts w:ascii="Times New Roman" w:hAnsi="Times New Roman"/>
                <w:sz w:val="20"/>
              </w:rPr>
              <w:t>The general partner will conduct, direct and manage all of the Delaware Partnership’s activities. Except as specifically granted in the Delaware Partnership Agreement, all management powers over the business and affairs of the Delaware Partnership will be exclusively vested in the general partner, and no limited partner or assignee will have any management power over the business and affairs of the Delaware Partnership. Subject to certain restrictions contained in the Delaware Partnership Agreement, the general partner has full power and authority to do all things and on such terms as it, in its sole discretion, may deem necessary or appropriate to conduct the business of the Delaware Partnership.</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Common Unitholders of the Delaware Partnership have no right to elect the general partner or the board of directors of the general partner. The general partner has the right to appoint and replace the members of the board of directors, including all of its independent directors. In addition, the limited partners are limited in their ability to remove the general partner.</w:t>
            </w:r>
          </w:p>
        </w:tc>
        <w:tc>
          <w:tcPr>
            <w:tcW w:w="123" w:type="dxa"/>
            <w:tcBorders/>
            <w:vAlign w:val="bottom"/>
          </w:tcPr>
          <w:p>
            <w:pPr>
              <w:pStyle w:val="TableContents"/>
              <w:bidi w:val="0"/>
              <w:spacing w:before="0" w:after="283"/>
              <w:jc w:val="left"/>
              <w:rPr/>
            </w:pPr>
            <w:r>
              <w:rPr/>
              <w:t>  </w:t>
            </w:r>
          </w:p>
        </w:tc>
        <w:tc>
          <w:tcPr>
            <w:tcW w:w="4897" w:type="dxa"/>
            <w:tcBorders/>
          </w:tcPr>
          <w:p>
            <w:pPr>
              <w:pStyle w:val="TableContents"/>
              <w:bidi w:val="0"/>
              <w:spacing w:before="0" w:after="0"/>
              <w:jc w:val="left"/>
              <w:rPr>
                <w:rFonts w:ascii="Times New Roman" w:hAnsi="Times New Roman"/>
                <w:sz w:val="20"/>
              </w:rPr>
            </w:pPr>
            <w:r>
              <w:rPr>
                <w:rFonts w:ascii="Times New Roman" w:hAnsi="Times New Roman"/>
                <w:sz w:val="20"/>
              </w:rPr>
              <w:t>The general partner will conduct, direct and manage all of the Texas Partnership’s activities. Except as specifically granted in the Texas Partnership Agreement, all management powers over the business and affairs of the Texas Partnership will be exclusively vested in the general partner, and no limited partner or assignee will have any management power over the business and affairs of the Texas Partnership. Subject to certain restrictions contained in the Texas Partnership Agreement, the general partner has full power and authority to do all things and on such terms as it, in its sole discretion, may deem necessary or appropriate to conduct the business of the Texas Partnership.</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Common Unitholders of the Texas Partnership have no right to elect the general partner or the board of directors of the general partner. The general partner has the right to appoint and replace the members of the board of directors, including all of its independent directors. In addition, the limited partners are limited in their ability to remove the general partner.</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Issuance of Limited Partner Interests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3"/>
        <w:gridCol w:w="123"/>
        <w:gridCol w:w="4899"/>
      </w:tblGrid>
      <w:tr>
        <w:trPr/>
        <w:tc>
          <w:tcPr>
            <w:tcW w:w="518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99" w:type="dxa"/>
            <w:tcBorders/>
            <w:vAlign w:val="center"/>
          </w:tcPr>
          <w:p>
            <w:pPr>
              <w:pStyle w:val="TableContents"/>
              <w:bidi w:val="0"/>
              <w:spacing w:before="0" w:after="283"/>
              <w:jc w:val="left"/>
              <w:rPr>
                <w:sz w:val="4"/>
                <w:szCs w:val="4"/>
              </w:rPr>
            </w:pPr>
            <w:r>
              <w:rPr>
                <w:sz w:val="4"/>
                <w:szCs w:val="4"/>
              </w:rPr>
            </w:r>
          </w:p>
        </w:tc>
      </w:tr>
      <w:tr>
        <w:trPr/>
        <w:tc>
          <w:tcPr>
            <w:tcW w:w="518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Delaware Partnership</w:t>
            </w:r>
          </w:p>
        </w:tc>
        <w:tc>
          <w:tcPr>
            <w:tcW w:w="123" w:type="dxa"/>
            <w:tcBorders/>
            <w:vAlign w:val="bottom"/>
          </w:tcPr>
          <w:p>
            <w:pPr>
              <w:pStyle w:val="TableContents"/>
              <w:bidi w:val="0"/>
              <w:spacing w:before="0" w:after="283"/>
              <w:jc w:val="left"/>
              <w:rPr/>
            </w:pPr>
            <w:r>
              <w:rPr/>
              <w:t>  </w:t>
            </w:r>
          </w:p>
        </w:tc>
        <w:tc>
          <w:tcPr>
            <w:tcW w:w="489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Texas Partnership</w:t>
            </w:r>
          </w:p>
        </w:tc>
      </w:tr>
      <w:tr>
        <w:trPr/>
        <w:tc>
          <w:tcPr>
            <w:tcW w:w="5183" w:type="dxa"/>
            <w:tcBorders/>
          </w:tcPr>
          <w:p>
            <w:pPr>
              <w:pStyle w:val="TableContents"/>
              <w:bidi w:val="0"/>
              <w:spacing w:before="0" w:after="283"/>
              <w:jc w:val="left"/>
              <w:rPr/>
            </w:pPr>
            <w:r>
              <w:rPr/>
              <w:t>The Delaware Partnership may issue an unlimited number of additional limited partner interests, including securities senior to the Delaware Partnership’s Common Units, without the approval of existing unitholders.</w:t>
            </w:r>
          </w:p>
        </w:tc>
        <w:tc>
          <w:tcPr>
            <w:tcW w:w="123"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The Texas Partnership may issue an unlimited number of additional limited partner interests, including securities senior to the Texas Partnership’s Common Units, without the approval of existing unitholders.</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Transfer of Units; Status as a Limited Partner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6"/>
        <w:gridCol w:w="120"/>
        <w:gridCol w:w="4899"/>
      </w:tblGrid>
      <w:tr>
        <w:trPr/>
        <w:tc>
          <w:tcPr>
            <w:tcW w:w="518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99" w:type="dxa"/>
            <w:tcBorders/>
            <w:vAlign w:val="center"/>
          </w:tcPr>
          <w:p>
            <w:pPr>
              <w:pStyle w:val="TableContents"/>
              <w:bidi w:val="0"/>
              <w:spacing w:before="0" w:after="283"/>
              <w:jc w:val="left"/>
              <w:rPr>
                <w:sz w:val="4"/>
                <w:szCs w:val="4"/>
              </w:rPr>
            </w:pPr>
            <w:r>
              <w:rPr>
                <w:sz w:val="4"/>
                <w:szCs w:val="4"/>
              </w:rPr>
            </w:r>
          </w:p>
        </w:tc>
      </w:tr>
      <w:tr>
        <w:trPr/>
        <w:tc>
          <w:tcPr>
            <w:tcW w:w="518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Delaware Partnership</w:t>
            </w:r>
          </w:p>
        </w:tc>
        <w:tc>
          <w:tcPr>
            <w:tcW w:w="120" w:type="dxa"/>
            <w:tcBorders/>
            <w:vAlign w:val="bottom"/>
          </w:tcPr>
          <w:p>
            <w:pPr>
              <w:pStyle w:val="TableContents"/>
              <w:bidi w:val="0"/>
              <w:spacing w:before="0" w:after="283"/>
              <w:jc w:val="left"/>
              <w:rPr/>
            </w:pPr>
            <w:r>
              <w:rPr/>
              <w:t>  </w:t>
            </w:r>
          </w:p>
        </w:tc>
        <w:tc>
          <w:tcPr>
            <w:tcW w:w="489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Texas Partnership</w:t>
            </w:r>
          </w:p>
        </w:tc>
      </w:tr>
      <w:tr>
        <w:trPr/>
        <w:tc>
          <w:tcPr>
            <w:tcW w:w="5186" w:type="dxa"/>
            <w:tcBorders/>
          </w:tcPr>
          <w:p>
            <w:pPr>
              <w:pStyle w:val="TableContents"/>
              <w:bidi w:val="0"/>
              <w:spacing w:before="0" w:after="0"/>
              <w:jc w:val="left"/>
              <w:rPr>
                <w:rFonts w:ascii="Times New Roman" w:hAnsi="Times New Roman"/>
                <w:sz w:val="20"/>
              </w:rPr>
            </w:pPr>
            <w:r>
              <w:rPr>
                <w:rFonts w:ascii="Times New Roman" w:hAnsi="Times New Roman"/>
                <w:sz w:val="20"/>
              </w:rPr>
              <w:t>The Delaware Partnership shall not recognize any transfer of limited partner interests until (i) the certificates evidencing such interests are surrendered and (ii) following a notice to FERC, such certificates are accompanied by a duly executed transfer application and accompanying taxation certification.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Following a FERC notice, a transferee who has completed and delivered a transfer application pursuant to the Delaware Partnership Agreement is deemed to have: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requested admission as a substituted limited partner pursuant to the Delaware Partnership Agreement;</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agreed to comply with and be bound by and to have executed the Delaware Partnership Agreement;</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represented and warranted that such transferee has the right, power and authority and, if an individual, the capacity to enter into the Delaware Partnership Agreement;</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granted the powers of attorney set forth in the Delaware Partnership Agreement; and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given the consents and approvals and made the waivers contained in the Delaware Partnership Agreement.</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The Texas Partnership shall not recognize any transfer of limited partner interests until (i) the certificates evidencing such interests are surrendered and (ii) following a notice to FERC, such certificates are accompanied by a duly executed transfer application and accompanying taxation certification.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Following a FERC notice, a transferee who has completed and delivered a transfer application pursuant to the Texas Partnership Agreement is deemed to have: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requested admission as a substituted limited partner pursuant to the Texas Partnership Agreement;</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agreed to comply with and be bound by and to have executed the Texas Partnership Agreement;</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represented and warranted that such transferee has the right, power and authority and, if an individual, the capacity to enter into the Texas Partnership Agreement;</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granted the powers of attorney set forth in the Texas Partnership Agreement; and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given the consents and approvals and made the waivers contained in the Texas Partnership Agreement.</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Indemnification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6"/>
        <w:gridCol w:w="120"/>
        <w:gridCol w:w="4899"/>
      </w:tblGrid>
      <w:tr>
        <w:trPr/>
        <w:tc>
          <w:tcPr>
            <w:tcW w:w="518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99" w:type="dxa"/>
            <w:tcBorders/>
            <w:vAlign w:val="center"/>
          </w:tcPr>
          <w:p>
            <w:pPr>
              <w:pStyle w:val="TableContents"/>
              <w:bidi w:val="0"/>
              <w:spacing w:before="0" w:after="283"/>
              <w:jc w:val="left"/>
              <w:rPr>
                <w:sz w:val="4"/>
                <w:szCs w:val="4"/>
              </w:rPr>
            </w:pPr>
            <w:r>
              <w:rPr>
                <w:sz w:val="4"/>
                <w:szCs w:val="4"/>
              </w:rPr>
            </w:r>
          </w:p>
        </w:tc>
      </w:tr>
      <w:tr>
        <w:trPr/>
        <w:tc>
          <w:tcPr>
            <w:tcW w:w="518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Delaware Partnership</w:t>
            </w:r>
          </w:p>
        </w:tc>
        <w:tc>
          <w:tcPr>
            <w:tcW w:w="120" w:type="dxa"/>
            <w:tcBorders/>
            <w:vAlign w:val="bottom"/>
          </w:tcPr>
          <w:p>
            <w:pPr>
              <w:pStyle w:val="TableContents"/>
              <w:bidi w:val="0"/>
              <w:spacing w:before="0" w:after="283"/>
              <w:jc w:val="left"/>
              <w:rPr/>
            </w:pPr>
            <w:r>
              <w:rPr/>
              <w:t>  </w:t>
            </w:r>
          </w:p>
        </w:tc>
        <w:tc>
          <w:tcPr>
            <w:tcW w:w="489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Texas Partnership</w:t>
            </w:r>
          </w:p>
        </w:tc>
      </w:tr>
      <w:tr>
        <w:trPr/>
        <w:tc>
          <w:tcPr>
            <w:tcW w:w="5186" w:type="dxa"/>
            <w:tcBorders/>
          </w:tcPr>
          <w:p>
            <w:pPr>
              <w:pStyle w:val="TableContents"/>
              <w:bidi w:val="0"/>
              <w:spacing w:before="0" w:after="0"/>
              <w:jc w:val="left"/>
              <w:rPr>
                <w:rFonts w:ascii="Times New Roman" w:hAnsi="Times New Roman"/>
                <w:sz w:val="20"/>
              </w:rPr>
            </w:pPr>
            <w:r>
              <w:rPr>
                <w:rFonts w:ascii="Times New Roman" w:hAnsi="Times New Roman"/>
                <w:sz w:val="20"/>
              </w:rPr>
              <w:t>Under the Delaware Partnership Agreement, in most circumstances, the Delaware Partnership will indemnify the following persons, to the fullest extent permitted by law, from and against all losses, claims, damages or similar events: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its general partner;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any departing general partner;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any person who is or was an affiliate of its general partner or any departing general partner;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any person who is or was a manager, managing member, general partner, director, officer, employee, agent, fiduciary or trustee of the Delaware Partnership, its subsidiaries, its general partner, any departing general partner or any of their affiliates;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any person who is or was serving at the request of a general partner, any departing general partner or any of their respective affiliates as a manager, managing member, general partner, director, officer, employee, agent, fiduciary or trustee of another person owing a fiduciary duty to the Delaware Partnership or its subsidiaries;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any person designated by its general partner.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Any indemnification under these provisions will only be out of the Delaware Partnership’s assets. Unless it otherwise agrees, the Delaware Partnership’s general partner will not be personally liable for, or have any obligation to contribute or lend funds or assets to the Delaware Partnership to enable the Delaware Partnership to effectuate, indemnification. The Delaware Partnership may purchase insurance against liabilities asserted against and expenses incurred by persons for its activities, regardless of whether it would have the power to indemnify the person against liabilities under the Delaware Partnership Agreement.</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Under the Texas Partnership Agreement, in most circumstances, the Texas Partnership will indemnify the following persons, to the fullest extent permitted by law, from and against all losses, claims, damages or similar events: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its general partner;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any departing general partner;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any person who is or was an affiliate of its general partner or any departing general partner;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any person who is or was a manager, managing member, general partner, director, officer, employee, agent, fiduciary or trustee of the Texas Partnership, its subsidiaries, its general partner, any departing general partner or any of their affiliates;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any person who is or was serving at the request of a general partner, any departing general partner or any of their respective affiliates as a manager, managing member, general partner, director, officer, employee, agent, fiduciary or trustee of another person owing a fiduciary duty to the Texas Partnership or its subsidiaries;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any person designated by its general partner.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Any indemnification under these provisions will only be out of the Texas Partnership’s assets. Unless it otherwise agrees, the Texas Partnership’s general partner will not be personally liable for, or have any obligation to contribute or lend funds or assets to the Texas Partnership to enable the Texas Partnership to effectuate, indemnification. The Texas Partnership may purchase insurance against liabilities asserted against and expenses incurred by persons for its activities, regardless of whether it would have the power to indemnify the person against liabilities under the Texas Partnership Agreement.</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Meetings; Voting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4"/>
        <w:gridCol w:w="122"/>
        <w:gridCol w:w="4899"/>
      </w:tblGrid>
      <w:tr>
        <w:trPr/>
        <w:tc>
          <w:tcPr>
            <w:tcW w:w="518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99" w:type="dxa"/>
            <w:tcBorders/>
            <w:vAlign w:val="center"/>
          </w:tcPr>
          <w:p>
            <w:pPr>
              <w:pStyle w:val="TableContents"/>
              <w:bidi w:val="0"/>
              <w:spacing w:before="0" w:after="283"/>
              <w:jc w:val="left"/>
              <w:rPr>
                <w:sz w:val="4"/>
                <w:szCs w:val="4"/>
              </w:rPr>
            </w:pPr>
            <w:r>
              <w:rPr>
                <w:sz w:val="4"/>
                <w:szCs w:val="4"/>
              </w:rPr>
            </w:r>
          </w:p>
        </w:tc>
      </w:tr>
      <w:tr>
        <w:trPr/>
        <w:tc>
          <w:tcPr>
            <w:tcW w:w="5184" w:type="dxa"/>
            <w:tcBorders/>
          </w:tcPr>
          <w:p>
            <w:pPr>
              <w:pStyle w:val="TableContents"/>
              <w:bidi w:val="0"/>
              <w:spacing w:before="0" w:after="283"/>
              <w:jc w:val="left"/>
              <w:rPr>
                <w:b/>
              </w:rPr>
            </w:pPr>
            <w:r>
              <w:rPr>
                <w:b/>
              </w:rPr>
              <w:t>Delaware Partnership</w:t>
            </w:r>
          </w:p>
        </w:tc>
        <w:tc>
          <w:tcPr>
            <w:tcW w:w="122"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b/>
              </w:rPr>
            </w:pPr>
            <w:r>
              <w:rPr>
                <w:b/>
              </w:rPr>
              <w:t>Texas Partnership</w:t>
            </w:r>
          </w:p>
        </w:tc>
      </w:tr>
      <w:tr>
        <w:trPr/>
        <w:tc>
          <w:tcPr>
            <w:tcW w:w="5184" w:type="dxa"/>
            <w:tcBorders/>
          </w:tcPr>
          <w:p>
            <w:pPr>
              <w:pStyle w:val="TableContents"/>
              <w:bidi w:val="0"/>
              <w:spacing w:before="0" w:after="0"/>
              <w:jc w:val="left"/>
              <w:rPr>
                <w:rFonts w:ascii="Times New Roman" w:hAnsi="Times New Roman"/>
                <w:sz w:val="20"/>
              </w:rPr>
            </w:pPr>
            <w:r>
              <w:rPr>
                <w:rFonts w:ascii="Times New Roman" w:hAnsi="Times New Roman"/>
                <w:sz w:val="20"/>
              </w:rPr>
              <w:t>A special meeting of the limited partners may be called by the general partner or by the limited partners owning 20% or more of the outstanding securities of the Delaware Partnership of the class for which a meeting is proposed. Unitholders are entitled to vote on the following matters: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sale or disposition of all or substantially all of the Delaware Partnership and its subsidiaries’ assets;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election of a successor general partner following the withdrawal of the general partner;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 election to dissolve the Delaware Partnership by the general partner;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continuation of the Delaware Partnership following dissolution of the Delaware Partnership, subject to the terms of the Delaware Partnership Agreement;</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certain amendments of the Delaware Partnership Agreement; and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 merger agreement or a plan of conversion, subject to the terms of the Delaware Partnership Agreement.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Holders of more than 20% of any class of securities of the Delaware Partnership may not vote on any matter except for the general partner, its affiliates, their direct transferees and their indirect transferees approved by the general partner, or any other holder that acquired such securities with the prior approval of the general partner.</w:t>
            </w:r>
          </w:p>
        </w:tc>
        <w:tc>
          <w:tcPr>
            <w:tcW w:w="122"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A special meeting of the limited partners may be called by the general partner or by the limited partners owning 20% or more of the outstanding securities of the Texas Partnership of the class for which a meeting is proposed.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Unitholders are entitled to vote on the following matters: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sale or disposition of all or substantially all of the Texas Partnership and its subsidiaries’ assets;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election of a successor general partner following the withdrawal of the general partner;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 election to dissolve the Texas Partnership by the general partner;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continuation of the Texas Partnership following dissolution of the Texas Partnership, subject to the terms of the Texas Partnership Agreement;</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certain amendments of the Texas Partnership Agreement; and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 merger agreement or a plan of conversion, subject to the terms of the Texas Partnership Agreement.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Holders of more than 20% of any class of securities of the Texas Partnership may not vote on any matter except for the general partner, its affiliates, their direct transferees and their indirect transferees approved by the general partner, or any other holder that acquired such securities with the prior approval of the general partner.</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Elimination of Fiduciary Duties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4"/>
        <w:gridCol w:w="122"/>
        <w:gridCol w:w="4899"/>
      </w:tblGrid>
      <w:tr>
        <w:trPr/>
        <w:tc>
          <w:tcPr>
            <w:tcW w:w="518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99" w:type="dxa"/>
            <w:tcBorders/>
            <w:vAlign w:val="center"/>
          </w:tcPr>
          <w:p>
            <w:pPr>
              <w:pStyle w:val="TableContents"/>
              <w:bidi w:val="0"/>
              <w:spacing w:before="0" w:after="283"/>
              <w:jc w:val="left"/>
              <w:rPr>
                <w:sz w:val="4"/>
                <w:szCs w:val="4"/>
              </w:rPr>
            </w:pPr>
            <w:r>
              <w:rPr>
                <w:sz w:val="4"/>
                <w:szCs w:val="4"/>
              </w:rPr>
            </w:r>
          </w:p>
        </w:tc>
      </w:tr>
      <w:tr>
        <w:trPr/>
        <w:tc>
          <w:tcPr>
            <w:tcW w:w="5184" w:type="dxa"/>
            <w:tcBorders/>
          </w:tcPr>
          <w:p>
            <w:pPr>
              <w:pStyle w:val="TableContents"/>
              <w:bidi w:val="0"/>
              <w:spacing w:before="0" w:after="283"/>
              <w:jc w:val="left"/>
              <w:rPr>
                <w:b/>
              </w:rPr>
            </w:pPr>
            <w:r>
              <w:rPr>
                <w:b/>
              </w:rPr>
              <w:t>Delaware Partnership</w:t>
            </w:r>
          </w:p>
        </w:tc>
        <w:tc>
          <w:tcPr>
            <w:tcW w:w="122"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b/>
              </w:rPr>
            </w:pPr>
            <w:r>
              <w:rPr>
                <w:b/>
              </w:rPr>
              <w:t>Texas Partnership</w:t>
            </w:r>
          </w:p>
        </w:tc>
      </w:tr>
      <w:tr>
        <w:trPr/>
        <w:tc>
          <w:tcPr>
            <w:tcW w:w="5184" w:type="dxa"/>
            <w:tcBorders/>
          </w:tcPr>
          <w:p>
            <w:pPr>
              <w:pStyle w:val="TableContents"/>
              <w:bidi w:val="0"/>
              <w:spacing w:before="0" w:after="283"/>
              <w:jc w:val="left"/>
              <w:rPr/>
            </w:pPr>
            <w:r>
              <w:rPr/>
              <w:t>Pursuant to the Delaware Partnership Agreement, default general partner fiduciary duties under state governing law are generally replaced with a requirement for the general partner to act in “good faith,” which is defined in the Delaware Partnership Agreement to mean the general partner’s reasonable belief that an action is in the best interest of the Delaware Partnership. With respect to certain other actions taken in its individual capacity, the general partner is permitted to act in its sole discretion with no duty to the limited partners.</w:t>
            </w:r>
          </w:p>
        </w:tc>
        <w:tc>
          <w:tcPr>
            <w:tcW w:w="122"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Pursuant to the Texas Partnership Agreement, default general partner fiduciary duties under state governing law are generally replaced with a requirement for the general partner to act in “good faith,” which is defined in the Texas Partnership Agreement to mean the general partner’s reasonable belief that an action is in the best interest of the Texas Partnership. With respect to certain other actions taken in its individual capacity, the general partner is permitted to act in its sole discretion with no duty to the limited partners.</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Exculpation of General Partner and Affiliated Persons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4"/>
        <w:gridCol w:w="120"/>
        <w:gridCol w:w="4901"/>
      </w:tblGrid>
      <w:tr>
        <w:trPr/>
        <w:tc>
          <w:tcPr>
            <w:tcW w:w="518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01" w:type="dxa"/>
            <w:tcBorders/>
            <w:vAlign w:val="center"/>
          </w:tcPr>
          <w:p>
            <w:pPr>
              <w:pStyle w:val="TableContents"/>
              <w:bidi w:val="0"/>
              <w:spacing w:before="0" w:after="283"/>
              <w:jc w:val="left"/>
              <w:rPr>
                <w:sz w:val="4"/>
                <w:szCs w:val="4"/>
              </w:rPr>
            </w:pPr>
            <w:r>
              <w:rPr>
                <w:sz w:val="4"/>
                <w:szCs w:val="4"/>
              </w:rPr>
            </w:r>
          </w:p>
        </w:tc>
      </w:tr>
      <w:tr>
        <w:trPr/>
        <w:tc>
          <w:tcPr>
            <w:tcW w:w="5184" w:type="dxa"/>
            <w:tcBorders/>
          </w:tcPr>
          <w:p>
            <w:pPr>
              <w:pStyle w:val="TableContents"/>
              <w:bidi w:val="0"/>
              <w:spacing w:before="0" w:after="283"/>
              <w:jc w:val="left"/>
              <w:rPr>
                <w:b/>
              </w:rPr>
            </w:pPr>
            <w:r>
              <w:rPr>
                <w:b/>
              </w:rPr>
              <w:t>Delaware Partnership</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left"/>
              <w:rPr>
                <w:b/>
              </w:rPr>
            </w:pPr>
            <w:r>
              <w:rPr>
                <w:b/>
              </w:rPr>
              <w:t>Texas Partnership</w:t>
            </w:r>
          </w:p>
        </w:tc>
      </w:tr>
      <w:tr>
        <w:trPr/>
        <w:tc>
          <w:tcPr>
            <w:tcW w:w="5184" w:type="dxa"/>
            <w:tcBorders/>
          </w:tcPr>
          <w:p>
            <w:pPr>
              <w:pStyle w:val="TableContents"/>
              <w:bidi w:val="0"/>
              <w:spacing w:before="0" w:after="283"/>
              <w:jc w:val="left"/>
              <w:rPr/>
            </w:pPr>
            <w:r>
              <w:rPr/>
              <w:t>The general partner and its officers and directors will not be liable for monetary damages to the Delaware Partnership for acts or omissions without a final and non-appealable judgment being entered into against the general partner for such acts or omissions or in circumstances involving acting in bad faith, with willful misconduct or with gross negligence.</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left"/>
              <w:rPr/>
            </w:pPr>
            <w:r>
              <w:rPr/>
              <w:t>The general partner and its officers and directors will not be liable for monetary damages to the Texas Partnership for acts or omissions without a final and non-appealable judgment being entered into against the general partner for such acts or omissions or in circumstances involving acting in bad faith, with willful misconduct or with gross negligence.</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Conflicted Transaction Approvals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5"/>
        <w:gridCol w:w="120"/>
        <w:gridCol w:w="4900"/>
      </w:tblGrid>
      <w:tr>
        <w:trPr/>
        <w:tc>
          <w:tcPr>
            <w:tcW w:w="51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00" w:type="dxa"/>
            <w:tcBorders/>
            <w:vAlign w:val="center"/>
          </w:tcPr>
          <w:p>
            <w:pPr>
              <w:pStyle w:val="TableContents"/>
              <w:bidi w:val="0"/>
              <w:spacing w:before="0" w:after="283"/>
              <w:jc w:val="left"/>
              <w:rPr>
                <w:sz w:val="4"/>
                <w:szCs w:val="4"/>
              </w:rPr>
            </w:pPr>
            <w:r>
              <w:rPr>
                <w:sz w:val="4"/>
                <w:szCs w:val="4"/>
              </w:rPr>
            </w:r>
          </w:p>
        </w:tc>
      </w:tr>
      <w:tr>
        <w:trPr/>
        <w:tc>
          <w:tcPr>
            <w:tcW w:w="5185" w:type="dxa"/>
            <w:tcBorders/>
          </w:tcPr>
          <w:p>
            <w:pPr>
              <w:pStyle w:val="TableContents"/>
              <w:bidi w:val="0"/>
              <w:spacing w:before="0" w:after="283"/>
              <w:jc w:val="left"/>
              <w:rPr>
                <w:b/>
              </w:rPr>
            </w:pPr>
            <w:r>
              <w:rPr>
                <w:b/>
              </w:rPr>
              <w:t>Delaware Partnership</w:t>
            </w:r>
          </w:p>
        </w:tc>
        <w:tc>
          <w:tcPr>
            <w:tcW w:w="120" w:type="dxa"/>
            <w:tcBorders/>
            <w:vAlign w:val="bottom"/>
          </w:tcPr>
          <w:p>
            <w:pPr>
              <w:pStyle w:val="TableContents"/>
              <w:bidi w:val="0"/>
              <w:spacing w:before="0" w:after="283"/>
              <w:jc w:val="left"/>
              <w:rPr/>
            </w:pPr>
            <w:r>
              <w:rPr/>
              <w:t>  </w:t>
            </w:r>
          </w:p>
        </w:tc>
        <w:tc>
          <w:tcPr>
            <w:tcW w:w="4900" w:type="dxa"/>
            <w:tcBorders/>
          </w:tcPr>
          <w:p>
            <w:pPr>
              <w:pStyle w:val="TableContents"/>
              <w:bidi w:val="0"/>
              <w:spacing w:before="0" w:after="283"/>
              <w:jc w:val="left"/>
              <w:rPr>
                <w:b/>
              </w:rPr>
            </w:pPr>
            <w:r>
              <w:rPr>
                <w:b/>
              </w:rPr>
              <w:t>Texas Partnership</w:t>
            </w:r>
          </w:p>
        </w:tc>
      </w:tr>
      <w:tr>
        <w:trPr/>
        <w:tc>
          <w:tcPr>
            <w:tcW w:w="5185" w:type="dxa"/>
            <w:tcBorders/>
          </w:tcPr>
          <w:p>
            <w:pPr>
              <w:pStyle w:val="TableContents"/>
              <w:bidi w:val="0"/>
              <w:spacing w:before="0" w:after="283"/>
              <w:jc w:val="left"/>
              <w:rPr/>
            </w:pPr>
            <w:r>
              <w:rPr/>
              <w:t>Whenever a potential conflict of interest exists or arises between the general partner or any of its affiliates, on the one hand, and the Delaware Partnership, any of its affiliates, any partner or any assignee, on the other, any resolution or course of action by the general partner or its affiliates in respect of such conflict of interest shall be permitted and deemed approved by all partners, and shall not constitute a breach of the Delaware Partnership Agreement or of any agreement contemplated therein, or of any duty stated or implied by law or equity, if the resolution or course of action in respect of such conflict of interest is (i) approved by the Conflicts Committee, (ii) approved by the vote of a majority of the Common Units (excluding Common Units owned by the general partner and its affiliates), (iii) on terms no less favorable to the Delaware Partnership than those generally being provided to or available from unrelated third parties or (iv) fair and reasonable to the Delaware Partnership, taking into account the totality of the relationships between the parties involved.</w:t>
            </w:r>
          </w:p>
        </w:tc>
        <w:tc>
          <w:tcPr>
            <w:tcW w:w="120" w:type="dxa"/>
            <w:tcBorders/>
            <w:vAlign w:val="bottom"/>
          </w:tcPr>
          <w:p>
            <w:pPr>
              <w:pStyle w:val="TableContents"/>
              <w:bidi w:val="0"/>
              <w:spacing w:before="0" w:after="283"/>
              <w:jc w:val="left"/>
              <w:rPr/>
            </w:pPr>
            <w:r>
              <w:rPr/>
              <w:t>  </w:t>
            </w:r>
          </w:p>
        </w:tc>
        <w:tc>
          <w:tcPr>
            <w:tcW w:w="4900" w:type="dxa"/>
            <w:tcBorders/>
          </w:tcPr>
          <w:p>
            <w:pPr>
              <w:pStyle w:val="TableContents"/>
              <w:bidi w:val="0"/>
              <w:spacing w:before="0" w:after="283"/>
              <w:jc w:val="left"/>
              <w:rPr/>
            </w:pPr>
            <w:r>
              <w:rPr/>
              <w:t>Whenever a potential conflict of interest exists or arises between the general partner or any of its affiliates, on the one hand, and the Texas Partnership, any of its affiliates, any partner or any assignee, on the other, any resolution or course of action by the general partner or its affiliates in respect of such conflict of interest shall be permitted and deemed approved by all partners, and shall not constitute a breach of the Texas Partnership Agreement or of any agreement contemplated therein, or of any duty stated or implied by law or equity, if the resolution or course of action in respect of such conflict of interest is (i) approved by the Conflicts Committee, (ii) approved by the vote of a majority of the Common Units (excluding Common Units owned by the general partner and its affiliates), (iii) on terms no less favorable to the Texas Partnership than those generally being provided to or available from unrelated third parties or (iv) fair and reasonable to the Texas Partnership, taking into account the totality of the relationships between the parties involved.</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Agreement of Limited Partnership of the Partnership Following the Redomiciliation </w:t>
      </w:r>
    </w:p>
    <w:p>
      <w:pPr>
        <w:pStyle w:val="TextBody"/>
        <w:bidi w:val="0"/>
        <w:spacing w:before="120" w:after="0"/>
        <w:jc w:val="left"/>
        <w:rPr>
          <w:rFonts w:ascii="Times New Roman" w:hAnsi="Times New Roman"/>
          <w:sz w:val="20"/>
        </w:rPr>
      </w:pPr>
      <w:r>
        <w:rPr>
          <w:rFonts w:ascii="Times New Roman" w:hAnsi="Times New Roman"/>
          <w:sz w:val="20"/>
        </w:rPr>
        <w:t xml:space="preserve">The Texas Partnership’s certificate of formation and the Texas Partnership Agreement, as currently in effect, are similar in substance to the Delaware Partnership’s certificate of limited partnership and the Delaware Partnership Agreement, which were in effect prior to the redomiciliation, except as necessary to accommodate differences between the laws of the two states.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provisions of the Partnership’s Plan of Conversion, certificate of formation and the Texas Partnership Agreement does not purport to be complete and is qualified in its entirety by reference to the full text of the Plan of Conversion, certificate of formation and the Texas Partnership Agreement, copies of which are filed as Exhibits 2.1, 3.1 and 3.2 to this Current Report on Form 8-K and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8.01</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or about the date of this Current Report on Form 8-K, the Partnership is filing with the Securities and Exchange Commission post-effective amendments to its registration statements for the purpose of expressly adopting those registration statements as its own, in accordance with Rule 414 of the Securities Act of 1933. Certain exhibits that are to be incorporated by reference into those registration statements, as amended by the post-effective amendments, have been filed with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completion of the redomiciliation and by operation of Rule 12g-3(a) of the Securities Exchange Act of 1934, as amended (the “Exchange Act”), the Delaware Partnership’s Common Units and Series I Preferred Units are deemed registered under Section 12(b) of the Exchange Act and the Texas Partnership has succeeded to the Delaware Partnership’s attributes as the registrant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The Partnership is filing the risk factors attached hereto as Exhibit 99.1 for the purpose of updating the risk factor disclosures contained in its prior filings with the Securities and Exchange Commission, including those in its Annual Report on Form 10-K for the fiscal year ended December 31, 2025. The updated risk factors are filed as Exhibit 99.1 to this Current Report on Form 8-K and are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9.01</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9"/>
        <w:gridCol w:w="331"/>
        <w:gridCol w:w="9425"/>
      </w:tblGrid>
      <w:tr>
        <w:trPr/>
        <w:tc>
          <w:tcPr>
            <w:tcW w:w="449"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9425" w:type="dxa"/>
            <w:tcBorders/>
            <w:vAlign w:val="center"/>
          </w:tcPr>
          <w:p>
            <w:pPr>
              <w:pStyle w:val="TableContents"/>
              <w:bidi w:val="0"/>
              <w:spacing w:before="0" w:after="283"/>
              <w:jc w:val="left"/>
              <w:rPr>
                <w:sz w:val="4"/>
                <w:szCs w:val="4"/>
              </w:rPr>
            </w:pPr>
            <w:r>
              <w:rPr>
                <w:sz w:val="4"/>
                <w:szCs w:val="4"/>
              </w:rPr>
            </w:r>
          </w:p>
        </w:tc>
      </w:tr>
      <w:tr>
        <w:trPr/>
        <w:tc>
          <w:tcPr>
            <w:tcW w:w="449" w:type="dxa"/>
            <w:tcBorders/>
          </w:tcPr>
          <w:p>
            <w:pPr>
              <w:pStyle w:val="TableContents"/>
              <w:bidi w:val="0"/>
              <w:spacing w:before="0" w:after="283"/>
              <w:jc w:val="left"/>
              <w:rPr/>
            </w:pPr>
            <w:r>
              <w:rPr/>
              <w:t> </w:t>
            </w:r>
            <w:r>
              <w:rPr/>
              <w:t>2.1</w:t>
            </w:r>
          </w:p>
        </w:tc>
        <w:tc>
          <w:tcPr>
            <w:tcW w:w="331" w:type="dxa"/>
            <w:tcBorders/>
            <w:vAlign w:val="bottom"/>
          </w:tcPr>
          <w:p>
            <w:pPr>
              <w:pStyle w:val="TableContents"/>
              <w:bidi w:val="0"/>
              <w:spacing w:before="0" w:after="283"/>
              <w:jc w:val="left"/>
              <w:rPr/>
            </w:pPr>
            <w:r>
              <w:rPr/>
              <w:t>  </w:t>
            </w:r>
          </w:p>
        </w:tc>
        <w:tc>
          <w:tcPr>
            <w:tcW w:w="9425" w:type="dxa"/>
            <w:tcBorders/>
          </w:tcPr>
          <w:p>
            <w:pPr>
              <w:pStyle w:val="TableContents"/>
              <w:bidi w:val="0"/>
              <w:spacing w:before="0" w:after="283"/>
              <w:jc w:val="left"/>
              <w:rPr/>
            </w:pPr>
            <w:hyperlink w:anchor="d109647dex21.htm">
              <w:r>
                <w:rPr>
                  <w:rStyle w:val="InternetLink"/>
                </w:rPr>
                <w:t xml:space="preserve">Plan of Conversion of Energy Transfer LP, dated as of July 2, 2026 </w:t>
              </w:r>
            </w:hyperlink>
          </w:p>
        </w:tc>
      </w:tr>
      <w:tr>
        <w:trPr>
          <w:trHeight w:val="120" w:hRule="atLeast"/>
        </w:trPr>
        <w:tc>
          <w:tcPr>
            <w:tcW w:w="449" w:type="dxa"/>
            <w:tcBorders/>
            <w:vAlign w:val="center"/>
          </w:tcPr>
          <w:p>
            <w:pPr>
              <w:pStyle w:val="TableContents"/>
              <w:bidi w:val="0"/>
              <w:spacing w:before="0" w:after="283"/>
              <w:jc w:val="left"/>
              <w:rPr>
                <w:sz w:val="4"/>
                <w:szCs w:val="4"/>
              </w:rPr>
            </w:pPr>
            <w:r>
              <w:rPr>
                <w:sz w:val="4"/>
                <w:szCs w:val="4"/>
              </w:rPr>
            </w:r>
          </w:p>
        </w:tc>
        <w:tc>
          <w:tcPr>
            <w:tcW w:w="9756" w:type="dxa"/>
            <w:gridSpan w:val="2"/>
            <w:tcBorders/>
            <w:vAlign w:val="center"/>
          </w:tcPr>
          <w:p>
            <w:pPr>
              <w:pStyle w:val="TableContents"/>
              <w:bidi w:val="0"/>
              <w:spacing w:before="0" w:after="283"/>
              <w:jc w:val="left"/>
              <w:rPr>
                <w:sz w:val="4"/>
                <w:szCs w:val="4"/>
              </w:rPr>
            </w:pPr>
            <w:r>
              <w:rPr>
                <w:sz w:val="4"/>
                <w:szCs w:val="4"/>
              </w:rPr>
            </w:r>
          </w:p>
        </w:tc>
      </w:tr>
      <w:tr>
        <w:trPr/>
        <w:tc>
          <w:tcPr>
            <w:tcW w:w="449" w:type="dxa"/>
            <w:tcBorders/>
          </w:tcPr>
          <w:p>
            <w:pPr>
              <w:pStyle w:val="TableContents"/>
              <w:bidi w:val="0"/>
              <w:spacing w:before="0" w:after="283"/>
              <w:jc w:val="left"/>
              <w:rPr/>
            </w:pPr>
            <w:r>
              <w:rPr/>
              <w:t> </w:t>
            </w:r>
            <w:r>
              <w:rPr/>
              <w:t>3.1</w:t>
            </w:r>
          </w:p>
        </w:tc>
        <w:tc>
          <w:tcPr>
            <w:tcW w:w="331" w:type="dxa"/>
            <w:tcBorders/>
            <w:vAlign w:val="bottom"/>
          </w:tcPr>
          <w:p>
            <w:pPr>
              <w:pStyle w:val="TableContents"/>
              <w:bidi w:val="0"/>
              <w:spacing w:before="0" w:after="283"/>
              <w:jc w:val="left"/>
              <w:rPr/>
            </w:pPr>
            <w:r>
              <w:rPr/>
              <w:t>  </w:t>
            </w:r>
          </w:p>
        </w:tc>
        <w:tc>
          <w:tcPr>
            <w:tcW w:w="9425" w:type="dxa"/>
            <w:tcBorders/>
          </w:tcPr>
          <w:p>
            <w:pPr>
              <w:pStyle w:val="TableContents"/>
              <w:bidi w:val="0"/>
              <w:spacing w:before="0" w:after="283"/>
              <w:jc w:val="left"/>
              <w:rPr/>
            </w:pPr>
            <w:hyperlink w:anchor="d109647dex31.htm">
              <w:r>
                <w:rPr>
                  <w:rStyle w:val="InternetLink"/>
                </w:rPr>
                <w:t xml:space="preserve">Certificate of Formation of Energy Transfer LP, dated as of July 6, 2026 </w:t>
              </w:r>
            </w:hyperlink>
          </w:p>
        </w:tc>
      </w:tr>
      <w:tr>
        <w:trPr>
          <w:trHeight w:val="120" w:hRule="atLeast"/>
        </w:trPr>
        <w:tc>
          <w:tcPr>
            <w:tcW w:w="449" w:type="dxa"/>
            <w:tcBorders/>
            <w:vAlign w:val="center"/>
          </w:tcPr>
          <w:p>
            <w:pPr>
              <w:pStyle w:val="TableContents"/>
              <w:bidi w:val="0"/>
              <w:spacing w:before="0" w:after="283"/>
              <w:jc w:val="left"/>
              <w:rPr>
                <w:sz w:val="4"/>
                <w:szCs w:val="4"/>
              </w:rPr>
            </w:pPr>
            <w:r>
              <w:rPr>
                <w:sz w:val="4"/>
                <w:szCs w:val="4"/>
              </w:rPr>
            </w:r>
          </w:p>
        </w:tc>
        <w:tc>
          <w:tcPr>
            <w:tcW w:w="9756" w:type="dxa"/>
            <w:gridSpan w:val="2"/>
            <w:tcBorders/>
            <w:vAlign w:val="center"/>
          </w:tcPr>
          <w:p>
            <w:pPr>
              <w:pStyle w:val="TableContents"/>
              <w:bidi w:val="0"/>
              <w:spacing w:before="0" w:after="283"/>
              <w:jc w:val="left"/>
              <w:rPr>
                <w:sz w:val="4"/>
                <w:szCs w:val="4"/>
              </w:rPr>
            </w:pPr>
            <w:r>
              <w:rPr>
                <w:sz w:val="4"/>
                <w:szCs w:val="4"/>
              </w:rPr>
            </w:r>
          </w:p>
        </w:tc>
      </w:tr>
      <w:tr>
        <w:trPr/>
        <w:tc>
          <w:tcPr>
            <w:tcW w:w="449" w:type="dxa"/>
            <w:tcBorders/>
          </w:tcPr>
          <w:p>
            <w:pPr>
              <w:pStyle w:val="TableContents"/>
              <w:bidi w:val="0"/>
              <w:spacing w:before="0" w:after="283"/>
              <w:jc w:val="left"/>
              <w:rPr/>
            </w:pPr>
            <w:r>
              <w:rPr/>
              <w:t> </w:t>
            </w:r>
            <w:r>
              <w:rPr/>
              <w:t>3.2</w:t>
            </w:r>
          </w:p>
        </w:tc>
        <w:tc>
          <w:tcPr>
            <w:tcW w:w="331" w:type="dxa"/>
            <w:tcBorders/>
            <w:vAlign w:val="bottom"/>
          </w:tcPr>
          <w:p>
            <w:pPr>
              <w:pStyle w:val="TableContents"/>
              <w:bidi w:val="0"/>
              <w:spacing w:before="0" w:after="283"/>
              <w:jc w:val="left"/>
              <w:rPr/>
            </w:pPr>
            <w:r>
              <w:rPr/>
              <w:t>  </w:t>
            </w:r>
          </w:p>
        </w:tc>
        <w:tc>
          <w:tcPr>
            <w:tcW w:w="9425" w:type="dxa"/>
            <w:tcBorders/>
          </w:tcPr>
          <w:p>
            <w:pPr>
              <w:pStyle w:val="TableContents"/>
              <w:bidi w:val="0"/>
              <w:spacing w:before="0" w:after="283"/>
              <w:jc w:val="left"/>
              <w:rPr/>
            </w:pPr>
            <w:hyperlink w:anchor="d109647dex32.htm">
              <w:r>
                <w:rPr>
                  <w:rStyle w:val="InternetLink"/>
                </w:rPr>
                <w:t xml:space="preserve">Agreement of Limited Partnership of Energy Transfer LP, dated as of July 6, 2026 </w:t>
              </w:r>
            </w:hyperlink>
          </w:p>
        </w:tc>
      </w:tr>
      <w:tr>
        <w:trPr>
          <w:trHeight w:val="120" w:hRule="atLeast"/>
        </w:trPr>
        <w:tc>
          <w:tcPr>
            <w:tcW w:w="449" w:type="dxa"/>
            <w:tcBorders/>
            <w:vAlign w:val="center"/>
          </w:tcPr>
          <w:p>
            <w:pPr>
              <w:pStyle w:val="TableContents"/>
              <w:bidi w:val="0"/>
              <w:spacing w:before="0" w:after="283"/>
              <w:jc w:val="left"/>
              <w:rPr>
                <w:sz w:val="4"/>
                <w:szCs w:val="4"/>
              </w:rPr>
            </w:pPr>
            <w:r>
              <w:rPr>
                <w:sz w:val="4"/>
                <w:szCs w:val="4"/>
              </w:rPr>
            </w:r>
          </w:p>
        </w:tc>
        <w:tc>
          <w:tcPr>
            <w:tcW w:w="9756" w:type="dxa"/>
            <w:gridSpan w:val="2"/>
            <w:tcBorders/>
            <w:vAlign w:val="center"/>
          </w:tcPr>
          <w:p>
            <w:pPr>
              <w:pStyle w:val="TableContents"/>
              <w:bidi w:val="0"/>
              <w:spacing w:before="0" w:after="283"/>
              <w:jc w:val="left"/>
              <w:rPr>
                <w:sz w:val="4"/>
                <w:szCs w:val="4"/>
              </w:rPr>
            </w:pPr>
            <w:r>
              <w:rPr>
                <w:sz w:val="4"/>
                <w:szCs w:val="4"/>
              </w:rPr>
            </w:r>
          </w:p>
        </w:tc>
      </w:tr>
      <w:tr>
        <w:trPr/>
        <w:tc>
          <w:tcPr>
            <w:tcW w:w="449" w:type="dxa"/>
            <w:tcBorders/>
          </w:tcPr>
          <w:p>
            <w:pPr>
              <w:pStyle w:val="TableContents"/>
              <w:bidi w:val="0"/>
              <w:spacing w:before="0" w:after="283"/>
              <w:jc w:val="left"/>
              <w:rPr/>
            </w:pPr>
            <w:r>
              <w:rPr/>
              <w:t>99.1</w:t>
            </w:r>
          </w:p>
        </w:tc>
        <w:tc>
          <w:tcPr>
            <w:tcW w:w="331" w:type="dxa"/>
            <w:tcBorders/>
            <w:vAlign w:val="bottom"/>
          </w:tcPr>
          <w:p>
            <w:pPr>
              <w:pStyle w:val="TableContents"/>
              <w:bidi w:val="0"/>
              <w:spacing w:before="0" w:after="283"/>
              <w:jc w:val="left"/>
              <w:rPr/>
            </w:pPr>
            <w:r>
              <w:rPr/>
              <w:t>  </w:t>
            </w:r>
          </w:p>
        </w:tc>
        <w:tc>
          <w:tcPr>
            <w:tcW w:w="9425" w:type="dxa"/>
            <w:tcBorders/>
          </w:tcPr>
          <w:p>
            <w:pPr>
              <w:pStyle w:val="TableContents"/>
              <w:bidi w:val="0"/>
              <w:spacing w:before="0" w:after="283"/>
              <w:jc w:val="left"/>
              <w:rPr/>
            </w:pPr>
            <w:hyperlink w:anchor="d109647dex991.htm">
              <w:r>
                <w:rPr>
                  <w:rStyle w:val="InternetLink"/>
                </w:rPr>
                <w:t xml:space="preserve">Risk Factors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935" w:type="dxa"/>
        <w:jc w:val="right"/>
        <w:tblInd w:w="0" w:type="dxa"/>
        <w:tblLayout w:type="fixed"/>
        <w:tblCellMar>
          <w:top w:w="0" w:type="dxa"/>
          <w:left w:w="0" w:type="dxa"/>
          <w:bottom w:w="0" w:type="dxa"/>
          <w:right w:w="0" w:type="dxa"/>
        </w:tblCellMar>
      </w:tblPr>
      <w:tblGrid>
        <w:gridCol w:w="305"/>
        <w:gridCol w:w="60"/>
        <w:gridCol w:w="5570"/>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570" w:type="dxa"/>
            <w:tcBorders/>
            <w:vAlign w:val="center"/>
          </w:tcPr>
          <w:p>
            <w:pPr>
              <w:pStyle w:val="TableContents"/>
              <w:bidi w:val="0"/>
              <w:spacing w:before="0" w:after="283"/>
              <w:jc w:val="left"/>
              <w:rPr>
                <w:sz w:val="4"/>
                <w:szCs w:val="4"/>
              </w:rPr>
            </w:pPr>
            <w:r>
              <w:rPr>
                <w:sz w:val="4"/>
                <w:szCs w:val="4"/>
              </w:rPr>
            </w:r>
          </w:p>
        </w:tc>
      </w:tr>
      <w:tr>
        <w:trPr/>
        <w:tc>
          <w:tcPr>
            <w:tcW w:w="5935" w:type="dxa"/>
            <w:gridSpan w:val="3"/>
            <w:tcBorders/>
          </w:tcPr>
          <w:p>
            <w:pPr>
              <w:pStyle w:val="TableContents"/>
              <w:bidi w:val="0"/>
              <w:spacing w:before="0" w:after="283"/>
              <w:jc w:val="left"/>
              <w:rPr>
                <w:b/>
              </w:rPr>
            </w:pPr>
            <w:r>
              <w:rPr>
                <w:b/>
              </w:rPr>
              <w:t>ENERGY TRANSFER LP</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5630"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5570" w:type="dxa"/>
            <w:tcBorders/>
            <w:vAlign w:val="bottom"/>
          </w:tcPr>
          <w:p>
            <w:pPr>
              <w:pStyle w:val="TableContents"/>
              <w:bidi w:val="0"/>
              <w:spacing w:before="0" w:after="283"/>
              <w:jc w:val="left"/>
              <w:rPr/>
            </w:pPr>
            <w:r>
              <w:rPr/>
              <w:t>LE GP, LLC, its general partner</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5630"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5570" w:type="dxa"/>
            <w:tcBorders>
              <w:bottom w:val="single" w:sz="2" w:space="0" w:color="000000"/>
            </w:tcBorders>
            <w:tcMar>
              <w:bottom w:w="28" w:type="dxa"/>
            </w:tcMar>
          </w:tcPr>
          <w:p>
            <w:pPr>
              <w:pStyle w:val="TableContents"/>
              <w:bidi w:val="0"/>
              <w:spacing w:before="0" w:after="283"/>
              <w:jc w:val="left"/>
              <w:rPr/>
            </w:pPr>
            <w:r>
              <w:rPr/>
              <w:t>/s/ Dylan A. Bramhall</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570" w:type="dxa"/>
            <w:tcBorders/>
            <w:vAlign w:val="bottom"/>
          </w:tcPr>
          <w:p>
            <w:pPr>
              <w:pStyle w:val="TableContents"/>
              <w:bidi w:val="0"/>
              <w:spacing w:before="0" w:after="283"/>
              <w:jc w:val="left"/>
              <w:rPr/>
            </w:pPr>
            <w:r>
              <w:rPr/>
              <w:t>Dylan A. Bramhall</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570" w:type="dxa"/>
            <w:tcBorders/>
            <w:vAlign w:val="bottom"/>
          </w:tcPr>
          <w:p>
            <w:pPr>
              <w:pStyle w:val="TableContents"/>
              <w:bidi w:val="0"/>
              <w:spacing w:before="0" w:after="283"/>
              <w:jc w:val="left"/>
              <w:rPr/>
            </w:pPr>
            <w:r>
              <w:rPr/>
              <w:t>Executive Vice President &amp; Group 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July 6, 2026 </w:t>
      </w:r>
    </w:p>
    <w:p>
      <w:pPr>
        <w:pStyle w:val="TextBody"/>
        <w:bidi w:val="0"/>
        <w:spacing w:before="0" w:after="0"/>
        <w:jc w:val="right"/>
        <w:rPr>
          <w:rFonts w:ascii="Times New Roman" w:hAnsi="Times New Roman"/>
          <w:b/>
          <w:sz w:val="20"/>
        </w:rPr>
      </w:pPr>
      <w:bookmarkStart w:id="2" w:name="d109647dex21.htm"/>
      <w:bookmarkStart w:id="3" w:name="ksd109647dex21"/>
      <w:bookmarkEnd w:id="2"/>
      <w:bookmarkEnd w:id="3"/>
      <w:r>
        <w:rPr>
          <w:rFonts w:ascii="Times New Roman" w:hAnsi="Times New Roman"/>
          <w:b/>
          <w:sz w:val="20"/>
        </w:rPr>
        <w:t xml:space="preserve">Exhibit 2.1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PLAN OF CONVERSION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ENERGY TRANSFER LP, A DELAWARE LIMITED PARTNERSHIP, </w:t>
      </w:r>
    </w:p>
    <w:p>
      <w:pPr>
        <w:pStyle w:val="TextBody"/>
        <w:bidi w:val="0"/>
        <w:spacing w:before="0" w:after="0"/>
        <w:jc w:val="center"/>
        <w:rPr>
          <w:rFonts w:ascii="Times New Roman" w:hAnsi="Times New Roman"/>
          <w:b/>
          <w:sz w:val="20"/>
        </w:rPr>
      </w:pPr>
      <w:r>
        <w:rPr>
          <w:rFonts w:ascii="Times New Roman" w:hAnsi="Times New Roman"/>
          <w:b/>
          <w:sz w:val="20"/>
        </w:rPr>
        <w:t xml:space="preserve">INTO </w:t>
      </w:r>
    </w:p>
    <w:p>
      <w:pPr>
        <w:pStyle w:val="TextBody"/>
        <w:bidi w:val="0"/>
        <w:spacing w:before="0" w:after="0"/>
        <w:jc w:val="center"/>
        <w:rPr>
          <w:rFonts w:ascii="Times New Roman" w:hAnsi="Times New Roman"/>
          <w:b/>
          <w:sz w:val="20"/>
        </w:rPr>
      </w:pPr>
      <w:r>
        <w:rPr>
          <w:rFonts w:ascii="Times New Roman" w:hAnsi="Times New Roman"/>
          <w:b/>
          <w:sz w:val="20"/>
        </w:rPr>
        <w:t xml:space="preserve">ENERGY TRANSFER LP, A TEXAS LIMITED PARTNERSHIP </w:t>
      </w:r>
    </w:p>
    <w:p>
      <w:pPr>
        <w:pStyle w:val="TextBody"/>
        <w:bidi w:val="0"/>
        <w:spacing w:before="240" w:after="0"/>
        <w:jc w:val="left"/>
        <w:rPr>
          <w:rFonts w:ascii="Times New Roman" w:hAnsi="Times New Roman"/>
          <w:sz w:val="20"/>
        </w:rPr>
      </w:pPr>
      <w:r>
        <w:rPr>
          <w:rFonts w:ascii="Times New Roman" w:hAnsi="Times New Roman"/>
          <w:sz w:val="20"/>
        </w:rPr>
        <w:t>This PLAN OF CONVERSION (this “</w:t>
      </w:r>
      <w:r>
        <w:rPr>
          <w:rFonts w:ascii="Times New Roman" w:hAnsi="Times New Roman"/>
          <w:b/>
          <w:i/>
          <w:sz w:val="20"/>
        </w:rPr>
        <w:t>Plan</w:t>
      </w:r>
      <w:r>
        <w:rPr>
          <w:rFonts w:ascii="Times New Roman" w:hAnsi="Times New Roman"/>
          <w:sz w:val="20"/>
        </w:rPr>
        <w:t>”), dated as of July 2, 2026, is hereby adopted by Energy Transfer LP, a Delaware limited partnership (the “</w:t>
      </w:r>
      <w:r>
        <w:rPr>
          <w:rFonts w:ascii="Times New Roman" w:hAnsi="Times New Roman"/>
          <w:b/>
          <w:i/>
          <w:sz w:val="20"/>
        </w:rPr>
        <w:t>Converting Entity</w:t>
      </w:r>
      <w:r>
        <w:rPr>
          <w:rFonts w:ascii="Times New Roman" w:hAnsi="Times New Roman"/>
          <w:sz w:val="20"/>
        </w:rPr>
        <w:t>”), in order to set forth the terms, conditions and procedures governing its conversion into, and continued existence as, Energy Transfer LP, a Texas limited partnership (the “</w:t>
      </w:r>
      <w:r>
        <w:rPr>
          <w:rFonts w:ascii="Times New Roman" w:hAnsi="Times New Roman"/>
          <w:b/>
          <w:i/>
          <w:sz w:val="20"/>
        </w:rPr>
        <w:t>Converted Entity</w:t>
      </w:r>
      <w:r>
        <w:rPr>
          <w:rFonts w:ascii="Times New Roman" w:hAnsi="Times New Roman"/>
          <w:sz w:val="20"/>
        </w:rPr>
        <w:t>”), pursuant to Title 1, Chapter 10, Subchapter C of the Texas Business Organizations Code (the “</w:t>
      </w:r>
      <w:r>
        <w:rPr>
          <w:rFonts w:ascii="Times New Roman" w:hAnsi="Times New Roman"/>
          <w:b/>
          <w:i/>
          <w:sz w:val="20"/>
        </w:rPr>
        <w:t>TBOC</w:t>
      </w:r>
      <w:r>
        <w:rPr>
          <w:rFonts w:ascii="Times New Roman" w:hAnsi="Times New Roman"/>
          <w:sz w:val="20"/>
        </w:rPr>
        <w:t>”) and Section 17-219 of the Delaware Revised Uniform Limited Partnership Act (the “</w:t>
      </w:r>
      <w:r>
        <w:rPr>
          <w:rFonts w:ascii="Times New Roman" w:hAnsi="Times New Roman"/>
          <w:b/>
          <w:i/>
          <w:sz w:val="20"/>
        </w:rPr>
        <w:t>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the general partner of the Converting Entity, in reliance in part on the recommendation and Special Approval (as defined in the Fourth Amended and Restated Agreement of Limited Partnership of the Converting Entity (the “</w:t>
      </w:r>
      <w:r>
        <w:rPr>
          <w:rFonts w:ascii="Times New Roman" w:hAnsi="Times New Roman"/>
          <w:b/>
          <w:i/>
          <w:sz w:val="20"/>
        </w:rPr>
        <w:t>Delaware Partnership Agreement</w:t>
      </w:r>
      <w:r>
        <w:rPr>
          <w:rFonts w:ascii="Times New Roman" w:hAnsi="Times New Roman"/>
          <w:sz w:val="20"/>
        </w:rPr>
        <w:t>”)) of the Conflicts Committee (as defined in the Delaware Partnership Agreement), has approved this Plan and the conversion of the Converting Entity into the Converted Entity (the “</w:t>
      </w:r>
      <w:r>
        <w:rPr>
          <w:rFonts w:ascii="Times New Roman" w:hAnsi="Times New Roman"/>
          <w:b/>
          <w:i/>
          <w:sz w:val="20"/>
        </w:rPr>
        <w:t>Conversion</w:t>
      </w:r>
      <w:r>
        <w:rPr>
          <w:rFonts w:ascii="Times New Roman" w:hAnsi="Times New Roman"/>
          <w:sz w:val="20"/>
        </w:rPr>
        <w:t xml:space="preserve">”) and the board of directors of the general partner has adopted such resolutions as required pursuant to the terms of the Act.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the Converting Entity does hereby adopt this Plan, as set forth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Plan of Conversion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Converting Entity is “Energy Transfer LP”, a Delaware limited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Converted Entity is to be “Energy Transfer LP”, a Texas limited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Converting Entity is continuing its existence, without lapse or interruption, in the organizational form of a Texas limited partnership under the name “Energy Transfer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Converted Entity is to be a limited partnership, and its jurisdiction of formation is the State of Texas.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Capitalized terms used in this Plan and not otherwise defined shall have the respective meaning in the Fourth Amended and Restated Agreement of Limited Partnership of the Converting Entity or the Texas Partnership Agreement (as defined below), as applicable. As of the Effective Time, automatically by virtue of the Conversion and without any further action on the part of any person, (i) each Common Unit representing a limited partner interest of the Converting Entity issued and outstanding immediately prior to the Effective Time shall be automatically converted into one Common Unit of the Converted Entity, (ii) each Class A Unit of the Converting Entity issued and outstanding immediately prior to the Effective Time shall be automatically converted into one Class A Unit of the Converted Entity, (iii) each Class B Unit of the Converting Entity issued and outstanding immediately prior to the Effective Time shall be automatically converted into one Class B Unit of the Converted Entity, (iv) each Series B Preferred Unit of the Converting Entity issued and outstanding immediately prior to the Effective Time shall be automatically converted into one Series B Preferred Unit of the Converted Entity, (v) each Series G Preferred Unit of the Converting Entity issued and outstanding immediately prior to the Effective Time shall be automatically converted into one Series G Preferred Unit of the Converted Entity, (vi) each Series H Preferred Unit of the Converting Entity issued and outstanding immediately prior to the Effective Time shall be automatically converted into one Series H Preferred Unit of the Converted Entity, (vii) each Series I Preferred Unit of the Converting Entity issued and outstanding immediately prior to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323"/>
        <w:gridCol w:w="8882"/>
      </w:tblGrid>
      <w:tr>
        <w:trPr/>
        <w:tc>
          <w:tcPr>
            <w:tcW w:w="1323" w:type="dxa"/>
            <w:tcBorders/>
            <w:vAlign w:val="center"/>
          </w:tcPr>
          <w:p>
            <w:pPr>
              <w:pStyle w:val="TableContents"/>
              <w:bidi w:val="0"/>
              <w:spacing w:before="0" w:after="283"/>
              <w:jc w:val="left"/>
              <w:rPr/>
            </w:pPr>
            <w:r>
              <w:rPr/>
              <w:t> </w:t>
            </w:r>
          </w:p>
        </w:tc>
        <w:tc>
          <w:tcPr>
            <w:tcW w:w="8882" w:type="dxa"/>
            <w:tcBorders/>
          </w:tcPr>
          <w:p>
            <w:pPr>
              <w:pStyle w:val="TableContents"/>
              <w:bidi w:val="0"/>
              <w:spacing w:before="0" w:after="283"/>
              <w:jc w:val="left"/>
              <w:rPr/>
            </w:pPr>
            <w:r>
              <w:rPr/>
              <w:t xml:space="preserve">the Effective Time shall be automatically converted into one Series I Preferred Unit of the Converted Entity and (viii) each General Partner Unit of the Converting Entity issued and outstanding immediately prior to the Effective Time shall be automatically converted into one General Partner Unit of the Converted Entity. At and after the Effective Time: (x) all of the outstanding certificates that immediately prior thereto represented issued and outstanding Partnership Securities of the Converting Entity shall be deemed for all purposes to evidence ownership of and to represent Partnership Securities of the Converted Entity into which the units represented by such certificates have been converted as herein provided and shall be so registered on the books and records of the Converted Entity and its transfer agent; and (y) all of the issued and outstanding Partnership Securities of the Converting Entity that are in uncertificated book-entry form shall automatically become the number and class of Partnership Securities of the Converted Entity into which such units of the Converting Entity have been converted as herein provided in accordance with the customary procedures of the Converting Entity’s transfer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f.</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the Effective Time, automatically by virtue of the Conversion and without any further action on the part of any person, each employment letter or agreement, employee benefit plan or agreement, incentive compensation plan or agreement or other similar plan or agreement to which the Converting Entity is a party, or otherwise maintains, sponsors or contributes, shall continue to be a plan or agreement of the Converted Entity on the same terms and conditions and any references to the Converting Entity thereunder shall mean the Converted Entity on and after the Effective Time. To the extent that any such plan, letter or agreement provides for the issuance, or is otherwise based on the value, of Common Units or other equity security of the Converting Entity, as of the Effective Time, automatically by virtue of the Conversion and without any further action on the part of any person, such plan or agreement shall be deemed to provide for the issuance, or be based on the value, of Common Units or other equity security of the Converted Entity,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g.</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the Effective Time, automatically by virtue of the Conversion and without any further action on the part of any person, each agreement to which the Converting Entity is a party shall continue to be an agreement of the Converted Entity on the same terms and conditions and any references to the Converting Entity thereunder shall, on and after the Effective Time, mean the Converted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Effective Time</w:t>
            </w:r>
            <w:r>
              <w:rPr>
                <w:rFonts w:ascii="Times New Roman" w:hAnsi="Times New Roman"/>
                <w:sz w:val="20"/>
              </w:rPr>
              <w:t>. The Conversion will be consummated under the TBOC by filing with the Secretary of State of the State of Texas (a) a Certificate of Conversion in the form required by the TBOC (the “</w:t>
            </w:r>
            <w:r>
              <w:rPr>
                <w:rFonts w:ascii="Times New Roman" w:hAnsi="Times New Roman"/>
                <w:b/>
                <w:i/>
                <w:sz w:val="20"/>
              </w:rPr>
              <w:t>Texas Certificate</w:t>
            </w:r>
            <w:r>
              <w:rPr>
                <w:rFonts w:ascii="Times New Roman" w:hAnsi="Times New Roman"/>
                <w:sz w:val="20"/>
              </w:rPr>
              <w:t xml:space="preserve">”) and executed in accordance with the relevant provisions of the TBOC and (b) a Certificate of Formation in the form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b/>
                <w:i/>
                <w:sz w:val="20"/>
              </w:rPr>
              <w:t>Certificate of Formation</w:t>
            </w:r>
            <w:r>
              <w:rPr>
                <w:rFonts w:ascii="Times New Roman" w:hAnsi="Times New Roman"/>
                <w:sz w:val="20"/>
              </w:rPr>
              <w:t>”). The Texas Certificate shall become effective at 12:01 a.m. Central Time on July 6, 2026 (the “</w:t>
            </w:r>
            <w:r>
              <w:rPr>
                <w:rFonts w:ascii="Times New Roman" w:hAnsi="Times New Roman"/>
                <w:b/>
                <w:i/>
                <w:sz w:val="20"/>
              </w:rPr>
              <w:t>Effective Time</w:t>
            </w:r>
            <w:r>
              <w:rPr>
                <w:rFonts w:ascii="Times New Roman" w:hAnsi="Times New Roman"/>
                <w:sz w:val="20"/>
              </w:rPr>
              <w:t xml:space="preserve">”). Simultaneously with the filing of the Texas Certificate, the Converting Entity is authorized and empowered to take any such actions as may be necessary or prudent in connection with the Conversion under the Act, including the filing of a Certificate of Conversion to a Non-Delaware Entity in the form attached hereto as </w:t>
            </w:r>
            <w:r>
              <w:rPr>
                <w:rFonts w:ascii="Times New Roman" w:hAnsi="Times New Roman"/>
                <w:sz w:val="20"/>
                <w:u w:val="single"/>
              </w:rPr>
              <w:t>Exhibit B</w:t>
            </w:r>
            <w:r>
              <w:rPr>
                <w:rFonts w:ascii="Times New Roman" w:hAnsi="Times New Roman"/>
                <w:sz w:val="20"/>
              </w:rPr>
              <w:t xml:space="preserve"> with the Secretary of State of the State of Delaware.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Effects of the Conversion</w:t>
            </w:r>
            <w:r>
              <w:rPr>
                <w:rFonts w:ascii="Times New Roman" w:hAnsi="Times New Roman"/>
                <w:sz w:val="20"/>
              </w:rPr>
              <w:t xml:space="preserve">. The Conversion will have the effects set forth in the TBOC and, to the extent necessary, the Act, including, without limitation, the effects set forth in </w:t>
            </w:r>
            <w:r>
              <w:rPr>
                <w:rFonts w:ascii="Times New Roman" w:hAnsi="Times New Roman"/>
                <w:sz w:val="20"/>
                <w:u w:val="single"/>
              </w:rPr>
              <w:t>Section 1(c)</w:t>
            </w:r>
            <w:r>
              <w:rPr>
                <w:rFonts w:ascii="Times New Roman" w:hAnsi="Times New Roman"/>
                <w:sz w:val="20"/>
              </w:rPr>
              <w:t xml:space="preserve"> of this Plan. The Converted Entity will be responsible for the payment of all of the Converting Entity’s fees and franchise taxes and will be responsible for all of the Converting Entity’s debts and liabilities. Without limitation of the foregoing, the Conversion shall have no effect on, and shall not, in any way, alter, modify, limit or impair the pending unitholder derivative complaint, </w:t>
            </w:r>
            <w:r>
              <w:rPr>
                <w:rFonts w:ascii="Times New Roman" w:hAnsi="Times New Roman"/>
                <w:i/>
                <w:sz w:val="20"/>
              </w:rPr>
              <w:t>Inter-Marketing Group USA, Inc. v. LE GP, LLC, et al.</w:t>
            </w:r>
            <w:r>
              <w:rPr>
                <w:rFonts w:ascii="Times New Roman" w:hAnsi="Times New Roman"/>
                <w:sz w:val="20"/>
              </w:rPr>
              <w:t xml:space="preserve">, C.A. No. 2022-0139-BWD, filed in the Delaware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Court of Chancery on February 9, 2022, derivatively by a unitholder of the Converting Entity on behalf of the Converting Entity (the “</w:t>
            </w:r>
            <w:r>
              <w:rPr>
                <w:b/>
                <w:i/>
              </w:rPr>
              <w:t>Pending Derivative Litigation</w:t>
            </w:r>
            <w:r>
              <w:rPr/>
              <w:t xml:space="preserve">”), including, without limitation, with respect to matters such as standing, choice of law and forum selection, or any of the rights, duties or obligations of any party to the Pending Derivative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Governance of the Converted Entity</w:t>
            </w:r>
            <w:r>
              <w:rPr>
                <w:rFonts w:ascii="Times New Roman" w:hAnsi="Times New Roman"/>
                <w:sz w:val="20"/>
              </w:rPr>
              <w:t>. On and after the Effective Time, the affairs of the Converted Entity shall be governed in accordance with the TBOC and the Certificate of Formation, and the Agreement of Limited Partnership (the “</w:t>
            </w:r>
            <w:r>
              <w:rPr>
                <w:rFonts w:ascii="Times New Roman" w:hAnsi="Times New Roman"/>
                <w:b/>
                <w:i/>
                <w:sz w:val="20"/>
              </w:rPr>
              <w:t>Texas Partnership Agreement</w:t>
            </w:r>
            <w:r>
              <w:rPr>
                <w:rFonts w:ascii="Times New Roman" w:hAnsi="Times New Roman"/>
                <w:sz w:val="20"/>
              </w:rPr>
              <w:t xml:space="preserve">”) of the Converted Entity in substantially the form attached hereto as </w:t>
            </w:r>
            <w:r>
              <w:rPr>
                <w:rFonts w:ascii="Times New Roman" w:hAnsi="Times New Roman"/>
                <w:sz w:val="20"/>
                <w:u w:val="single"/>
              </w:rPr>
              <w:t>Exhibit C</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Foreign Qualifications of the Converted Entity</w:t>
            </w:r>
            <w:r>
              <w:rPr>
                <w:rFonts w:ascii="Times New Roman" w:hAnsi="Times New Roman"/>
                <w:sz w:val="20"/>
              </w:rPr>
              <w:t xml:space="preserve">. For the purpose of authorizing the Converted Entity to do business in any state, territory or dependency of the United States, including, but not limited to, Delaware, or in any foreign country in which it is necessary or expedient for the Converted Entity to transact business, the officers of the general partner of the Converted Entity are hereby authorized and empowered to appoint and substitute all necessary agents or attorneys for service of process, to designate and to prepare, execute, and file, for and on behalf of the Converted Entity, all necessary certificates, reports, powers of attorney, and other instruments as may be required by the laws of such state, territory, dependency or foreign country to authorize the Converted Entity to transact business therein, and whenever it is expedient for the Converted Entity to cease doing business therein and withdraw therefrom, to revoke any appointment of agent or attorney for service of process, and to file such certificates, reports, revocation of appointment or surrender of authority as may be necessary to terminate the authority of the Converted Entity to do business in any such state, territory, dependency or foreign country, and all actions taken by the officers of the general partner of the Converted Entity prior to the Effective Time in furtherance of this </w:t>
            </w:r>
            <w:r>
              <w:rPr>
                <w:rFonts w:ascii="Times New Roman" w:hAnsi="Times New Roman"/>
                <w:sz w:val="20"/>
                <w:u w:val="single"/>
              </w:rPr>
              <w:t>Section 5</w:t>
            </w:r>
            <w:r>
              <w:rPr>
                <w:rFonts w:ascii="Times New Roman" w:hAnsi="Times New Roman"/>
                <w:sz w:val="20"/>
              </w:rPr>
              <w:t xml:space="preserve"> shall be, and each of them hereby is, approved, ratified and confirmed in all respects as the proper acts and deeds of the Converted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Third Party Beneficiaries</w:t>
            </w:r>
            <w:r>
              <w:rPr>
                <w:rFonts w:ascii="Times New Roman" w:hAnsi="Times New Roman"/>
                <w:sz w:val="20"/>
              </w:rPr>
              <w:t xml:space="preserve">. This Plan shall not confer any rights or remedies upon any person or entity other than as expressly provided herein, it being understood that, notwithstanding anything to the contrary in this Plan, no provision of this Plan is intended to, or does, confer any rights or remedies on any current or former service provider of the Converting Entity (nor any other individual associated therewith) and none of such individuals shall be regarded for any purpose as a third-party beneficiary to this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Severability</w:t>
            </w:r>
            <w:r>
              <w:rPr>
                <w:rFonts w:ascii="Times New Roman" w:hAnsi="Times New Roman"/>
                <w:sz w:val="20"/>
              </w:rPr>
              <w:t xml:space="preserve">. Whenever possible, each term and provision of this Plan will be interpreted in such manner as to be effective and valid under applicable law, but if any term or provision of this Plan is held to be prohibited by or invalid under applicable law or in any jurisdiction, such term or provision will be ineffective only to the extent of such prohibition or invalidity, without invalidating the remainder of this Plan. Upon the determination that any term or provision of this Plan is invalid, illegal or unenforceable, such term or provision shall be deemed amended in such jurisdiction, without further action on the part of any person or entity, to the limited extent necessary to render the same valid, legal or enforceable. </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undersigned, being the general partner of the Converting Entity, has caused this Plan of Conversion to be executed by its duly authorized representative as of the date first stated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 GP, LLC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Thomas E. Long</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Name: Thomas E. Long</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Title: Co-Chief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Energy Transfer LP Plan of Conversion</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Formation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619875" cy="857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19875" cy="85725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This space reserved for office use. Form 207 (Revised 12/21) Submit in duplicate to: Secretary of State P.O. Box 13697 Certificate of Formation Austin, TX 78711-3697 Limited Partnership 512 463-5555 Filing Fee: $750 Article 1 – Entity Name and Type The filing entity being formed is a limited partnership. The name of the entity is: Energy Transfer LP The name must contain the words “limited,” “limited partnership,” or an abbreviation of that word or phrase. The name of a limited partnership that is also a limited liability partnership must also contain the phrase “limited liability partnership” or “limited liability limited partnership” or an abbreviation of one of those phrases. Article 2 – Registered Agent and Registered Office (Select and complete either A or B and complete C) A. The initial registered agent is an organization (cannot be entity named above) by the name of: Corporation Service Company d/b/a CSC-Lawyers Incorporating Service Company OR B. The initial registered agent is an individual resident of the state whose name is set forth below: First Name M.I. Last Name Suffix C. The business address of the registered agent and the registered office address is: 211 East 7th Street, Suite 620 Austin TX 78701 Street Address City State Zip Code Article 3—Governing Authority (Provide the name and address of each general partner.) The name and address of each general partner are set forth below: GENERAL PARTNER 1 NAME (Enter the name of either an individual or an organization, but not both.) IF INDIVIDUAL First Name M.I. Last Name Suffix OR IF ORGANIZATION LE GP, LLC Organization Name ADDRESS 8111 Westchester Drive, Suite 600 Dallas TX USA 75225 Street or Mailing Address City State Country Zip Code Form 207 1</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619875" cy="8572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619875" cy="85725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GENERAL PARTNER 2 NAME (Enter the name of either an individual or an organization, but not both.) IF INDIVIDUAL First Name M.I. Last Name Suffix OR IF ORGANIZATION Organization Name ADDRESS Street or Mailing Address City State Country Zip Code GENERAL PARTNER 3 NAME (Enter the name of either an individual or an organization, but not both.) IF INDIVIDUAL First Name M.I. Last Name Suffix OR IF ORGANIZATION Organization Name ADDRESS Street or Mailing Address City State Country Zip Code Article 4—Principal Office The address of the principal office of the limited partnership in the United States where records are to be kept or made available under section 153.551 of the Texas Business Organizations Code is: 8111 Westchester Drive, Suite 600 Dallas TX USA 75225 Street or Mailing Address City State Country Zip Code Initial Mailing Address (Provide the mailing address to which state franchise tax correspondence should be sent.) 8111 Westchester Drive, Suite 600 Dallas TX 75225 USA Mailing Address City State Zip Code Country Supplemental Provisions/Information Text Area: [The attached addendum, if any, is incorporated herein by reference.] Energy Transfer LP is being formed under a Plan of Conversion pursuant to Section 10.102 of the Texas Business Organizations Code. The name of the converting entity is “Energy Transfer LP”, a Delaware limited partnership formed on August 23, 2005. The address of the converting entity is 8111 Westchester Drive, Suite 600, Dallas, Texas 75225. Form 207 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619875" cy="8572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619875" cy="85725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Effectiveness of Filing (Select either A, B, or C.) A. This document becomes effective when the document is filed by the secretary of state. B. This document becomes effective at a later date, which is not more than ninety (90) days from the date of signing. The delayed effective date is: 12:01 a.m. Central Time on July 6, 2026 C. This document takes effect upon the occurrence of the future event or fact, other than the passage of time. The 90th day after the date of signing is: The following event or fact will cause the document to take effect in the manner described below: Execution The undersigned general partner affirms that the person designated as registered agent has consented to the appointment. The undersigned also affirms that, to the best knowledge of the undersigned, the name provided as the name of the filing entity does not falsely imply an affiliation with a governmental entity. The undersigned signs this document subject to the penalties imposed by law for the submission of a materially false or fraudulent instrument and certifies under penalty of perjury that the undersigned is authorized to execute the filing instrument. Date:    Signature for each general partner: LE GP, LLC Thomas E. Long, Co-Chief Executive Officer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Delaware Certificate of Conversion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B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CONVERSION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ENERGY TRANSFER LP </w:t>
      </w:r>
    </w:p>
    <w:p>
      <w:pPr>
        <w:pStyle w:val="TextBody"/>
        <w:bidi w:val="0"/>
        <w:spacing w:before="0" w:after="0"/>
        <w:jc w:val="center"/>
        <w:rPr>
          <w:rFonts w:ascii="Times New Roman" w:hAnsi="Times New Roman"/>
          <w:b/>
          <w:sz w:val="20"/>
        </w:rPr>
      </w:pPr>
      <w:r>
        <w:rPr>
          <w:rFonts w:ascii="Times New Roman" w:hAnsi="Times New Roman"/>
          <w:b/>
          <w:sz w:val="20"/>
        </w:rPr>
        <w:t xml:space="preserve">(a Delaware limited partnership) </w:t>
      </w:r>
    </w:p>
    <w:p>
      <w:pPr>
        <w:pStyle w:val="TextBody"/>
        <w:bidi w:val="0"/>
        <w:spacing w:before="0" w:after="0"/>
        <w:jc w:val="center"/>
        <w:rPr>
          <w:rFonts w:ascii="Times New Roman" w:hAnsi="Times New Roman"/>
          <w:b/>
          <w:sz w:val="20"/>
        </w:rPr>
      </w:pPr>
      <w:r>
        <w:rPr>
          <w:rFonts w:ascii="Times New Roman" w:hAnsi="Times New Roman"/>
          <w:b/>
          <w:sz w:val="20"/>
        </w:rPr>
        <w:t xml:space="preserve">TO </w:t>
      </w:r>
    </w:p>
    <w:p>
      <w:pPr>
        <w:pStyle w:val="TextBody"/>
        <w:bidi w:val="0"/>
        <w:spacing w:before="0" w:after="0"/>
        <w:jc w:val="center"/>
        <w:rPr>
          <w:rFonts w:ascii="Times New Roman" w:hAnsi="Times New Roman"/>
          <w:b/>
          <w:sz w:val="20"/>
        </w:rPr>
      </w:pPr>
      <w:r>
        <w:rPr>
          <w:rFonts w:ascii="Times New Roman" w:hAnsi="Times New Roman"/>
          <w:b/>
          <w:sz w:val="20"/>
        </w:rPr>
        <w:t xml:space="preserve">ENERGY TRANSFER LP </w:t>
      </w:r>
    </w:p>
    <w:p>
      <w:pPr>
        <w:pStyle w:val="TextBody"/>
        <w:bidi w:val="0"/>
        <w:spacing w:before="0" w:after="0"/>
        <w:jc w:val="center"/>
        <w:rPr>
          <w:rFonts w:ascii="Times New Roman" w:hAnsi="Times New Roman"/>
          <w:b/>
          <w:sz w:val="20"/>
        </w:rPr>
      </w:pPr>
      <w:r>
        <w:rPr>
          <w:rFonts w:ascii="Times New Roman" w:hAnsi="Times New Roman"/>
          <w:b/>
          <w:sz w:val="20"/>
        </w:rPr>
        <w:t xml:space="preserve">(a Texas limited partnership) </w:t>
      </w:r>
    </w:p>
    <w:p>
      <w:pPr>
        <w:pStyle w:val="TextBody"/>
        <w:bidi w:val="0"/>
        <w:spacing w:before="0" w:after="0"/>
        <w:jc w:val="center"/>
        <w:rPr>
          <w:rFonts w:ascii="Times New Roman" w:hAnsi="Times New Roman"/>
          <w:sz w:val="20"/>
        </w:rPr>
      </w:pPr>
      <w:r>
        <w:rPr>
          <w:rFonts w:ascii="Times New Roman" w:hAnsi="Times New Roman"/>
          <w:sz w:val="20"/>
        </w:rPr>
        <w:t xml:space="preserve">(Pursuant to Section 17-219 of the Delaware Revised Uniform Limited Partnership Act) </w:t>
      </w:r>
    </w:p>
    <w:p>
      <w:pPr>
        <w:pStyle w:val="TextBody"/>
        <w:bidi w:val="0"/>
        <w:spacing w:before="240" w:after="0"/>
        <w:jc w:val="left"/>
        <w:rPr>
          <w:rFonts w:ascii="Times New Roman" w:hAnsi="Times New Roman"/>
          <w:sz w:val="20"/>
        </w:rPr>
      </w:pPr>
      <w:r>
        <w:rPr>
          <w:rFonts w:ascii="Times New Roman" w:hAnsi="Times New Roman"/>
          <w:sz w:val="20"/>
        </w:rPr>
        <w:t xml:space="preserve">1. The present name of the limited partnership is Energy Transfer LP (the “Limited Partnership”). The Limited Partnership was first formed as a Texas limited partnership under the name La Grange Energy, L.P., and converted to a Delaware limited partnership under the name Energy Transfer Equity, L.P. </w:t>
      </w:r>
    </w:p>
    <w:p>
      <w:pPr>
        <w:pStyle w:val="TextBody"/>
        <w:bidi w:val="0"/>
        <w:spacing w:before="240" w:after="0"/>
        <w:jc w:val="left"/>
        <w:rPr>
          <w:rFonts w:ascii="Times New Roman" w:hAnsi="Times New Roman"/>
          <w:sz w:val="20"/>
        </w:rPr>
      </w:pPr>
      <w:r>
        <w:rPr>
          <w:rFonts w:ascii="Times New Roman" w:hAnsi="Times New Roman"/>
          <w:sz w:val="20"/>
        </w:rPr>
        <w:t xml:space="preserve">2. The date of filing of the Limited Partnership’s original certificate of limited partnership with the Secretary of State of the State of Delaware is August 23, 2005. </w:t>
      </w:r>
    </w:p>
    <w:p>
      <w:pPr>
        <w:pStyle w:val="TextBody"/>
        <w:bidi w:val="0"/>
        <w:spacing w:before="240" w:after="0"/>
        <w:jc w:val="left"/>
        <w:rPr>
          <w:rFonts w:ascii="Times New Roman" w:hAnsi="Times New Roman"/>
          <w:sz w:val="20"/>
        </w:rPr>
      </w:pPr>
      <w:r>
        <w:rPr>
          <w:rFonts w:ascii="Times New Roman" w:hAnsi="Times New Roman"/>
          <w:sz w:val="20"/>
        </w:rPr>
        <w:t xml:space="preserve">3. The jurisdiction to which the Limited Partnership shall be converted is the State of Texas, and the name of the converted Texas limited partnership shall be Energy Transfer LP. </w:t>
      </w:r>
    </w:p>
    <w:p>
      <w:pPr>
        <w:pStyle w:val="TextBody"/>
        <w:bidi w:val="0"/>
        <w:spacing w:before="240" w:after="0"/>
        <w:jc w:val="left"/>
        <w:rPr>
          <w:rFonts w:ascii="Times New Roman" w:hAnsi="Times New Roman"/>
          <w:sz w:val="20"/>
        </w:rPr>
      </w:pPr>
      <w:r>
        <w:rPr>
          <w:rFonts w:ascii="Times New Roman" w:hAnsi="Times New Roman"/>
          <w:sz w:val="20"/>
        </w:rPr>
        <w:t xml:space="preserve">4. This Certificate of Conversion shall become effective at 1:01 a.m. Eastern Time on July 6, 2026. </w:t>
      </w:r>
    </w:p>
    <w:p>
      <w:pPr>
        <w:pStyle w:val="TextBody"/>
        <w:bidi w:val="0"/>
        <w:spacing w:before="240" w:after="0"/>
        <w:jc w:val="left"/>
        <w:rPr>
          <w:rFonts w:ascii="Times New Roman" w:hAnsi="Times New Roman"/>
          <w:sz w:val="20"/>
        </w:rPr>
      </w:pPr>
      <w:r>
        <w:rPr>
          <w:rFonts w:ascii="Times New Roman" w:hAnsi="Times New Roman"/>
          <w:sz w:val="20"/>
        </w:rPr>
        <w:t xml:space="preserve">5. The conversion has been approved in accordance with Section 17-219 of the Delaware Revised Uniform Limited Partnership Act. </w:t>
      </w:r>
    </w:p>
    <w:p>
      <w:pPr>
        <w:pStyle w:val="TextBody"/>
        <w:bidi w:val="0"/>
        <w:spacing w:before="240" w:after="0"/>
        <w:jc w:val="left"/>
        <w:rPr>
          <w:rFonts w:ascii="Times New Roman" w:hAnsi="Times New Roman"/>
          <w:sz w:val="20"/>
        </w:rPr>
      </w:pPr>
      <w:r>
        <w:rPr>
          <w:rFonts w:ascii="Times New Roman" w:hAnsi="Times New Roman"/>
          <w:sz w:val="20"/>
        </w:rPr>
        <w:t xml:space="preserve">6. The Limited Partnership may be served with process in the State of Delaware in any action, suit or proceeding for enforcement of any obligation of the Limited Partnership arising while it was a limited partnership of the State of Delaware, and it irrevocably appoints the Secretary of State of the State of Delaware as its agent to accept service of process in any such action, suit or proceeding. </w:t>
      </w:r>
    </w:p>
    <w:p>
      <w:pPr>
        <w:pStyle w:val="TextBody"/>
        <w:bidi w:val="0"/>
        <w:spacing w:before="240" w:after="0"/>
        <w:jc w:val="left"/>
        <w:rPr>
          <w:rFonts w:ascii="Times New Roman" w:hAnsi="Times New Roman"/>
          <w:sz w:val="20"/>
        </w:rPr>
      </w:pPr>
      <w:r>
        <w:rPr>
          <w:rFonts w:ascii="Times New Roman" w:hAnsi="Times New Roman"/>
          <w:sz w:val="20"/>
        </w:rPr>
        <w:t xml:space="preserve">7. The address to which a copy of the process shall be mailed to by the Secretary of State of the State of Delaware is 8111 Westchester Drive, Suite 600, Dallas, Texas 75225.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undersigned has executed this Certificate of Conversion in accordance with Section 17-204 of the Delaware Revised Uniform Limited Partnership Act.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ENERGY TRANSFER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By: LE GP, LLC, its general partner</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 </w:t>
            </w:r>
          </w:p>
        </w:tc>
      </w:tr>
      <w:tr>
        <w:trPr/>
        <w:tc>
          <w:tcPr>
            <w:tcW w:w="672"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Thomas E. Long</w:t>
            </w:r>
          </w:p>
        </w:tc>
      </w:tr>
      <w:tr>
        <w:trPr/>
        <w:tc>
          <w:tcPr>
            <w:tcW w:w="672"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Co-Chief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w:t>
      </w:r>
    </w:p>
    <w:p>
      <w:pPr>
        <w:pStyle w:val="TextBody"/>
        <w:bidi w:val="0"/>
        <w:spacing w:before="0" w:after="0"/>
        <w:jc w:val="center"/>
        <w:rPr>
          <w:rFonts w:ascii="Times New Roman" w:hAnsi="Times New Roman"/>
          <w:sz w:val="20"/>
        </w:rPr>
      </w:pPr>
      <w:r>
        <w:rPr>
          <w:rFonts w:ascii="Times New Roman" w:hAnsi="Times New Roman"/>
          <w:sz w:val="20"/>
        </w:rPr>
        <w:t xml:space="preserve">CERTIFICATE OF CONVERSION (DE) OF </w:t>
      </w:r>
    </w:p>
    <w:p>
      <w:pPr>
        <w:pStyle w:val="TextBody"/>
        <w:bidi w:val="0"/>
        <w:spacing w:before="0" w:after="0"/>
        <w:jc w:val="center"/>
        <w:rPr>
          <w:rFonts w:ascii="Times New Roman" w:hAnsi="Times New Roman"/>
          <w:sz w:val="20"/>
        </w:rPr>
      </w:pPr>
      <w:r>
        <w:rPr>
          <w:rFonts w:ascii="Times New Roman" w:hAnsi="Times New Roman"/>
          <w:sz w:val="20"/>
        </w:rPr>
        <w:t xml:space="preserve">ENERGY TRANSFER LP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u w:val="single"/>
        </w:rPr>
        <w:t>EXHIBIT C</w:t>
      </w:r>
      <w:r>
        <w:rPr>
          <w:rFonts w:ascii="Times New Roman" w:hAnsi="Times New Roman"/>
          <w:b/>
          <w:sz w:val="20"/>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Texas Partnership Agreement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AGREEMENT OF LIMITED PARTNERSHIP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ENERGY TRANSFER LP </w:t>
      </w:r>
    </w:p>
    <w:p>
      <w:pPr>
        <w:pStyle w:val="TextBody"/>
        <w:bidi w:val="0"/>
        <w:spacing w:before="240" w:after="0"/>
        <w:jc w:val="center"/>
        <w:rPr>
          <w:rFonts w:ascii="Times New Roman" w:hAnsi="Times New Roman"/>
          <w:b/>
          <w:sz w:val="20"/>
        </w:rPr>
      </w:pPr>
      <w:r>
        <w:rPr>
          <w:rFonts w:ascii="Times New Roman" w:hAnsi="Times New Roman"/>
          <w:b/>
          <w:sz w:val="20"/>
        </w:rPr>
        <w:t xml:space="preserve">(a Texas Limited Partnership)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56"/>
        <w:gridCol w:w="126"/>
        <w:gridCol w:w="7493"/>
        <w:gridCol w:w="176"/>
        <w:gridCol w:w="90"/>
        <w:gridCol w:w="401"/>
        <w:gridCol w:w="63"/>
      </w:tblGrid>
      <w:tr>
        <w:trPr/>
        <w:tc>
          <w:tcPr>
            <w:tcW w:w="18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493"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856"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49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491"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475" w:type="dxa"/>
            <w:gridSpan w:val="3"/>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gridSpan w:val="3"/>
            <w:tcBorders/>
          </w:tcPr>
          <w:p>
            <w:pPr>
              <w:pStyle w:val="TableContents"/>
              <w:bidi w:val="0"/>
              <w:spacing w:before="0" w:after="283"/>
              <w:jc w:val="left"/>
              <w:rPr>
                <w:b/>
              </w:rPr>
            </w:pPr>
            <w:r>
              <w:rPr>
                <w:b/>
              </w:rPr>
              <w:t>ARTICLE I DEFINITIONS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b/>
              </w:rPr>
            </w:pPr>
            <w:r>
              <w:rPr>
                <w:b/>
              </w:rPr>
              <w:t>2</w:t>
            </w:r>
          </w:p>
        </w:tc>
        <w:tc>
          <w:tcPr>
            <w:tcW w:w="63" w:type="dxa"/>
            <w:tcBorders/>
            <w:vAlign w:val="bottom"/>
          </w:tcPr>
          <w:p>
            <w:pPr>
              <w:pStyle w:val="TableContents"/>
              <w:bidi w:val="0"/>
              <w:spacing w:before="0" w:after="283"/>
              <w:jc w:val="left"/>
              <w:rPr/>
            </w:pPr>
            <w:r>
              <w:rPr/>
              <w:t> </w:t>
            </w:r>
          </w:p>
        </w:tc>
      </w:tr>
      <w:tr>
        <w:trPr>
          <w:trHeight w:val="120" w:hRule="atLeast"/>
        </w:trPr>
        <w:tc>
          <w:tcPr>
            <w:tcW w:w="1856" w:type="dxa"/>
            <w:tcBorders/>
            <w:vAlign w:val="center"/>
          </w:tcPr>
          <w:p>
            <w:pPr>
              <w:pStyle w:val="TableContents"/>
              <w:bidi w:val="0"/>
              <w:spacing w:before="0" w:after="283"/>
              <w:jc w:val="left"/>
              <w:rPr>
                <w:sz w:val="4"/>
                <w:szCs w:val="4"/>
              </w:rPr>
            </w:pPr>
            <w:r>
              <w:rPr>
                <w:sz w:val="4"/>
                <w:szCs w:val="4"/>
              </w:rPr>
            </w:r>
          </w:p>
        </w:tc>
        <w:tc>
          <w:tcPr>
            <w:tcW w:w="7619"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126" w:type="dxa"/>
            <w:tcBorders/>
            <w:vAlign w:val="bottom"/>
          </w:tcPr>
          <w:p>
            <w:pPr>
              <w:pStyle w:val="TableContents"/>
              <w:bidi w:val="0"/>
              <w:spacing w:before="0" w:after="283"/>
              <w:jc w:val="left"/>
              <w:rPr/>
            </w:pPr>
            <w:r>
              <w:rPr/>
              <w:t> </w:t>
            </w:r>
          </w:p>
        </w:tc>
        <w:tc>
          <w:tcPr>
            <w:tcW w:w="7493" w:type="dxa"/>
            <w:tcBorders/>
          </w:tcPr>
          <w:p>
            <w:pPr>
              <w:pStyle w:val="TableContents"/>
              <w:bidi w:val="0"/>
              <w:spacing w:before="0" w:after="283"/>
              <w:jc w:val="left"/>
              <w:rPr/>
            </w:pPr>
            <w:r>
              <w:rPr/>
              <w:t>Definitions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126" w:type="dxa"/>
            <w:tcBorders/>
            <w:vAlign w:val="bottom"/>
          </w:tcPr>
          <w:p>
            <w:pPr>
              <w:pStyle w:val="TableContents"/>
              <w:bidi w:val="0"/>
              <w:spacing w:before="0" w:after="283"/>
              <w:jc w:val="left"/>
              <w:rPr/>
            </w:pPr>
            <w:r>
              <w:rPr/>
              <w:t> </w:t>
            </w:r>
          </w:p>
        </w:tc>
        <w:tc>
          <w:tcPr>
            <w:tcW w:w="7493" w:type="dxa"/>
            <w:tcBorders/>
          </w:tcPr>
          <w:p>
            <w:pPr>
              <w:pStyle w:val="TableContents"/>
              <w:bidi w:val="0"/>
              <w:spacing w:before="0" w:after="283"/>
              <w:jc w:val="left"/>
              <w:rPr/>
            </w:pPr>
            <w:r>
              <w:rPr/>
              <w:t>Construction</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9475" w:type="dxa"/>
            <w:gridSpan w:val="3"/>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gridSpan w:val="3"/>
            <w:tcBorders/>
          </w:tcPr>
          <w:p>
            <w:pPr>
              <w:pStyle w:val="TableContents"/>
              <w:bidi w:val="0"/>
              <w:spacing w:before="0" w:after="283"/>
              <w:jc w:val="left"/>
              <w:rPr>
                <w:b/>
              </w:rPr>
            </w:pPr>
            <w:r>
              <w:rPr>
                <w:b/>
              </w:rPr>
              <w:t>ARTICLE II ORGANIZATION</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b/>
              </w:rPr>
            </w:pPr>
            <w:r>
              <w:rPr>
                <w:b/>
              </w:rPr>
              <w:t>29</w:t>
            </w:r>
          </w:p>
        </w:tc>
        <w:tc>
          <w:tcPr>
            <w:tcW w:w="63" w:type="dxa"/>
            <w:tcBorders/>
            <w:vAlign w:val="bottom"/>
          </w:tcPr>
          <w:p>
            <w:pPr>
              <w:pStyle w:val="TableContents"/>
              <w:bidi w:val="0"/>
              <w:spacing w:before="0" w:after="283"/>
              <w:jc w:val="left"/>
              <w:rPr/>
            </w:pPr>
            <w:r>
              <w:rPr/>
              <w:t> </w:t>
            </w:r>
          </w:p>
        </w:tc>
      </w:tr>
      <w:tr>
        <w:trPr>
          <w:trHeight w:val="120" w:hRule="atLeast"/>
        </w:trPr>
        <w:tc>
          <w:tcPr>
            <w:tcW w:w="1856" w:type="dxa"/>
            <w:tcBorders/>
            <w:vAlign w:val="center"/>
          </w:tcPr>
          <w:p>
            <w:pPr>
              <w:pStyle w:val="TableContents"/>
              <w:bidi w:val="0"/>
              <w:spacing w:before="0" w:after="283"/>
              <w:jc w:val="left"/>
              <w:rPr>
                <w:sz w:val="4"/>
                <w:szCs w:val="4"/>
              </w:rPr>
            </w:pPr>
            <w:r>
              <w:rPr>
                <w:sz w:val="4"/>
                <w:szCs w:val="4"/>
              </w:rPr>
            </w:r>
          </w:p>
        </w:tc>
        <w:tc>
          <w:tcPr>
            <w:tcW w:w="7619"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126" w:type="dxa"/>
            <w:tcBorders/>
            <w:vAlign w:val="bottom"/>
          </w:tcPr>
          <w:p>
            <w:pPr>
              <w:pStyle w:val="TableContents"/>
              <w:bidi w:val="0"/>
              <w:spacing w:before="0" w:after="283"/>
              <w:jc w:val="left"/>
              <w:rPr/>
            </w:pPr>
            <w:r>
              <w:rPr/>
              <w:t> </w:t>
            </w:r>
          </w:p>
        </w:tc>
        <w:tc>
          <w:tcPr>
            <w:tcW w:w="7493" w:type="dxa"/>
            <w:tcBorders/>
          </w:tcPr>
          <w:p>
            <w:pPr>
              <w:pStyle w:val="TableContents"/>
              <w:bidi w:val="0"/>
              <w:spacing w:before="0" w:after="283"/>
              <w:jc w:val="left"/>
              <w:rPr/>
            </w:pPr>
            <w:r>
              <w:rPr/>
              <w:t>Formation</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126" w:type="dxa"/>
            <w:tcBorders/>
            <w:vAlign w:val="bottom"/>
          </w:tcPr>
          <w:p>
            <w:pPr>
              <w:pStyle w:val="TableContents"/>
              <w:bidi w:val="0"/>
              <w:spacing w:before="0" w:after="283"/>
              <w:jc w:val="left"/>
              <w:rPr/>
            </w:pPr>
            <w:r>
              <w:rPr/>
              <w:t> </w:t>
            </w:r>
          </w:p>
        </w:tc>
        <w:tc>
          <w:tcPr>
            <w:tcW w:w="7493" w:type="dxa"/>
            <w:tcBorders/>
          </w:tcPr>
          <w:p>
            <w:pPr>
              <w:pStyle w:val="TableContents"/>
              <w:bidi w:val="0"/>
              <w:spacing w:before="0" w:after="283"/>
              <w:jc w:val="left"/>
              <w:rPr/>
            </w:pPr>
            <w:r>
              <w:rPr/>
              <w:t>Name</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126" w:type="dxa"/>
            <w:tcBorders/>
            <w:vAlign w:val="bottom"/>
          </w:tcPr>
          <w:p>
            <w:pPr>
              <w:pStyle w:val="TableContents"/>
              <w:bidi w:val="0"/>
              <w:spacing w:before="0" w:after="283"/>
              <w:jc w:val="left"/>
              <w:rPr/>
            </w:pPr>
            <w:r>
              <w:rPr/>
              <w:t> </w:t>
            </w:r>
          </w:p>
        </w:tc>
        <w:tc>
          <w:tcPr>
            <w:tcW w:w="7493" w:type="dxa"/>
            <w:tcBorders/>
          </w:tcPr>
          <w:p>
            <w:pPr>
              <w:pStyle w:val="TableContents"/>
              <w:bidi w:val="0"/>
              <w:spacing w:before="0" w:after="283"/>
              <w:jc w:val="left"/>
              <w:rPr/>
            </w:pPr>
            <w:r>
              <w:rPr/>
              <w:t>Registered Office; Registered Agent; Principal Office; Other Offices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126" w:type="dxa"/>
            <w:tcBorders/>
            <w:vAlign w:val="bottom"/>
          </w:tcPr>
          <w:p>
            <w:pPr>
              <w:pStyle w:val="TableContents"/>
              <w:bidi w:val="0"/>
              <w:spacing w:before="0" w:after="283"/>
              <w:jc w:val="left"/>
              <w:rPr/>
            </w:pPr>
            <w:r>
              <w:rPr/>
              <w:t> </w:t>
            </w:r>
          </w:p>
        </w:tc>
        <w:tc>
          <w:tcPr>
            <w:tcW w:w="7493" w:type="dxa"/>
            <w:tcBorders/>
          </w:tcPr>
          <w:p>
            <w:pPr>
              <w:pStyle w:val="TableContents"/>
              <w:bidi w:val="0"/>
              <w:spacing w:before="0" w:after="283"/>
              <w:jc w:val="left"/>
              <w:rPr/>
            </w:pPr>
            <w:r>
              <w:rPr/>
              <w:t>Purpose and Business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126" w:type="dxa"/>
            <w:tcBorders/>
            <w:vAlign w:val="bottom"/>
          </w:tcPr>
          <w:p>
            <w:pPr>
              <w:pStyle w:val="TableContents"/>
              <w:bidi w:val="0"/>
              <w:spacing w:before="0" w:after="283"/>
              <w:jc w:val="left"/>
              <w:rPr/>
            </w:pPr>
            <w:r>
              <w:rPr/>
              <w:t> </w:t>
            </w:r>
          </w:p>
        </w:tc>
        <w:tc>
          <w:tcPr>
            <w:tcW w:w="7493" w:type="dxa"/>
            <w:tcBorders/>
          </w:tcPr>
          <w:p>
            <w:pPr>
              <w:pStyle w:val="TableContents"/>
              <w:bidi w:val="0"/>
              <w:spacing w:before="0" w:after="283"/>
              <w:jc w:val="left"/>
              <w:rPr/>
            </w:pPr>
            <w:r>
              <w:rPr/>
              <w:t>Powers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126" w:type="dxa"/>
            <w:tcBorders/>
            <w:vAlign w:val="bottom"/>
          </w:tcPr>
          <w:p>
            <w:pPr>
              <w:pStyle w:val="TableContents"/>
              <w:bidi w:val="0"/>
              <w:spacing w:before="0" w:after="283"/>
              <w:jc w:val="left"/>
              <w:rPr/>
            </w:pPr>
            <w:r>
              <w:rPr/>
              <w:t> </w:t>
            </w:r>
          </w:p>
        </w:tc>
        <w:tc>
          <w:tcPr>
            <w:tcW w:w="7493" w:type="dxa"/>
            <w:tcBorders/>
          </w:tcPr>
          <w:p>
            <w:pPr>
              <w:pStyle w:val="TableContents"/>
              <w:bidi w:val="0"/>
              <w:spacing w:before="0" w:after="283"/>
              <w:jc w:val="left"/>
              <w:rPr/>
            </w:pPr>
            <w:r>
              <w:rPr/>
              <w:t>Power of Attorney</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126" w:type="dxa"/>
            <w:tcBorders/>
            <w:vAlign w:val="bottom"/>
          </w:tcPr>
          <w:p>
            <w:pPr>
              <w:pStyle w:val="TableContents"/>
              <w:bidi w:val="0"/>
              <w:spacing w:before="0" w:after="283"/>
              <w:jc w:val="left"/>
              <w:rPr/>
            </w:pPr>
            <w:r>
              <w:rPr/>
              <w:t> </w:t>
            </w:r>
          </w:p>
        </w:tc>
        <w:tc>
          <w:tcPr>
            <w:tcW w:w="7493" w:type="dxa"/>
            <w:tcBorders/>
          </w:tcPr>
          <w:p>
            <w:pPr>
              <w:pStyle w:val="TableContents"/>
              <w:bidi w:val="0"/>
              <w:spacing w:before="0" w:after="283"/>
              <w:jc w:val="left"/>
              <w:rPr/>
            </w:pPr>
            <w:r>
              <w:rPr/>
              <w:t>Term</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Section 2.8</w:t>
            </w:r>
          </w:p>
        </w:tc>
        <w:tc>
          <w:tcPr>
            <w:tcW w:w="126" w:type="dxa"/>
            <w:tcBorders/>
            <w:vAlign w:val="bottom"/>
          </w:tcPr>
          <w:p>
            <w:pPr>
              <w:pStyle w:val="TableContents"/>
              <w:bidi w:val="0"/>
              <w:spacing w:before="0" w:after="283"/>
              <w:jc w:val="left"/>
              <w:rPr/>
            </w:pPr>
            <w:r>
              <w:rPr/>
              <w:t> </w:t>
            </w:r>
          </w:p>
        </w:tc>
        <w:tc>
          <w:tcPr>
            <w:tcW w:w="7493" w:type="dxa"/>
            <w:tcBorders/>
          </w:tcPr>
          <w:p>
            <w:pPr>
              <w:pStyle w:val="TableContents"/>
              <w:bidi w:val="0"/>
              <w:spacing w:before="0" w:after="283"/>
              <w:jc w:val="left"/>
              <w:rPr/>
            </w:pPr>
            <w:r>
              <w:rPr/>
              <w:t>Title to Partnership Assets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9475" w:type="dxa"/>
            <w:gridSpan w:val="3"/>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gridSpan w:val="3"/>
            <w:tcBorders/>
          </w:tcPr>
          <w:p>
            <w:pPr>
              <w:pStyle w:val="TableContents"/>
              <w:bidi w:val="0"/>
              <w:spacing w:before="0" w:after="283"/>
              <w:jc w:val="left"/>
              <w:rPr>
                <w:b/>
              </w:rPr>
            </w:pPr>
            <w:r>
              <w:rPr>
                <w:b/>
              </w:rPr>
              <w:t>ARTICLE III RIGHTS OF LIMITED PARTNERS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b/>
              </w:rPr>
            </w:pPr>
            <w:r>
              <w:rPr>
                <w:b/>
              </w:rPr>
              <w:t>32</w:t>
            </w:r>
          </w:p>
        </w:tc>
        <w:tc>
          <w:tcPr>
            <w:tcW w:w="63" w:type="dxa"/>
            <w:tcBorders/>
            <w:vAlign w:val="bottom"/>
          </w:tcPr>
          <w:p>
            <w:pPr>
              <w:pStyle w:val="TableContents"/>
              <w:bidi w:val="0"/>
              <w:spacing w:before="0" w:after="283"/>
              <w:jc w:val="left"/>
              <w:rPr/>
            </w:pPr>
            <w:r>
              <w:rPr/>
              <w:t> </w:t>
            </w:r>
          </w:p>
        </w:tc>
      </w:tr>
      <w:tr>
        <w:trPr>
          <w:trHeight w:val="120" w:hRule="atLeast"/>
        </w:trPr>
        <w:tc>
          <w:tcPr>
            <w:tcW w:w="1856" w:type="dxa"/>
            <w:tcBorders/>
            <w:vAlign w:val="center"/>
          </w:tcPr>
          <w:p>
            <w:pPr>
              <w:pStyle w:val="TableContents"/>
              <w:bidi w:val="0"/>
              <w:spacing w:before="0" w:after="283"/>
              <w:jc w:val="left"/>
              <w:rPr>
                <w:sz w:val="4"/>
                <w:szCs w:val="4"/>
              </w:rPr>
            </w:pPr>
            <w:r>
              <w:rPr>
                <w:sz w:val="4"/>
                <w:szCs w:val="4"/>
              </w:rPr>
            </w:r>
          </w:p>
        </w:tc>
        <w:tc>
          <w:tcPr>
            <w:tcW w:w="7619"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126" w:type="dxa"/>
            <w:tcBorders/>
            <w:vAlign w:val="bottom"/>
          </w:tcPr>
          <w:p>
            <w:pPr>
              <w:pStyle w:val="TableContents"/>
              <w:bidi w:val="0"/>
              <w:spacing w:before="0" w:after="283"/>
              <w:jc w:val="left"/>
              <w:rPr/>
            </w:pPr>
            <w:r>
              <w:rPr/>
              <w:t> </w:t>
            </w:r>
          </w:p>
        </w:tc>
        <w:tc>
          <w:tcPr>
            <w:tcW w:w="7493" w:type="dxa"/>
            <w:tcBorders/>
          </w:tcPr>
          <w:p>
            <w:pPr>
              <w:pStyle w:val="TableContents"/>
              <w:bidi w:val="0"/>
              <w:spacing w:before="0" w:after="283"/>
              <w:jc w:val="left"/>
              <w:rPr/>
            </w:pPr>
            <w:r>
              <w:rPr/>
              <w:t>Limitation of Liability</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126" w:type="dxa"/>
            <w:tcBorders/>
            <w:vAlign w:val="bottom"/>
          </w:tcPr>
          <w:p>
            <w:pPr>
              <w:pStyle w:val="TableContents"/>
              <w:bidi w:val="0"/>
              <w:spacing w:before="0" w:after="283"/>
              <w:jc w:val="left"/>
              <w:rPr/>
            </w:pPr>
            <w:r>
              <w:rPr/>
              <w:t> </w:t>
            </w:r>
          </w:p>
        </w:tc>
        <w:tc>
          <w:tcPr>
            <w:tcW w:w="7493" w:type="dxa"/>
            <w:tcBorders/>
          </w:tcPr>
          <w:p>
            <w:pPr>
              <w:pStyle w:val="TableContents"/>
              <w:bidi w:val="0"/>
              <w:spacing w:before="0" w:after="283"/>
              <w:jc w:val="left"/>
              <w:rPr/>
            </w:pPr>
            <w:r>
              <w:rPr/>
              <w:t>Management of Business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126" w:type="dxa"/>
            <w:tcBorders/>
            <w:vAlign w:val="bottom"/>
          </w:tcPr>
          <w:p>
            <w:pPr>
              <w:pStyle w:val="TableContents"/>
              <w:bidi w:val="0"/>
              <w:spacing w:before="0" w:after="283"/>
              <w:jc w:val="left"/>
              <w:rPr/>
            </w:pPr>
            <w:r>
              <w:rPr/>
              <w:t> </w:t>
            </w:r>
          </w:p>
        </w:tc>
        <w:tc>
          <w:tcPr>
            <w:tcW w:w="7493" w:type="dxa"/>
            <w:tcBorders/>
          </w:tcPr>
          <w:p>
            <w:pPr>
              <w:pStyle w:val="TableContents"/>
              <w:bidi w:val="0"/>
              <w:spacing w:before="0" w:after="283"/>
              <w:jc w:val="left"/>
              <w:rPr/>
            </w:pPr>
            <w:r>
              <w:rPr/>
              <w:t>Outside Activities of the Limited Partners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126" w:type="dxa"/>
            <w:tcBorders/>
            <w:vAlign w:val="bottom"/>
          </w:tcPr>
          <w:p>
            <w:pPr>
              <w:pStyle w:val="TableContents"/>
              <w:bidi w:val="0"/>
              <w:spacing w:before="0" w:after="283"/>
              <w:jc w:val="left"/>
              <w:rPr/>
            </w:pPr>
            <w:r>
              <w:rPr/>
              <w:t> </w:t>
            </w:r>
          </w:p>
        </w:tc>
        <w:tc>
          <w:tcPr>
            <w:tcW w:w="7493" w:type="dxa"/>
            <w:tcBorders/>
          </w:tcPr>
          <w:p>
            <w:pPr>
              <w:pStyle w:val="TableContents"/>
              <w:bidi w:val="0"/>
              <w:spacing w:before="0" w:after="283"/>
              <w:jc w:val="left"/>
              <w:rPr/>
            </w:pPr>
            <w:r>
              <w:rPr/>
              <w:t>Rights of Limited Partners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120" w:hRule="atLeast"/>
        </w:trPr>
        <w:tc>
          <w:tcPr>
            <w:tcW w:w="9475" w:type="dxa"/>
            <w:gridSpan w:val="3"/>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gridSpan w:val="3"/>
            <w:tcBorders/>
          </w:tcPr>
          <w:p>
            <w:pPr>
              <w:pStyle w:val="TableContents"/>
              <w:bidi w:val="0"/>
              <w:spacing w:before="0" w:after="283"/>
              <w:jc w:val="left"/>
              <w:rPr>
                <w:b/>
              </w:rPr>
            </w:pPr>
            <w:r>
              <w:rPr>
                <w:b/>
              </w:rPr>
              <w:t>ARTICLE IV CERTIFICATES; RECORD HOLDERS; TRANSFER OF PARTNERSHIP INTERESTS; REDEMPTION OF PARTNERSHIP INTERESTS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b/>
              </w:rPr>
            </w:pPr>
            <w:r>
              <w:rPr>
                <w:b/>
              </w:rPr>
              <w:t>34</w:t>
            </w:r>
          </w:p>
        </w:tc>
        <w:tc>
          <w:tcPr>
            <w:tcW w:w="63" w:type="dxa"/>
            <w:tcBorders/>
            <w:vAlign w:val="bottom"/>
          </w:tcPr>
          <w:p>
            <w:pPr>
              <w:pStyle w:val="TableContents"/>
              <w:bidi w:val="0"/>
              <w:spacing w:before="0" w:after="283"/>
              <w:jc w:val="left"/>
              <w:rPr/>
            </w:pPr>
            <w:r>
              <w:rPr/>
              <w:t> </w:t>
            </w:r>
          </w:p>
        </w:tc>
      </w:tr>
      <w:tr>
        <w:trPr>
          <w:trHeight w:val="120" w:hRule="atLeast"/>
        </w:trPr>
        <w:tc>
          <w:tcPr>
            <w:tcW w:w="1856" w:type="dxa"/>
            <w:tcBorders/>
            <w:vAlign w:val="center"/>
          </w:tcPr>
          <w:p>
            <w:pPr>
              <w:pStyle w:val="TableContents"/>
              <w:bidi w:val="0"/>
              <w:spacing w:before="0" w:after="283"/>
              <w:jc w:val="left"/>
              <w:rPr>
                <w:sz w:val="4"/>
                <w:szCs w:val="4"/>
              </w:rPr>
            </w:pPr>
            <w:r>
              <w:rPr>
                <w:sz w:val="4"/>
                <w:szCs w:val="4"/>
              </w:rPr>
            </w:r>
          </w:p>
        </w:tc>
        <w:tc>
          <w:tcPr>
            <w:tcW w:w="7619"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126" w:type="dxa"/>
            <w:tcBorders/>
            <w:vAlign w:val="bottom"/>
          </w:tcPr>
          <w:p>
            <w:pPr>
              <w:pStyle w:val="TableContents"/>
              <w:bidi w:val="0"/>
              <w:spacing w:before="0" w:after="283"/>
              <w:jc w:val="left"/>
              <w:rPr/>
            </w:pPr>
            <w:r>
              <w:rPr/>
              <w:t> </w:t>
            </w:r>
          </w:p>
        </w:tc>
        <w:tc>
          <w:tcPr>
            <w:tcW w:w="7493" w:type="dxa"/>
            <w:tcBorders/>
          </w:tcPr>
          <w:p>
            <w:pPr>
              <w:pStyle w:val="TableContents"/>
              <w:bidi w:val="0"/>
              <w:spacing w:before="0" w:after="283"/>
              <w:jc w:val="left"/>
              <w:rPr/>
            </w:pPr>
            <w:r>
              <w:rPr/>
              <w:t>Certificates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126" w:type="dxa"/>
            <w:tcBorders/>
            <w:vAlign w:val="bottom"/>
          </w:tcPr>
          <w:p>
            <w:pPr>
              <w:pStyle w:val="TableContents"/>
              <w:bidi w:val="0"/>
              <w:spacing w:before="0" w:after="283"/>
              <w:jc w:val="left"/>
              <w:rPr/>
            </w:pPr>
            <w:r>
              <w:rPr/>
              <w:t> </w:t>
            </w:r>
          </w:p>
        </w:tc>
        <w:tc>
          <w:tcPr>
            <w:tcW w:w="7493" w:type="dxa"/>
            <w:tcBorders/>
          </w:tcPr>
          <w:p>
            <w:pPr>
              <w:pStyle w:val="TableContents"/>
              <w:bidi w:val="0"/>
              <w:spacing w:before="0" w:after="283"/>
              <w:jc w:val="left"/>
              <w:rPr/>
            </w:pPr>
            <w:r>
              <w:rPr/>
              <w:t>Mutilated, Destroyed, Lost or Stolen Certificates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126" w:type="dxa"/>
            <w:tcBorders/>
            <w:vAlign w:val="bottom"/>
          </w:tcPr>
          <w:p>
            <w:pPr>
              <w:pStyle w:val="TableContents"/>
              <w:bidi w:val="0"/>
              <w:spacing w:before="0" w:after="283"/>
              <w:jc w:val="left"/>
              <w:rPr/>
            </w:pPr>
            <w:r>
              <w:rPr/>
              <w:t> </w:t>
            </w:r>
          </w:p>
        </w:tc>
        <w:tc>
          <w:tcPr>
            <w:tcW w:w="7493" w:type="dxa"/>
            <w:tcBorders/>
          </w:tcPr>
          <w:p>
            <w:pPr>
              <w:pStyle w:val="TableContents"/>
              <w:bidi w:val="0"/>
              <w:spacing w:before="0" w:after="283"/>
              <w:jc w:val="left"/>
              <w:rPr/>
            </w:pPr>
            <w:r>
              <w:rPr/>
              <w:t>Record Holders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126" w:type="dxa"/>
            <w:tcBorders/>
            <w:vAlign w:val="bottom"/>
          </w:tcPr>
          <w:p>
            <w:pPr>
              <w:pStyle w:val="TableContents"/>
              <w:bidi w:val="0"/>
              <w:spacing w:before="0" w:after="283"/>
              <w:jc w:val="left"/>
              <w:rPr/>
            </w:pPr>
            <w:r>
              <w:rPr/>
              <w:t> </w:t>
            </w:r>
          </w:p>
        </w:tc>
        <w:tc>
          <w:tcPr>
            <w:tcW w:w="7493" w:type="dxa"/>
            <w:tcBorders/>
          </w:tcPr>
          <w:p>
            <w:pPr>
              <w:pStyle w:val="TableContents"/>
              <w:bidi w:val="0"/>
              <w:spacing w:before="0" w:after="283"/>
              <w:jc w:val="left"/>
              <w:rPr/>
            </w:pPr>
            <w:r>
              <w:rPr/>
              <w:t>Transfer Generally</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126" w:type="dxa"/>
            <w:tcBorders/>
            <w:vAlign w:val="bottom"/>
          </w:tcPr>
          <w:p>
            <w:pPr>
              <w:pStyle w:val="TableContents"/>
              <w:bidi w:val="0"/>
              <w:spacing w:before="0" w:after="283"/>
              <w:jc w:val="left"/>
              <w:rPr/>
            </w:pPr>
            <w:r>
              <w:rPr/>
              <w:t> </w:t>
            </w:r>
          </w:p>
        </w:tc>
        <w:tc>
          <w:tcPr>
            <w:tcW w:w="7493" w:type="dxa"/>
            <w:tcBorders/>
          </w:tcPr>
          <w:p>
            <w:pPr>
              <w:pStyle w:val="TableContents"/>
              <w:bidi w:val="0"/>
              <w:spacing w:before="0" w:after="283"/>
              <w:jc w:val="left"/>
              <w:rPr/>
            </w:pPr>
            <w:r>
              <w:rPr/>
              <w:t>Registration and Transfer of Limited Partner Interests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Section 4.6</w:t>
            </w:r>
          </w:p>
        </w:tc>
        <w:tc>
          <w:tcPr>
            <w:tcW w:w="126" w:type="dxa"/>
            <w:tcBorders/>
            <w:vAlign w:val="bottom"/>
          </w:tcPr>
          <w:p>
            <w:pPr>
              <w:pStyle w:val="TableContents"/>
              <w:bidi w:val="0"/>
              <w:spacing w:before="0" w:after="283"/>
              <w:jc w:val="left"/>
              <w:rPr/>
            </w:pPr>
            <w:r>
              <w:rPr/>
              <w:t> </w:t>
            </w:r>
          </w:p>
        </w:tc>
        <w:tc>
          <w:tcPr>
            <w:tcW w:w="7493" w:type="dxa"/>
            <w:tcBorders/>
          </w:tcPr>
          <w:p>
            <w:pPr>
              <w:pStyle w:val="TableContents"/>
              <w:bidi w:val="0"/>
              <w:spacing w:before="0" w:after="283"/>
              <w:jc w:val="left"/>
              <w:rPr/>
            </w:pPr>
            <w:r>
              <w:rPr/>
              <w:t>Transfer of the General Partner Interest</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Section 4.7</w:t>
            </w:r>
          </w:p>
        </w:tc>
        <w:tc>
          <w:tcPr>
            <w:tcW w:w="126" w:type="dxa"/>
            <w:tcBorders/>
            <w:vAlign w:val="bottom"/>
          </w:tcPr>
          <w:p>
            <w:pPr>
              <w:pStyle w:val="TableContents"/>
              <w:bidi w:val="0"/>
              <w:spacing w:before="0" w:after="283"/>
              <w:jc w:val="left"/>
              <w:rPr/>
            </w:pPr>
            <w:r>
              <w:rPr/>
              <w:t> </w:t>
            </w:r>
          </w:p>
        </w:tc>
        <w:tc>
          <w:tcPr>
            <w:tcW w:w="7493" w:type="dxa"/>
            <w:tcBorders/>
          </w:tcPr>
          <w:p>
            <w:pPr>
              <w:pStyle w:val="TableContents"/>
              <w:bidi w:val="0"/>
              <w:spacing w:before="0" w:after="283"/>
              <w:jc w:val="left"/>
              <w:rPr/>
            </w:pPr>
            <w:r>
              <w:rPr/>
              <w:t>Restrictions on Transfers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Section 4.8</w:t>
            </w:r>
          </w:p>
        </w:tc>
        <w:tc>
          <w:tcPr>
            <w:tcW w:w="126" w:type="dxa"/>
            <w:tcBorders/>
            <w:vAlign w:val="bottom"/>
          </w:tcPr>
          <w:p>
            <w:pPr>
              <w:pStyle w:val="TableContents"/>
              <w:bidi w:val="0"/>
              <w:spacing w:before="0" w:after="283"/>
              <w:jc w:val="left"/>
              <w:rPr/>
            </w:pPr>
            <w:r>
              <w:rPr/>
              <w:t> </w:t>
            </w:r>
          </w:p>
        </w:tc>
        <w:tc>
          <w:tcPr>
            <w:tcW w:w="7493" w:type="dxa"/>
            <w:tcBorders/>
          </w:tcPr>
          <w:p>
            <w:pPr>
              <w:pStyle w:val="TableContents"/>
              <w:bidi w:val="0"/>
              <w:spacing w:before="0" w:after="283"/>
              <w:jc w:val="left"/>
              <w:rPr/>
            </w:pPr>
            <w:r>
              <w:rPr/>
              <w:t>Taxation Certifications; Ineligible Assignees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Section 4.9</w:t>
            </w:r>
          </w:p>
        </w:tc>
        <w:tc>
          <w:tcPr>
            <w:tcW w:w="126" w:type="dxa"/>
            <w:tcBorders/>
            <w:vAlign w:val="bottom"/>
          </w:tcPr>
          <w:p>
            <w:pPr>
              <w:pStyle w:val="TableContents"/>
              <w:bidi w:val="0"/>
              <w:spacing w:before="0" w:after="283"/>
              <w:jc w:val="left"/>
              <w:rPr/>
            </w:pPr>
            <w:r>
              <w:rPr/>
              <w:t> </w:t>
            </w:r>
          </w:p>
        </w:tc>
        <w:tc>
          <w:tcPr>
            <w:tcW w:w="7493" w:type="dxa"/>
            <w:tcBorders/>
          </w:tcPr>
          <w:p>
            <w:pPr>
              <w:pStyle w:val="TableContents"/>
              <w:bidi w:val="0"/>
              <w:spacing w:before="0" w:after="283"/>
              <w:jc w:val="left"/>
              <w:rPr/>
            </w:pPr>
            <w:r>
              <w:rPr/>
              <w:t>Redemption of Partnership Interests of Ineligible Assignees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120" w:hRule="atLeast"/>
        </w:trPr>
        <w:tc>
          <w:tcPr>
            <w:tcW w:w="9475" w:type="dxa"/>
            <w:gridSpan w:val="3"/>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gridSpan w:val="3"/>
            <w:tcBorders/>
          </w:tcPr>
          <w:p>
            <w:pPr>
              <w:pStyle w:val="TableContents"/>
              <w:bidi w:val="0"/>
              <w:spacing w:before="0" w:after="283"/>
              <w:jc w:val="left"/>
              <w:rPr>
                <w:b/>
              </w:rPr>
            </w:pPr>
            <w:r>
              <w:rPr>
                <w:b/>
              </w:rPr>
              <w:t>ARTICLE V CAPITAL CONTRIBUTIONS AND ISSUANCE OF PARTNERSHIP INTERESTS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b/>
              </w:rPr>
            </w:pPr>
            <w:r>
              <w:rPr>
                <w:b/>
              </w:rPr>
              <w:t>40</w:t>
            </w:r>
          </w:p>
        </w:tc>
        <w:tc>
          <w:tcPr>
            <w:tcW w:w="63" w:type="dxa"/>
            <w:tcBorders/>
            <w:vAlign w:val="bottom"/>
          </w:tcPr>
          <w:p>
            <w:pPr>
              <w:pStyle w:val="TableContents"/>
              <w:bidi w:val="0"/>
              <w:spacing w:before="0" w:after="283"/>
              <w:jc w:val="left"/>
              <w:rPr/>
            </w:pPr>
            <w:r>
              <w:rPr/>
              <w:t> </w:t>
            </w:r>
          </w:p>
        </w:tc>
      </w:tr>
      <w:tr>
        <w:trPr>
          <w:trHeight w:val="120" w:hRule="atLeast"/>
        </w:trPr>
        <w:tc>
          <w:tcPr>
            <w:tcW w:w="1856" w:type="dxa"/>
            <w:tcBorders/>
            <w:vAlign w:val="center"/>
          </w:tcPr>
          <w:p>
            <w:pPr>
              <w:pStyle w:val="TableContents"/>
              <w:bidi w:val="0"/>
              <w:spacing w:before="0" w:after="283"/>
              <w:jc w:val="left"/>
              <w:rPr>
                <w:sz w:val="4"/>
                <w:szCs w:val="4"/>
              </w:rPr>
            </w:pPr>
            <w:r>
              <w:rPr>
                <w:sz w:val="4"/>
                <w:szCs w:val="4"/>
              </w:rPr>
            </w:r>
          </w:p>
        </w:tc>
        <w:tc>
          <w:tcPr>
            <w:tcW w:w="7619"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126" w:type="dxa"/>
            <w:tcBorders/>
            <w:vAlign w:val="bottom"/>
          </w:tcPr>
          <w:p>
            <w:pPr>
              <w:pStyle w:val="TableContents"/>
              <w:bidi w:val="0"/>
              <w:spacing w:before="0" w:after="283"/>
              <w:jc w:val="left"/>
              <w:rPr/>
            </w:pPr>
            <w:r>
              <w:rPr/>
              <w:t> </w:t>
            </w:r>
          </w:p>
        </w:tc>
        <w:tc>
          <w:tcPr>
            <w:tcW w:w="7493" w:type="dxa"/>
            <w:tcBorders/>
          </w:tcPr>
          <w:p>
            <w:pPr>
              <w:pStyle w:val="TableContents"/>
              <w:bidi w:val="0"/>
              <w:spacing w:before="0" w:after="283"/>
              <w:jc w:val="left"/>
              <w:rPr/>
            </w:pPr>
            <w:r>
              <w:rPr/>
              <w:t>Prior Contributions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126" w:type="dxa"/>
            <w:tcBorders/>
            <w:vAlign w:val="bottom"/>
          </w:tcPr>
          <w:p>
            <w:pPr>
              <w:pStyle w:val="TableContents"/>
              <w:bidi w:val="0"/>
              <w:spacing w:before="0" w:after="283"/>
              <w:jc w:val="left"/>
              <w:rPr/>
            </w:pPr>
            <w:r>
              <w:rPr/>
              <w:t> </w:t>
            </w:r>
          </w:p>
        </w:tc>
        <w:tc>
          <w:tcPr>
            <w:tcW w:w="7493" w:type="dxa"/>
            <w:tcBorders/>
          </w:tcPr>
          <w:p>
            <w:pPr>
              <w:pStyle w:val="TableContents"/>
              <w:bidi w:val="0"/>
              <w:spacing w:before="0" w:after="283"/>
              <w:jc w:val="left"/>
              <w:rPr/>
            </w:pPr>
            <w:r>
              <w:rPr/>
              <w:t>Continuation of General Partner and Limited Partner Interests; Initial Offering; Contributions by the General Partner</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126" w:type="dxa"/>
            <w:tcBorders/>
            <w:vAlign w:val="bottom"/>
          </w:tcPr>
          <w:p>
            <w:pPr>
              <w:pStyle w:val="TableContents"/>
              <w:bidi w:val="0"/>
              <w:spacing w:before="0" w:after="283"/>
              <w:jc w:val="left"/>
              <w:rPr/>
            </w:pPr>
            <w:r>
              <w:rPr/>
              <w:t> </w:t>
            </w:r>
          </w:p>
        </w:tc>
        <w:tc>
          <w:tcPr>
            <w:tcW w:w="7493" w:type="dxa"/>
            <w:tcBorders/>
          </w:tcPr>
          <w:p>
            <w:pPr>
              <w:pStyle w:val="TableContents"/>
              <w:bidi w:val="0"/>
              <w:spacing w:before="0" w:after="283"/>
              <w:jc w:val="left"/>
              <w:rPr/>
            </w:pPr>
            <w:r>
              <w:rPr/>
              <w:t>Contributions by the Underwriters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126" w:type="dxa"/>
            <w:tcBorders/>
            <w:vAlign w:val="bottom"/>
          </w:tcPr>
          <w:p>
            <w:pPr>
              <w:pStyle w:val="TableContents"/>
              <w:bidi w:val="0"/>
              <w:spacing w:before="0" w:after="283"/>
              <w:jc w:val="left"/>
              <w:rPr/>
            </w:pPr>
            <w:r>
              <w:rPr/>
              <w:t> </w:t>
            </w:r>
          </w:p>
        </w:tc>
        <w:tc>
          <w:tcPr>
            <w:tcW w:w="7493" w:type="dxa"/>
            <w:tcBorders/>
          </w:tcPr>
          <w:p>
            <w:pPr>
              <w:pStyle w:val="TableContents"/>
              <w:bidi w:val="0"/>
              <w:spacing w:before="0" w:after="283"/>
              <w:jc w:val="left"/>
              <w:rPr/>
            </w:pPr>
            <w:r>
              <w:rPr/>
              <w:t>Interest and Withdrawal</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126" w:type="dxa"/>
            <w:tcBorders/>
            <w:vAlign w:val="bottom"/>
          </w:tcPr>
          <w:p>
            <w:pPr>
              <w:pStyle w:val="TableContents"/>
              <w:bidi w:val="0"/>
              <w:spacing w:before="0" w:after="283"/>
              <w:jc w:val="left"/>
              <w:rPr/>
            </w:pPr>
            <w:r>
              <w:rPr/>
              <w:t> </w:t>
            </w:r>
          </w:p>
        </w:tc>
        <w:tc>
          <w:tcPr>
            <w:tcW w:w="7493" w:type="dxa"/>
            <w:tcBorders/>
          </w:tcPr>
          <w:p>
            <w:pPr>
              <w:pStyle w:val="TableContents"/>
              <w:bidi w:val="0"/>
              <w:spacing w:before="0" w:after="283"/>
              <w:jc w:val="left"/>
              <w:rPr/>
            </w:pPr>
            <w:r>
              <w:rPr/>
              <w:t>Capital Accounts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126" w:type="dxa"/>
            <w:tcBorders/>
            <w:vAlign w:val="bottom"/>
          </w:tcPr>
          <w:p>
            <w:pPr>
              <w:pStyle w:val="TableContents"/>
              <w:bidi w:val="0"/>
              <w:spacing w:before="0" w:after="283"/>
              <w:jc w:val="left"/>
              <w:rPr/>
            </w:pPr>
            <w:r>
              <w:rPr/>
              <w:t> </w:t>
            </w:r>
          </w:p>
        </w:tc>
        <w:tc>
          <w:tcPr>
            <w:tcW w:w="7493" w:type="dxa"/>
            <w:tcBorders/>
          </w:tcPr>
          <w:p>
            <w:pPr>
              <w:pStyle w:val="TableContents"/>
              <w:bidi w:val="0"/>
              <w:spacing w:before="0" w:after="283"/>
              <w:jc w:val="left"/>
              <w:rPr/>
            </w:pPr>
            <w:r>
              <w:rPr/>
              <w:t>Issuances of Additional Partnership Securities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760"/>
        <w:gridCol w:w="117"/>
        <w:gridCol w:w="7671"/>
        <w:gridCol w:w="151"/>
        <w:gridCol w:w="60"/>
        <w:gridCol w:w="382"/>
        <w:gridCol w:w="64"/>
      </w:tblGrid>
      <w:tr>
        <w:trPr/>
        <w:tc>
          <w:tcPr>
            <w:tcW w:w="1760"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7671"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283"/>
              <w:jc w:val="left"/>
              <w:rPr/>
            </w:pPr>
            <w:r>
              <w:rPr/>
              <w:t>Limited Preemptive Right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5.8</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283"/>
              <w:jc w:val="left"/>
              <w:rPr/>
            </w:pPr>
            <w:r>
              <w:rPr/>
              <w:t>Splits and Combinations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5.9</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283"/>
              <w:jc w:val="left"/>
              <w:rPr/>
            </w:pPr>
            <w:r>
              <w:rPr/>
              <w:t>Fully Paid and Non-Assessable Nature of Limited Partner Interests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283"/>
              <w:jc w:val="left"/>
              <w:rPr/>
            </w:pPr>
            <w:r>
              <w:rPr/>
              <w:t>Establishment of Class A Units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283"/>
              <w:jc w:val="left"/>
              <w:rPr/>
            </w:pPr>
            <w:r>
              <w:rPr/>
              <w:t>Establishment of Series B Preferred Units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283"/>
              <w:jc w:val="left"/>
              <w:rPr/>
            </w:pPr>
            <w:r>
              <w:rPr/>
              <w:t>Establishment of Series G Preferred Units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283"/>
              <w:jc w:val="left"/>
              <w:rPr/>
            </w:pPr>
            <w:r>
              <w:rPr/>
              <w:t>Establishment of Class B Units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283"/>
              <w:jc w:val="left"/>
              <w:rPr/>
            </w:pPr>
            <w:r>
              <w:rPr/>
              <w:t>Establishment of Series H Preferred Units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283"/>
              <w:jc w:val="left"/>
              <w:rPr/>
            </w:pPr>
            <w:r>
              <w:rPr/>
              <w:t>Establishment of Series I Preferred Units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rHeight w:val="120" w:hRule="atLeast"/>
        </w:trPr>
        <w:tc>
          <w:tcPr>
            <w:tcW w:w="9548" w:type="dxa"/>
            <w:gridSpan w:val="3"/>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9548" w:type="dxa"/>
            <w:gridSpan w:val="3"/>
            <w:tcBorders/>
          </w:tcPr>
          <w:p>
            <w:pPr>
              <w:pStyle w:val="TableContents"/>
              <w:bidi w:val="0"/>
              <w:spacing w:before="0" w:after="283"/>
              <w:jc w:val="left"/>
              <w:rPr>
                <w:b/>
              </w:rPr>
            </w:pPr>
            <w:r>
              <w:rPr>
                <w:b/>
              </w:rPr>
              <w:t>ARTICLE VI ALLOCATIONS AND DISTRIBUTIONS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b/>
              </w:rPr>
            </w:pPr>
            <w:r>
              <w:rPr>
                <w:b/>
              </w:rPr>
              <w:t>90</w:t>
            </w:r>
          </w:p>
        </w:tc>
        <w:tc>
          <w:tcPr>
            <w:tcW w:w="64" w:type="dxa"/>
            <w:tcBorders/>
            <w:vAlign w:val="bottom"/>
          </w:tcPr>
          <w:p>
            <w:pPr>
              <w:pStyle w:val="TableContents"/>
              <w:bidi w:val="0"/>
              <w:spacing w:before="0" w:after="283"/>
              <w:jc w:val="left"/>
              <w:rPr/>
            </w:pPr>
            <w:r>
              <w:rPr/>
              <w:t> </w:t>
            </w:r>
          </w:p>
        </w:tc>
      </w:tr>
      <w:tr>
        <w:trPr>
          <w:trHeight w:val="120" w:hRule="atLeast"/>
        </w:trPr>
        <w:tc>
          <w:tcPr>
            <w:tcW w:w="1760" w:type="dxa"/>
            <w:tcBorders/>
            <w:vAlign w:val="center"/>
          </w:tcPr>
          <w:p>
            <w:pPr>
              <w:pStyle w:val="TableContents"/>
              <w:bidi w:val="0"/>
              <w:spacing w:before="0" w:after="283"/>
              <w:jc w:val="left"/>
              <w:rPr>
                <w:sz w:val="4"/>
                <w:szCs w:val="4"/>
              </w:rPr>
            </w:pPr>
            <w:r>
              <w:rPr>
                <w:sz w:val="4"/>
                <w:szCs w:val="4"/>
              </w:rPr>
            </w:r>
          </w:p>
        </w:tc>
        <w:tc>
          <w:tcPr>
            <w:tcW w:w="7788"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283"/>
              <w:jc w:val="left"/>
              <w:rPr/>
            </w:pPr>
            <w:r>
              <w:rPr/>
              <w:t>Allocations for Capital Account Purposes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283"/>
              <w:jc w:val="left"/>
              <w:rPr/>
            </w:pPr>
            <w:r>
              <w:rPr/>
              <w:t>Allocations for Tax Purposes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283"/>
              <w:jc w:val="left"/>
              <w:rPr/>
            </w:pPr>
            <w:r>
              <w:rPr/>
              <w:t>Requirement and Characterization of Distributions; Distributions to Record Holders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99</w:t>
            </w:r>
          </w:p>
        </w:tc>
        <w:tc>
          <w:tcPr>
            <w:tcW w:w="64" w:type="dxa"/>
            <w:tcBorders/>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283"/>
              <w:jc w:val="left"/>
              <w:rPr/>
            </w:pPr>
            <w:r>
              <w:rPr/>
              <w:t>Special Provisions Relating to Preferred Unitholders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99</w:t>
            </w:r>
          </w:p>
        </w:tc>
        <w:tc>
          <w:tcPr>
            <w:tcW w:w="64" w:type="dxa"/>
            <w:tcBorders/>
            <w:vAlign w:val="bottom"/>
          </w:tcPr>
          <w:p>
            <w:pPr>
              <w:pStyle w:val="TableContents"/>
              <w:bidi w:val="0"/>
              <w:spacing w:before="0" w:after="283"/>
              <w:jc w:val="left"/>
              <w:rPr/>
            </w:pPr>
            <w:r>
              <w:rPr/>
              <w:t> </w:t>
            </w:r>
          </w:p>
        </w:tc>
      </w:tr>
      <w:tr>
        <w:trPr>
          <w:trHeight w:val="120" w:hRule="atLeast"/>
        </w:trPr>
        <w:tc>
          <w:tcPr>
            <w:tcW w:w="9548" w:type="dxa"/>
            <w:gridSpan w:val="3"/>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9548" w:type="dxa"/>
            <w:gridSpan w:val="3"/>
            <w:tcBorders/>
          </w:tcPr>
          <w:p>
            <w:pPr>
              <w:pStyle w:val="TableContents"/>
              <w:bidi w:val="0"/>
              <w:spacing w:before="0" w:after="283"/>
              <w:jc w:val="left"/>
              <w:rPr>
                <w:b/>
              </w:rPr>
            </w:pPr>
            <w:r>
              <w:rPr>
                <w:b/>
              </w:rPr>
              <w:t>ARTICLE VII MANAGEMENT AND OPERATION OF BUSINESS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b/>
              </w:rPr>
            </w:pPr>
            <w:r>
              <w:rPr>
                <w:b/>
              </w:rPr>
              <w:t>100</w:t>
            </w:r>
          </w:p>
        </w:tc>
        <w:tc>
          <w:tcPr>
            <w:tcW w:w="64" w:type="dxa"/>
            <w:tcBorders/>
            <w:vAlign w:val="bottom"/>
          </w:tcPr>
          <w:p>
            <w:pPr>
              <w:pStyle w:val="TableContents"/>
              <w:bidi w:val="0"/>
              <w:spacing w:before="0" w:after="283"/>
              <w:jc w:val="left"/>
              <w:rPr/>
            </w:pPr>
            <w:r>
              <w:rPr/>
              <w:t> </w:t>
            </w:r>
          </w:p>
        </w:tc>
      </w:tr>
      <w:tr>
        <w:trPr>
          <w:trHeight w:val="120" w:hRule="atLeast"/>
        </w:trPr>
        <w:tc>
          <w:tcPr>
            <w:tcW w:w="1760" w:type="dxa"/>
            <w:tcBorders/>
            <w:vAlign w:val="center"/>
          </w:tcPr>
          <w:p>
            <w:pPr>
              <w:pStyle w:val="TableContents"/>
              <w:bidi w:val="0"/>
              <w:spacing w:before="0" w:after="283"/>
              <w:jc w:val="left"/>
              <w:rPr>
                <w:sz w:val="4"/>
                <w:szCs w:val="4"/>
              </w:rPr>
            </w:pPr>
            <w:r>
              <w:rPr>
                <w:sz w:val="4"/>
                <w:szCs w:val="4"/>
              </w:rPr>
            </w:r>
          </w:p>
        </w:tc>
        <w:tc>
          <w:tcPr>
            <w:tcW w:w="7788"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283"/>
              <w:jc w:val="left"/>
              <w:rPr/>
            </w:pPr>
            <w:r>
              <w:rPr/>
              <w:t>Management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283"/>
              <w:jc w:val="left"/>
              <w:rPr/>
            </w:pPr>
            <w:r>
              <w:rPr/>
              <w:t>Certificate of Formation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283"/>
              <w:jc w:val="left"/>
              <w:rPr/>
            </w:pPr>
            <w:r>
              <w:rPr/>
              <w:t>Restrictions on General Partner’s Authority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283"/>
              <w:jc w:val="left"/>
              <w:rPr/>
            </w:pPr>
            <w:r>
              <w:rPr/>
              <w:t>Reimbursement of the General Partner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283"/>
              <w:jc w:val="left"/>
              <w:rPr/>
            </w:pPr>
            <w:r>
              <w:rPr/>
              <w:t>Outside Activities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103</w:t>
            </w:r>
          </w:p>
        </w:tc>
        <w:tc>
          <w:tcPr>
            <w:tcW w:w="64" w:type="dxa"/>
            <w:tcBorders/>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283"/>
              <w:jc w:val="left"/>
              <w:rPr/>
            </w:pPr>
            <w:r>
              <w:rPr/>
              <w:t>Loans from the General Partner; Loans or Contributions from the Partnership; Contracts with Affiliates; Certain Restrictions on the General Partner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283"/>
              <w:jc w:val="left"/>
              <w:rPr/>
            </w:pPr>
            <w:r>
              <w:rPr/>
              <w:t>Indemnification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283"/>
              <w:jc w:val="left"/>
              <w:rPr/>
            </w:pPr>
            <w:r>
              <w:rPr/>
              <w:t>Liability of Indemnitees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283"/>
              <w:jc w:val="left"/>
              <w:rPr/>
            </w:pPr>
            <w:r>
              <w:rPr/>
              <w:t>Resolution of Conflicts of Interest; Standards of Conduct and Modification of Duties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283"/>
              <w:jc w:val="left"/>
              <w:rPr/>
            </w:pPr>
            <w:r>
              <w:rPr/>
              <w:t>Other Matters Concerning the General Partner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111</w:t>
            </w:r>
          </w:p>
        </w:tc>
        <w:tc>
          <w:tcPr>
            <w:tcW w:w="64" w:type="dxa"/>
            <w:tcBorders/>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283"/>
              <w:jc w:val="left"/>
              <w:rPr/>
            </w:pPr>
            <w:r>
              <w:rPr/>
              <w:t>Purchase or Sale of Partnership Securities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111</w:t>
            </w:r>
          </w:p>
        </w:tc>
        <w:tc>
          <w:tcPr>
            <w:tcW w:w="64" w:type="dxa"/>
            <w:tcBorders/>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283"/>
              <w:jc w:val="left"/>
              <w:rPr/>
            </w:pPr>
            <w:r>
              <w:rPr/>
              <w:t>Registration Rights of the General Partner and its Affiliates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111</w:t>
            </w:r>
          </w:p>
        </w:tc>
        <w:tc>
          <w:tcPr>
            <w:tcW w:w="64" w:type="dxa"/>
            <w:tcBorders/>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283"/>
              <w:jc w:val="left"/>
              <w:rPr/>
            </w:pPr>
            <w:r>
              <w:rPr/>
              <w:t>Reliance by Third Parties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115</w:t>
            </w:r>
          </w:p>
        </w:tc>
        <w:tc>
          <w:tcPr>
            <w:tcW w:w="64" w:type="dxa"/>
            <w:tcBorders/>
            <w:vAlign w:val="bottom"/>
          </w:tcPr>
          <w:p>
            <w:pPr>
              <w:pStyle w:val="TableContents"/>
              <w:bidi w:val="0"/>
              <w:spacing w:before="0" w:after="283"/>
              <w:jc w:val="left"/>
              <w:rPr/>
            </w:pPr>
            <w:r>
              <w:rPr/>
              <w:t> </w:t>
            </w:r>
          </w:p>
        </w:tc>
      </w:tr>
      <w:tr>
        <w:trPr>
          <w:trHeight w:val="120" w:hRule="atLeast"/>
        </w:trPr>
        <w:tc>
          <w:tcPr>
            <w:tcW w:w="9548" w:type="dxa"/>
            <w:gridSpan w:val="3"/>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9548" w:type="dxa"/>
            <w:gridSpan w:val="3"/>
            <w:tcBorders/>
          </w:tcPr>
          <w:p>
            <w:pPr>
              <w:pStyle w:val="TableContents"/>
              <w:bidi w:val="0"/>
              <w:spacing w:before="0" w:after="283"/>
              <w:jc w:val="left"/>
              <w:rPr>
                <w:b/>
              </w:rPr>
            </w:pPr>
            <w:r>
              <w:rPr>
                <w:b/>
              </w:rPr>
              <w:t>ARTICLE VIII BOOKS, RECORDS, ACCOUNTING AND REPORTS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b/>
              </w:rPr>
            </w:pPr>
            <w:r>
              <w:rPr>
                <w:b/>
              </w:rPr>
              <w:t>115</w:t>
            </w:r>
          </w:p>
        </w:tc>
        <w:tc>
          <w:tcPr>
            <w:tcW w:w="64" w:type="dxa"/>
            <w:tcBorders/>
            <w:vAlign w:val="bottom"/>
          </w:tcPr>
          <w:p>
            <w:pPr>
              <w:pStyle w:val="TableContents"/>
              <w:bidi w:val="0"/>
              <w:spacing w:before="0" w:after="283"/>
              <w:jc w:val="left"/>
              <w:rPr/>
            </w:pPr>
            <w:r>
              <w:rPr/>
              <w:t> </w:t>
            </w:r>
          </w:p>
        </w:tc>
      </w:tr>
      <w:tr>
        <w:trPr>
          <w:trHeight w:val="120" w:hRule="atLeast"/>
        </w:trPr>
        <w:tc>
          <w:tcPr>
            <w:tcW w:w="1760" w:type="dxa"/>
            <w:tcBorders/>
            <w:vAlign w:val="center"/>
          </w:tcPr>
          <w:p>
            <w:pPr>
              <w:pStyle w:val="TableContents"/>
              <w:bidi w:val="0"/>
              <w:spacing w:before="0" w:after="283"/>
              <w:jc w:val="left"/>
              <w:rPr>
                <w:sz w:val="4"/>
                <w:szCs w:val="4"/>
              </w:rPr>
            </w:pPr>
            <w:r>
              <w:rPr>
                <w:sz w:val="4"/>
                <w:szCs w:val="4"/>
              </w:rPr>
            </w:r>
          </w:p>
        </w:tc>
        <w:tc>
          <w:tcPr>
            <w:tcW w:w="7788"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283"/>
              <w:jc w:val="left"/>
              <w:rPr/>
            </w:pPr>
            <w:r>
              <w:rPr/>
              <w:t>Records and Accounting</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115</w:t>
            </w:r>
          </w:p>
        </w:tc>
        <w:tc>
          <w:tcPr>
            <w:tcW w:w="64" w:type="dxa"/>
            <w:tcBorders/>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283"/>
              <w:jc w:val="left"/>
              <w:rPr/>
            </w:pPr>
            <w:r>
              <w:rPr/>
              <w:t>Fiscal Year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115</w:t>
            </w:r>
          </w:p>
        </w:tc>
        <w:tc>
          <w:tcPr>
            <w:tcW w:w="64" w:type="dxa"/>
            <w:tcBorders/>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283"/>
              <w:jc w:val="left"/>
              <w:rPr/>
            </w:pPr>
            <w:r>
              <w:rPr/>
              <w:t>Reports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116</w:t>
            </w:r>
          </w:p>
        </w:tc>
        <w:tc>
          <w:tcPr>
            <w:tcW w:w="64" w:type="dxa"/>
            <w:tcBorders/>
            <w:vAlign w:val="bottom"/>
          </w:tcPr>
          <w:p>
            <w:pPr>
              <w:pStyle w:val="TableContents"/>
              <w:bidi w:val="0"/>
              <w:spacing w:before="0" w:after="283"/>
              <w:jc w:val="left"/>
              <w:rPr/>
            </w:pPr>
            <w:r>
              <w:rPr/>
              <w:t> </w:t>
            </w:r>
          </w:p>
        </w:tc>
      </w:tr>
      <w:tr>
        <w:trPr>
          <w:trHeight w:val="120" w:hRule="atLeast"/>
        </w:trPr>
        <w:tc>
          <w:tcPr>
            <w:tcW w:w="9548" w:type="dxa"/>
            <w:gridSpan w:val="3"/>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9548" w:type="dxa"/>
            <w:gridSpan w:val="3"/>
            <w:tcBorders/>
          </w:tcPr>
          <w:p>
            <w:pPr>
              <w:pStyle w:val="TableContents"/>
              <w:bidi w:val="0"/>
              <w:spacing w:before="0" w:after="283"/>
              <w:jc w:val="left"/>
              <w:rPr>
                <w:b/>
              </w:rPr>
            </w:pPr>
            <w:r>
              <w:rPr>
                <w:b/>
              </w:rPr>
              <w:t>ARTICLE IX TAX MATTERS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b/>
              </w:rPr>
            </w:pPr>
            <w:r>
              <w:rPr>
                <w:b/>
              </w:rPr>
              <w:t>116</w:t>
            </w:r>
          </w:p>
        </w:tc>
        <w:tc>
          <w:tcPr>
            <w:tcW w:w="64" w:type="dxa"/>
            <w:tcBorders/>
            <w:vAlign w:val="bottom"/>
          </w:tcPr>
          <w:p>
            <w:pPr>
              <w:pStyle w:val="TableContents"/>
              <w:bidi w:val="0"/>
              <w:spacing w:before="0" w:after="283"/>
              <w:jc w:val="left"/>
              <w:rPr/>
            </w:pPr>
            <w:r>
              <w:rPr/>
              <w:t> </w:t>
            </w:r>
          </w:p>
        </w:tc>
      </w:tr>
      <w:tr>
        <w:trPr>
          <w:trHeight w:val="120" w:hRule="atLeast"/>
        </w:trPr>
        <w:tc>
          <w:tcPr>
            <w:tcW w:w="1760" w:type="dxa"/>
            <w:tcBorders/>
            <w:vAlign w:val="center"/>
          </w:tcPr>
          <w:p>
            <w:pPr>
              <w:pStyle w:val="TableContents"/>
              <w:bidi w:val="0"/>
              <w:spacing w:before="0" w:after="283"/>
              <w:jc w:val="left"/>
              <w:rPr>
                <w:sz w:val="4"/>
                <w:szCs w:val="4"/>
              </w:rPr>
            </w:pPr>
            <w:r>
              <w:rPr>
                <w:sz w:val="4"/>
                <w:szCs w:val="4"/>
              </w:rPr>
            </w:r>
          </w:p>
        </w:tc>
        <w:tc>
          <w:tcPr>
            <w:tcW w:w="7788"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283"/>
              <w:jc w:val="left"/>
              <w:rPr/>
            </w:pPr>
            <w:r>
              <w:rPr/>
              <w:t>Tax Returns and Information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116</w:t>
            </w:r>
          </w:p>
        </w:tc>
        <w:tc>
          <w:tcPr>
            <w:tcW w:w="64" w:type="dxa"/>
            <w:tcBorders/>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283"/>
              <w:jc w:val="left"/>
              <w:rPr/>
            </w:pPr>
            <w:r>
              <w:rPr/>
              <w:t>Tax Elections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116</w:t>
            </w:r>
          </w:p>
        </w:tc>
        <w:tc>
          <w:tcPr>
            <w:tcW w:w="64" w:type="dxa"/>
            <w:tcBorders/>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283"/>
              <w:jc w:val="left"/>
              <w:rPr/>
            </w:pPr>
            <w:r>
              <w:rPr/>
              <w:t>Tax Controversies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117</w:t>
            </w:r>
          </w:p>
        </w:tc>
        <w:tc>
          <w:tcPr>
            <w:tcW w:w="64" w:type="dxa"/>
            <w:tcBorders/>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117" w:type="dxa"/>
            <w:tcBorders/>
            <w:vAlign w:val="bottom"/>
          </w:tcPr>
          <w:p>
            <w:pPr>
              <w:pStyle w:val="TableContents"/>
              <w:bidi w:val="0"/>
              <w:spacing w:before="0" w:after="283"/>
              <w:jc w:val="left"/>
              <w:rPr/>
            </w:pPr>
            <w:r>
              <w:rPr/>
              <w:t> </w:t>
            </w:r>
          </w:p>
        </w:tc>
        <w:tc>
          <w:tcPr>
            <w:tcW w:w="7671" w:type="dxa"/>
            <w:tcBorders/>
          </w:tcPr>
          <w:p>
            <w:pPr>
              <w:pStyle w:val="TableContents"/>
              <w:bidi w:val="0"/>
              <w:spacing w:before="0" w:after="0"/>
              <w:jc w:val="left"/>
              <w:rPr>
                <w:rFonts w:ascii="Times New Roman" w:hAnsi="Times New Roman"/>
                <w:sz w:val="20"/>
              </w:rPr>
            </w:pPr>
            <w:r>
              <w:rPr>
                <w:rFonts w:ascii="Times New Roman" w:hAnsi="Times New Roman"/>
                <w:sz w:val="20"/>
              </w:rPr>
              <w:t>Withholding</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834"/>
        <w:gridCol w:w="118"/>
        <w:gridCol w:w="7592"/>
        <w:gridCol w:w="152"/>
        <w:gridCol w:w="60"/>
        <w:gridCol w:w="385"/>
        <w:gridCol w:w="64"/>
      </w:tblGrid>
      <w:tr>
        <w:trPr/>
        <w:tc>
          <w:tcPr>
            <w:tcW w:w="1834"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7592"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544" w:type="dxa"/>
            <w:gridSpan w:val="3"/>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gridSpan w:val="3"/>
            <w:tcBorders/>
          </w:tcPr>
          <w:p>
            <w:pPr>
              <w:pStyle w:val="TableContents"/>
              <w:bidi w:val="0"/>
              <w:spacing w:before="0" w:after="283"/>
              <w:jc w:val="left"/>
              <w:rPr>
                <w:b/>
              </w:rPr>
            </w:pPr>
            <w:r>
              <w:rPr>
                <w:b/>
              </w:rPr>
              <w:t>ARTICLE X ADMISSION OF PARTNERS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b/>
              </w:rPr>
            </w:pPr>
            <w:r>
              <w:rPr>
                <w:b/>
              </w:rPr>
              <w:t>117</w:t>
            </w:r>
          </w:p>
        </w:tc>
        <w:tc>
          <w:tcPr>
            <w:tcW w:w="64" w:type="dxa"/>
            <w:tcBorders/>
            <w:vAlign w:val="bottom"/>
          </w:tcPr>
          <w:p>
            <w:pPr>
              <w:pStyle w:val="TableContents"/>
              <w:bidi w:val="0"/>
              <w:spacing w:before="0" w:after="283"/>
              <w:jc w:val="left"/>
              <w:rPr/>
            </w:pPr>
            <w:r>
              <w:rPr/>
              <w:t> </w:t>
            </w:r>
          </w:p>
        </w:tc>
      </w:tr>
      <w:tr>
        <w:trPr>
          <w:trHeight w:val="120" w:hRule="atLeast"/>
        </w:trPr>
        <w:tc>
          <w:tcPr>
            <w:tcW w:w="1834" w:type="dxa"/>
            <w:tcBorders/>
            <w:vAlign w:val="center"/>
          </w:tcPr>
          <w:p>
            <w:pPr>
              <w:pStyle w:val="TableContents"/>
              <w:bidi w:val="0"/>
              <w:spacing w:before="0" w:after="283"/>
              <w:jc w:val="left"/>
              <w:rPr>
                <w:sz w:val="4"/>
                <w:szCs w:val="4"/>
              </w:rPr>
            </w:pPr>
            <w:r>
              <w:rPr>
                <w:sz w:val="4"/>
                <w:szCs w:val="4"/>
              </w:rPr>
            </w:r>
          </w:p>
        </w:tc>
        <w:tc>
          <w:tcPr>
            <w:tcW w:w="7710" w:type="dxa"/>
            <w:gridSpan w:val="2"/>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Admission of Substituted Limited Partners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117</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Admission of Successor General Partner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119</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Admission of Additional Limited Partners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119</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Amendment of Agreement and Certificate of Formation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119</w:t>
            </w:r>
          </w:p>
        </w:tc>
        <w:tc>
          <w:tcPr>
            <w:tcW w:w="64" w:type="dxa"/>
            <w:tcBorders/>
            <w:vAlign w:val="bottom"/>
          </w:tcPr>
          <w:p>
            <w:pPr>
              <w:pStyle w:val="TableContents"/>
              <w:bidi w:val="0"/>
              <w:spacing w:before="0" w:after="283"/>
              <w:jc w:val="left"/>
              <w:rPr/>
            </w:pPr>
            <w:r>
              <w:rPr/>
              <w:t> </w:t>
            </w:r>
          </w:p>
        </w:tc>
      </w:tr>
      <w:tr>
        <w:trPr>
          <w:trHeight w:val="120" w:hRule="atLeast"/>
        </w:trPr>
        <w:tc>
          <w:tcPr>
            <w:tcW w:w="9544" w:type="dxa"/>
            <w:gridSpan w:val="3"/>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gridSpan w:val="3"/>
            <w:tcBorders/>
          </w:tcPr>
          <w:p>
            <w:pPr>
              <w:pStyle w:val="TableContents"/>
              <w:bidi w:val="0"/>
              <w:spacing w:before="0" w:after="283"/>
              <w:jc w:val="left"/>
              <w:rPr>
                <w:b/>
              </w:rPr>
            </w:pPr>
            <w:r>
              <w:rPr>
                <w:b/>
              </w:rPr>
              <w:t>ARTICLE XI WITHDRAWAL OR REMOVAL OF PARTNERS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b/>
              </w:rPr>
            </w:pPr>
            <w:r>
              <w:rPr>
                <w:b/>
              </w:rPr>
              <w:t>120</w:t>
            </w:r>
          </w:p>
        </w:tc>
        <w:tc>
          <w:tcPr>
            <w:tcW w:w="64" w:type="dxa"/>
            <w:tcBorders/>
            <w:vAlign w:val="bottom"/>
          </w:tcPr>
          <w:p>
            <w:pPr>
              <w:pStyle w:val="TableContents"/>
              <w:bidi w:val="0"/>
              <w:spacing w:before="0" w:after="283"/>
              <w:jc w:val="left"/>
              <w:rPr/>
            </w:pPr>
            <w:r>
              <w:rPr/>
              <w:t> </w:t>
            </w:r>
          </w:p>
        </w:tc>
      </w:tr>
      <w:tr>
        <w:trPr>
          <w:trHeight w:val="120" w:hRule="atLeast"/>
        </w:trPr>
        <w:tc>
          <w:tcPr>
            <w:tcW w:w="1834" w:type="dxa"/>
            <w:tcBorders/>
            <w:vAlign w:val="center"/>
          </w:tcPr>
          <w:p>
            <w:pPr>
              <w:pStyle w:val="TableContents"/>
              <w:bidi w:val="0"/>
              <w:spacing w:before="0" w:after="283"/>
              <w:jc w:val="left"/>
              <w:rPr>
                <w:sz w:val="4"/>
                <w:szCs w:val="4"/>
              </w:rPr>
            </w:pPr>
            <w:r>
              <w:rPr>
                <w:sz w:val="4"/>
                <w:szCs w:val="4"/>
              </w:rPr>
            </w:r>
          </w:p>
        </w:tc>
        <w:tc>
          <w:tcPr>
            <w:tcW w:w="7710" w:type="dxa"/>
            <w:gridSpan w:val="2"/>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Withdrawal of the General Partner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120</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Removal of the General Partner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121</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11.3</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Interest of Departing General Partner and Successor General Partner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121</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11.4</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Withdrawal of Limited Partners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rHeight w:val="120" w:hRule="atLeast"/>
        </w:trPr>
        <w:tc>
          <w:tcPr>
            <w:tcW w:w="9544" w:type="dxa"/>
            <w:gridSpan w:val="3"/>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gridSpan w:val="3"/>
            <w:tcBorders/>
          </w:tcPr>
          <w:p>
            <w:pPr>
              <w:pStyle w:val="TableContents"/>
              <w:bidi w:val="0"/>
              <w:spacing w:before="0" w:after="283"/>
              <w:jc w:val="left"/>
              <w:rPr>
                <w:b/>
              </w:rPr>
            </w:pPr>
            <w:r>
              <w:rPr>
                <w:b/>
              </w:rPr>
              <w:t>ARTICLE XII DISSOLUTION AND LIQUIDATION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b/>
              </w:rPr>
            </w:pPr>
            <w:r>
              <w:rPr>
                <w:b/>
              </w:rPr>
              <w:t>123</w:t>
            </w:r>
          </w:p>
        </w:tc>
        <w:tc>
          <w:tcPr>
            <w:tcW w:w="64" w:type="dxa"/>
            <w:tcBorders/>
            <w:vAlign w:val="bottom"/>
          </w:tcPr>
          <w:p>
            <w:pPr>
              <w:pStyle w:val="TableContents"/>
              <w:bidi w:val="0"/>
              <w:spacing w:before="0" w:after="283"/>
              <w:jc w:val="left"/>
              <w:rPr/>
            </w:pPr>
            <w:r>
              <w:rPr/>
              <w:t> </w:t>
            </w:r>
          </w:p>
        </w:tc>
      </w:tr>
      <w:tr>
        <w:trPr>
          <w:trHeight w:val="120" w:hRule="atLeast"/>
        </w:trPr>
        <w:tc>
          <w:tcPr>
            <w:tcW w:w="1834" w:type="dxa"/>
            <w:tcBorders/>
            <w:vAlign w:val="center"/>
          </w:tcPr>
          <w:p>
            <w:pPr>
              <w:pStyle w:val="TableContents"/>
              <w:bidi w:val="0"/>
              <w:spacing w:before="0" w:after="283"/>
              <w:jc w:val="left"/>
              <w:rPr>
                <w:sz w:val="4"/>
                <w:szCs w:val="4"/>
              </w:rPr>
            </w:pPr>
            <w:r>
              <w:rPr>
                <w:sz w:val="4"/>
                <w:szCs w:val="4"/>
              </w:rPr>
            </w:r>
          </w:p>
        </w:tc>
        <w:tc>
          <w:tcPr>
            <w:tcW w:w="7710" w:type="dxa"/>
            <w:gridSpan w:val="2"/>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12.1</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Dissolution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12.2</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Continuation of the Business of the Partnership After Dissolution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12.3</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Liquidator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124</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12.4</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Liquidation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124</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12.5</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Termination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12.6</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Return of Contributions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12.7</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Waiver of Partition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12.8</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Capital Account Restoration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126</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12.9</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Certain Prohibited Acts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126</w:t>
            </w:r>
          </w:p>
        </w:tc>
        <w:tc>
          <w:tcPr>
            <w:tcW w:w="64" w:type="dxa"/>
            <w:tcBorders/>
            <w:vAlign w:val="bottom"/>
          </w:tcPr>
          <w:p>
            <w:pPr>
              <w:pStyle w:val="TableContents"/>
              <w:bidi w:val="0"/>
              <w:spacing w:before="0" w:after="283"/>
              <w:jc w:val="left"/>
              <w:rPr/>
            </w:pPr>
            <w:r>
              <w:rPr/>
              <w:t> </w:t>
            </w:r>
          </w:p>
        </w:tc>
      </w:tr>
      <w:tr>
        <w:trPr>
          <w:trHeight w:val="120" w:hRule="atLeast"/>
        </w:trPr>
        <w:tc>
          <w:tcPr>
            <w:tcW w:w="9544" w:type="dxa"/>
            <w:gridSpan w:val="3"/>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gridSpan w:val="3"/>
            <w:tcBorders/>
          </w:tcPr>
          <w:p>
            <w:pPr>
              <w:pStyle w:val="TableContents"/>
              <w:bidi w:val="0"/>
              <w:spacing w:before="0" w:after="283"/>
              <w:jc w:val="left"/>
              <w:rPr>
                <w:b/>
              </w:rPr>
            </w:pPr>
            <w:r>
              <w:rPr>
                <w:b/>
              </w:rPr>
              <w:t>ARTICLE XIII AMENDMENT OF PARTNERSHIP AGREEMENT; MEETINGS; RECORD DATE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b/>
              </w:rPr>
            </w:pPr>
            <w:r>
              <w:rPr>
                <w:b/>
              </w:rPr>
              <w:t>126</w:t>
            </w:r>
          </w:p>
        </w:tc>
        <w:tc>
          <w:tcPr>
            <w:tcW w:w="64" w:type="dxa"/>
            <w:tcBorders/>
            <w:vAlign w:val="bottom"/>
          </w:tcPr>
          <w:p>
            <w:pPr>
              <w:pStyle w:val="TableContents"/>
              <w:bidi w:val="0"/>
              <w:spacing w:before="0" w:after="283"/>
              <w:jc w:val="left"/>
              <w:rPr/>
            </w:pPr>
            <w:r>
              <w:rPr/>
              <w:t> </w:t>
            </w:r>
          </w:p>
        </w:tc>
      </w:tr>
      <w:tr>
        <w:trPr>
          <w:trHeight w:val="120" w:hRule="atLeast"/>
        </w:trPr>
        <w:tc>
          <w:tcPr>
            <w:tcW w:w="1834" w:type="dxa"/>
            <w:tcBorders/>
            <w:vAlign w:val="center"/>
          </w:tcPr>
          <w:p>
            <w:pPr>
              <w:pStyle w:val="TableContents"/>
              <w:bidi w:val="0"/>
              <w:spacing w:before="0" w:after="283"/>
              <w:jc w:val="left"/>
              <w:rPr>
                <w:sz w:val="4"/>
                <w:szCs w:val="4"/>
              </w:rPr>
            </w:pPr>
            <w:r>
              <w:rPr>
                <w:sz w:val="4"/>
                <w:szCs w:val="4"/>
              </w:rPr>
            </w:r>
          </w:p>
        </w:tc>
        <w:tc>
          <w:tcPr>
            <w:tcW w:w="7710" w:type="dxa"/>
            <w:gridSpan w:val="2"/>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13.1</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Amendments to be Adopted Solely by the General Partner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126</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13.2</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Amendment Procedures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128</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13.3</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Amendment Requirements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128</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13.4</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Special Meetings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129</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13.5</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Notice of a Meeting</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129</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13.6</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Record Date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129</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13.7</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Adjournment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130</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13.8</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Waiver of Notice; Approval of Meeting; Approval of Minutes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130</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13.9</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Quorum</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130</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13.10</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Conduct of a Meeting</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130</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13.11</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Action Without a Meeting</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131</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13.12</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Voting and Other Rights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131</w:t>
            </w:r>
          </w:p>
        </w:tc>
        <w:tc>
          <w:tcPr>
            <w:tcW w:w="64" w:type="dxa"/>
            <w:tcBorders/>
            <w:vAlign w:val="bottom"/>
          </w:tcPr>
          <w:p>
            <w:pPr>
              <w:pStyle w:val="TableContents"/>
              <w:bidi w:val="0"/>
              <w:spacing w:before="0" w:after="283"/>
              <w:jc w:val="left"/>
              <w:rPr/>
            </w:pPr>
            <w:r>
              <w:rPr/>
              <w:t> </w:t>
            </w:r>
          </w:p>
        </w:tc>
      </w:tr>
      <w:tr>
        <w:trPr>
          <w:trHeight w:val="120" w:hRule="atLeast"/>
        </w:trPr>
        <w:tc>
          <w:tcPr>
            <w:tcW w:w="9544" w:type="dxa"/>
            <w:gridSpan w:val="3"/>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gridSpan w:val="3"/>
            <w:tcBorders/>
          </w:tcPr>
          <w:p>
            <w:pPr>
              <w:pStyle w:val="TableContents"/>
              <w:bidi w:val="0"/>
              <w:spacing w:before="0" w:after="283"/>
              <w:jc w:val="left"/>
              <w:rPr>
                <w:b/>
              </w:rPr>
            </w:pPr>
            <w:r>
              <w:rPr>
                <w:b/>
              </w:rPr>
              <w:t>ARTICLE XIV MERGER, CONSOLIDATION OR CONVERSION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b/>
              </w:rPr>
            </w:pPr>
            <w:r>
              <w:rPr>
                <w:b/>
              </w:rPr>
              <w:t>132</w:t>
            </w:r>
          </w:p>
        </w:tc>
        <w:tc>
          <w:tcPr>
            <w:tcW w:w="64" w:type="dxa"/>
            <w:tcBorders/>
            <w:vAlign w:val="bottom"/>
          </w:tcPr>
          <w:p>
            <w:pPr>
              <w:pStyle w:val="TableContents"/>
              <w:bidi w:val="0"/>
              <w:spacing w:before="0" w:after="283"/>
              <w:jc w:val="left"/>
              <w:rPr/>
            </w:pPr>
            <w:r>
              <w:rPr/>
              <w:t> </w:t>
            </w:r>
          </w:p>
        </w:tc>
      </w:tr>
      <w:tr>
        <w:trPr>
          <w:trHeight w:val="120" w:hRule="atLeast"/>
        </w:trPr>
        <w:tc>
          <w:tcPr>
            <w:tcW w:w="1834" w:type="dxa"/>
            <w:tcBorders/>
            <w:vAlign w:val="center"/>
          </w:tcPr>
          <w:p>
            <w:pPr>
              <w:pStyle w:val="TableContents"/>
              <w:bidi w:val="0"/>
              <w:spacing w:before="0" w:after="283"/>
              <w:jc w:val="left"/>
              <w:rPr>
                <w:sz w:val="4"/>
                <w:szCs w:val="4"/>
              </w:rPr>
            </w:pPr>
            <w:r>
              <w:rPr>
                <w:sz w:val="4"/>
                <w:szCs w:val="4"/>
              </w:rPr>
            </w:r>
          </w:p>
        </w:tc>
        <w:tc>
          <w:tcPr>
            <w:tcW w:w="7710" w:type="dxa"/>
            <w:gridSpan w:val="2"/>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14.1</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Authority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132</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14.2</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Procedure for Merger, Consolidation or Conversion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132</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14.3</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Approval by Limited Partners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133</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14.4</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Certificate of Merger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134</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14.5</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Amendment of Partnership Agreement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136</w:t>
            </w:r>
          </w:p>
        </w:tc>
        <w:tc>
          <w:tcPr>
            <w:tcW w:w="64" w:type="dxa"/>
            <w:tcBorders/>
            <w:vAlign w:val="bottom"/>
          </w:tcPr>
          <w:p>
            <w:pPr>
              <w:pStyle w:val="TableContents"/>
              <w:bidi w:val="0"/>
              <w:spacing w:before="0" w:after="283"/>
              <w:jc w:val="left"/>
              <w:rPr/>
            </w:pPr>
            <w:r>
              <w:rPr/>
              <w:t> </w:t>
            </w:r>
          </w:p>
        </w:tc>
      </w:tr>
      <w:tr>
        <w:trPr>
          <w:trHeight w:val="120" w:hRule="atLeast"/>
        </w:trPr>
        <w:tc>
          <w:tcPr>
            <w:tcW w:w="9544" w:type="dxa"/>
            <w:gridSpan w:val="3"/>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gridSpan w:val="3"/>
            <w:tcBorders/>
          </w:tcPr>
          <w:p>
            <w:pPr>
              <w:pStyle w:val="TableContents"/>
              <w:bidi w:val="0"/>
              <w:spacing w:before="0" w:after="283"/>
              <w:jc w:val="left"/>
              <w:rPr>
                <w:b/>
              </w:rPr>
            </w:pPr>
            <w:r>
              <w:rPr>
                <w:b/>
              </w:rPr>
              <w:t>ARTICLE XV RIGHT TO ACQUIRE LIMITED PARTNER INTERESTS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b/>
              </w:rPr>
            </w:pPr>
            <w:r>
              <w:rPr>
                <w:b/>
              </w:rPr>
              <w:t>136</w:t>
            </w:r>
          </w:p>
        </w:tc>
        <w:tc>
          <w:tcPr>
            <w:tcW w:w="64" w:type="dxa"/>
            <w:tcBorders/>
            <w:vAlign w:val="bottom"/>
          </w:tcPr>
          <w:p>
            <w:pPr>
              <w:pStyle w:val="TableContents"/>
              <w:bidi w:val="0"/>
              <w:spacing w:before="0" w:after="283"/>
              <w:jc w:val="left"/>
              <w:rPr/>
            </w:pPr>
            <w:r>
              <w:rPr/>
              <w:t> </w:t>
            </w:r>
          </w:p>
        </w:tc>
      </w:tr>
      <w:tr>
        <w:trPr>
          <w:trHeight w:val="120" w:hRule="atLeast"/>
        </w:trPr>
        <w:tc>
          <w:tcPr>
            <w:tcW w:w="1834" w:type="dxa"/>
            <w:tcBorders/>
            <w:vAlign w:val="center"/>
          </w:tcPr>
          <w:p>
            <w:pPr>
              <w:pStyle w:val="TableContents"/>
              <w:bidi w:val="0"/>
              <w:spacing w:before="0" w:after="283"/>
              <w:jc w:val="left"/>
              <w:rPr>
                <w:sz w:val="4"/>
                <w:szCs w:val="4"/>
              </w:rPr>
            </w:pPr>
            <w:r>
              <w:rPr>
                <w:sz w:val="4"/>
                <w:szCs w:val="4"/>
              </w:rPr>
            </w:r>
          </w:p>
        </w:tc>
        <w:tc>
          <w:tcPr>
            <w:tcW w:w="7710" w:type="dxa"/>
            <w:gridSpan w:val="2"/>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Section 15.1</w:t>
            </w:r>
          </w:p>
        </w:tc>
        <w:tc>
          <w:tcPr>
            <w:tcW w:w="118" w:type="dxa"/>
            <w:tcBorders/>
            <w:vAlign w:val="bottom"/>
          </w:tcPr>
          <w:p>
            <w:pPr>
              <w:pStyle w:val="TableContents"/>
              <w:bidi w:val="0"/>
              <w:spacing w:before="0" w:after="283"/>
              <w:jc w:val="left"/>
              <w:rPr/>
            </w:pPr>
            <w:r>
              <w:rPr/>
              <w:t> </w:t>
            </w:r>
          </w:p>
        </w:tc>
        <w:tc>
          <w:tcPr>
            <w:tcW w:w="7592" w:type="dxa"/>
            <w:tcBorders/>
          </w:tcPr>
          <w:p>
            <w:pPr>
              <w:pStyle w:val="TableContents"/>
              <w:bidi w:val="0"/>
              <w:spacing w:before="0" w:after="283"/>
              <w:jc w:val="left"/>
              <w:rPr/>
            </w:pPr>
            <w:r>
              <w:rPr/>
              <w:t>Right to Acquire Limited Partner Interests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136</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829"/>
        <w:gridCol w:w="118"/>
        <w:gridCol w:w="7602"/>
        <w:gridCol w:w="151"/>
        <w:gridCol w:w="60"/>
        <w:gridCol w:w="381"/>
        <w:gridCol w:w="64"/>
      </w:tblGrid>
      <w:tr>
        <w:trPr/>
        <w:tc>
          <w:tcPr>
            <w:tcW w:w="1829"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7602"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549" w:type="dxa"/>
            <w:gridSpan w:val="3"/>
            <w:tcBorders/>
            <w:vAlign w:val="center"/>
          </w:tcPr>
          <w:p>
            <w:pPr>
              <w:pStyle w:val="TableContents"/>
              <w:bidi w:val="0"/>
              <w:spacing w:before="0" w:after="283"/>
              <w:jc w:val="left"/>
              <w:rPr>
                <w:sz w:val="4"/>
                <w:szCs w:val="4"/>
              </w:rPr>
            </w:pPr>
            <w:r>
              <w:rPr>
                <w:sz w:val="4"/>
                <w:szCs w:val="4"/>
              </w:rPr>
            </w:r>
          </w:p>
        </w:tc>
        <w:tc>
          <w:tcPr>
            <w:tcW w:w="656" w:type="dxa"/>
            <w:gridSpan w:val="4"/>
            <w:tcBorders/>
            <w:vAlign w:val="center"/>
          </w:tcPr>
          <w:p>
            <w:pPr>
              <w:pStyle w:val="TableContents"/>
              <w:bidi w:val="0"/>
              <w:spacing w:before="0" w:after="283"/>
              <w:jc w:val="left"/>
              <w:rPr>
                <w:sz w:val="4"/>
                <w:szCs w:val="4"/>
              </w:rPr>
            </w:pPr>
            <w:r>
              <w:rPr>
                <w:sz w:val="4"/>
                <w:szCs w:val="4"/>
              </w:rPr>
            </w:r>
          </w:p>
        </w:tc>
      </w:tr>
      <w:tr>
        <w:trPr/>
        <w:tc>
          <w:tcPr>
            <w:tcW w:w="9549" w:type="dxa"/>
            <w:gridSpan w:val="3"/>
            <w:tcBorders/>
          </w:tcPr>
          <w:p>
            <w:pPr>
              <w:pStyle w:val="TableContents"/>
              <w:bidi w:val="0"/>
              <w:spacing w:before="0" w:after="20"/>
              <w:jc w:val="left"/>
              <w:rPr>
                <w:rFonts w:ascii="Times New Roman" w:hAnsi="Times New Roman"/>
                <w:b/>
                <w:sz w:val="20"/>
              </w:rPr>
            </w:pPr>
            <w:r>
              <w:rPr>
                <w:rFonts w:ascii="Times New Roman" w:hAnsi="Times New Roman"/>
                <w:b/>
                <w:sz w:val="20"/>
              </w:rPr>
              <w:t>ARTICLE XVI GENERAL PROVISIONS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b/>
              </w:rPr>
            </w:pPr>
            <w:r>
              <w:rPr>
                <w:b/>
              </w:rPr>
              <w:t>138</w:t>
            </w:r>
          </w:p>
        </w:tc>
        <w:tc>
          <w:tcPr>
            <w:tcW w:w="64" w:type="dxa"/>
            <w:tcBorders/>
            <w:vAlign w:val="bottom"/>
          </w:tcPr>
          <w:p>
            <w:pPr>
              <w:pStyle w:val="TableContents"/>
              <w:bidi w:val="0"/>
              <w:spacing w:before="0" w:after="283"/>
              <w:jc w:val="left"/>
              <w:rPr/>
            </w:pPr>
            <w:r>
              <w:rPr/>
              <w:t> </w:t>
            </w:r>
          </w:p>
        </w:tc>
      </w:tr>
      <w:tr>
        <w:trPr>
          <w:trHeight w:val="120" w:hRule="atLeast"/>
        </w:trPr>
        <w:tc>
          <w:tcPr>
            <w:tcW w:w="1829" w:type="dxa"/>
            <w:tcBorders/>
            <w:vAlign w:val="center"/>
          </w:tcPr>
          <w:p>
            <w:pPr>
              <w:pStyle w:val="TableContents"/>
              <w:bidi w:val="0"/>
              <w:spacing w:before="0" w:after="283"/>
              <w:jc w:val="left"/>
              <w:rPr>
                <w:sz w:val="4"/>
                <w:szCs w:val="4"/>
              </w:rPr>
            </w:pPr>
            <w:r>
              <w:rPr>
                <w:sz w:val="4"/>
                <w:szCs w:val="4"/>
              </w:rPr>
            </w:r>
          </w:p>
        </w:tc>
        <w:tc>
          <w:tcPr>
            <w:tcW w:w="7720" w:type="dxa"/>
            <w:gridSpan w:val="2"/>
            <w:tcBorders/>
            <w:vAlign w:val="center"/>
          </w:tcPr>
          <w:p>
            <w:pPr>
              <w:pStyle w:val="TableContents"/>
              <w:bidi w:val="0"/>
              <w:spacing w:before="0" w:after="283"/>
              <w:jc w:val="left"/>
              <w:rPr>
                <w:sz w:val="4"/>
                <w:szCs w:val="4"/>
              </w:rPr>
            </w:pPr>
            <w:r>
              <w:rPr>
                <w:sz w:val="4"/>
                <w:szCs w:val="4"/>
              </w:rPr>
            </w:r>
          </w:p>
        </w:tc>
        <w:tc>
          <w:tcPr>
            <w:tcW w:w="656" w:type="dxa"/>
            <w:gridSpan w:val="4"/>
            <w:tcBorders/>
            <w:vAlign w:val="center"/>
          </w:tcPr>
          <w:p>
            <w:pPr>
              <w:pStyle w:val="TableContents"/>
              <w:bidi w:val="0"/>
              <w:spacing w:before="0" w:after="283"/>
              <w:jc w:val="left"/>
              <w:rPr>
                <w:sz w:val="4"/>
                <w:szCs w:val="4"/>
              </w:rPr>
            </w:pPr>
            <w:r>
              <w:rPr>
                <w:sz w:val="4"/>
                <w:szCs w:val="4"/>
              </w:rPr>
            </w:r>
          </w:p>
        </w:tc>
      </w:tr>
      <w:tr>
        <w:trPr/>
        <w:tc>
          <w:tcPr>
            <w:tcW w:w="1829" w:type="dxa"/>
            <w:tcBorders/>
          </w:tcPr>
          <w:p>
            <w:pPr>
              <w:pStyle w:val="TableContents"/>
              <w:bidi w:val="0"/>
              <w:spacing w:before="0" w:after="0"/>
              <w:jc w:val="left"/>
              <w:rPr>
                <w:rFonts w:ascii="Times New Roman" w:hAnsi="Times New Roman"/>
                <w:sz w:val="20"/>
              </w:rPr>
            </w:pPr>
            <w:r>
              <w:rPr>
                <w:rFonts w:ascii="Times New Roman" w:hAnsi="Times New Roman"/>
                <w:sz w:val="20"/>
              </w:rPr>
              <w:t>Section 16.1</w:t>
            </w:r>
          </w:p>
        </w:tc>
        <w:tc>
          <w:tcPr>
            <w:tcW w:w="118"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283"/>
              <w:jc w:val="left"/>
              <w:rPr/>
            </w:pPr>
            <w:r>
              <w:rPr/>
              <w:t>Addresses and Notices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138</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0"/>
              <w:jc w:val="left"/>
              <w:rPr>
                <w:rFonts w:ascii="Times New Roman" w:hAnsi="Times New Roman"/>
                <w:sz w:val="20"/>
              </w:rPr>
            </w:pPr>
            <w:r>
              <w:rPr>
                <w:rFonts w:ascii="Times New Roman" w:hAnsi="Times New Roman"/>
                <w:sz w:val="20"/>
              </w:rPr>
              <w:t>Section 16.2</w:t>
            </w:r>
          </w:p>
        </w:tc>
        <w:tc>
          <w:tcPr>
            <w:tcW w:w="118"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283"/>
              <w:jc w:val="left"/>
              <w:rPr/>
            </w:pPr>
            <w:r>
              <w:rPr/>
              <w:t>Further Action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138</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0"/>
              <w:jc w:val="left"/>
              <w:rPr>
                <w:rFonts w:ascii="Times New Roman" w:hAnsi="Times New Roman"/>
                <w:sz w:val="20"/>
              </w:rPr>
            </w:pPr>
            <w:r>
              <w:rPr>
                <w:rFonts w:ascii="Times New Roman" w:hAnsi="Times New Roman"/>
                <w:sz w:val="20"/>
              </w:rPr>
              <w:t>Section 16.3</w:t>
            </w:r>
          </w:p>
        </w:tc>
        <w:tc>
          <w:tcPr>
            <w:tcW w:w="118"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283"/>
              <w:jc w:val="left"/>
              <w:rPr/>
            </w:pPr>
            <w:r>
              <w:rPr/>
              <w:t>Binding Effect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138</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0"/>
              <w:jc w:val="left"/>
              <w:rPr>
                <w:rFonts w:ascii="Times New Roman" w:hAnsi="Times New Roman"/>
                <w:sz w:val="20"/>
              </w:rPr>
            </w:pPr>
            <w:r>
              <w:rPr>
                <w:rFonts w:ascii="Times New Roman" w:hAnsi="Times New Roman"/>
                <w:sz w:val="20"/>
              </w:rPr>
              <w:t>Section 16.4</w:t>
            </w:r>
          </w:p>
        </w:tc>
        <w:tc>
          <w:tcPr>
            <w:tcW w:w="118"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283"/>
              <w:jc w:val="left"/>
              <w:rPr/>
            </w:pPr>
            <w:r>
              <w:rPr/>
              <w:t>Integration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138</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0"/>
              <w:jc w:val="left"/>
              <w:rPr>
                <w:rFonts w:ascii="Times New Roman" w:hAnsi="Times New Roman"/>
                <w:sz w:val="20"/>
              </w:rPr>
            </w:pPr>
            <w:r>
              <w:rPr>
                <w:rFonts w:ascii="Times New Roman" w:hAnsi="Times New Roman"/>
                <w:sz w:val="20"/>
              </w:rPr>
              <w:t>Section 16.5</w:t>
            </w:r>
          </w:p>
        </w:tc>
        <w:tc>
          <w:tcPr>
            <w:tcW w:w="118"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283"/>
              <w:jc w:val="left"/>
              <w:rPr/>
            </w:pPr>
            <w:r>
              <w:rPr/>
              <w:t>Creditors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138</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0"/>
              <w:jc w:val="left"/>
              <w:rPr>
                <w:rFonts w:ascii="Times New Roman" w:hAnsi="Times New Roman"/>
                <w:sz w:val="20"/>
              </w:rPr>
            </w:pPr>
            <w:r>
              <w:rPr>
                <w:rFonts w:ascii="Times New Roman" w:hAnsi="Times New Roman"/>
                <w:sz w:val="20"/>
              </w:rPr>
              <w:t>Section 16.6</w:t>
            </w:r>
          </w:p>
        </w:tc>
        <w:tc>
          <w:tcPr>
            <w:tcW w:w="118"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283"/>
              <w:jc w:val="left"/>
              <w:rPr/>
            </w:pPr>
            <w:r>
              <w:rPr/>
              <w:t>Waiver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138</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0"/>
              <w:jc w:val="left"/>
              <w:rPr>
                <w:rFonts w:ascii="Times New Roman" w:hAnsi="Times New Roman"/>
                <w:sz w:val="20"/>
              </w:rPr>
            </w:pPr>
            <w:r>
              <w:rPr>
                <w:rFonts w:ascii="Times New Roman" w:hAnsi="Times New Roman"/>
                <w:sz w:val="20"/>
              </w:rPr>
              <w:t>Section 16.7</w:t>
            </w:r>
          </w:p>
        </w:tc>
        <w:tc>
          <w:tcPr>
            <w:tcW w:w="118"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283"/>
              <w:jc w:val="left"/>
              <w:rPr/>
            </w:pPr>
            <w:r>
              <w:rPr/>
              <w:t>Counterparts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139</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0"/>
              <w:jc w:val="left"/>
              <w:rPr>
                <w:rFonts w:ascii="Times New Roman" w:hAnsi="Times New Roman"/>
                <w:sz w:val="20"/>
              </w:rPr>
            </w:pPr>
            <w:r>
              <w:rPr>
                <w:rFonts w:ascii="Times New Roman" w:hAnsi="Times New Roman"/>
                <w:sz w:val="20"/>
              </w:rPr>
              <w:t>Section 16.8</w:t>
            </w:r>
          </w:p>
        </w:tc>
        <w:tc>
          <w:tcPr>
            <w:tcW w:w="118"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283"/>
              <w:jc w:val="left"/>
              <w:rPr/>
            </w:pPr>
            <w:r>
              <w:rPr/>
              <w:t>Applicable Law</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139</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0"/>
              <w:jc w:val="left"/>
              <w:rPr>
                <w:rFonts w:ascii="Times New Roman" w:hAnsi="Times New Roman"/>
                <w:sz w:val="20"/>
              </w:rPr>
            </w:pPr>
            <w:r>
              <w:rPr>
                <w:rFonts w:ascii="Times New Roman" w:hAnsi="Times New Roman"/>
                <w:sz w:val="20"/>
              </w:rPr>
              <w:t>Section 16.9</w:t>
            </w:r>
          </w:p>
        </w:tc>
        <w:tc>
          <w:tcPr>
            <w:tcW w:w="118"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283"/>
              <w:jc w:val="left"/>
              <w:rPr/>
            </w:pPr>
            <w:r>
              <w:rPr/>
              <w:t>Invalidity of Provisions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139</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0"/>
              <w:jc w:val="left"/>
              <w:rPr>
                <w:rFonts w:ascii="Times New Roman" w:hAnsi="Times New Roman"/>
                <w:sz w:val="20"/>
              </w:rPr>
            </w:pPr>
            <w:r>
              <w:rPr>
                <w:rFonts w:ascii="Times New Roman" w:hAnsi="Times New Roman"/>
                <w:sz w:val="20"/>
              </w:rPr>
              <w:t>Section 16.10</w:t>
            </w:r>
          </w:p>
        </w:tc>
        <w:tc>
          <w:tcPr>
            <w:tcW w:w="118"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283"/>
              <w:jc w:val="left"/>
              <w:rPr/>
            </w:pPr>
            <w:r>
              <w:rPr/>
              <w:t>Consent of Partners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139</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0"/>
              <w:jc w:val="left"/>
              <w:rPr>
                <w:rFonts w:ascii="Times New Roman" w:hAnsi="Times New Roman"/>
                <w:sz w:val="20"/>
              </w:rPr>
            </w:pPr>
            <w:r>
              <w:rPr>
                <w:rFonts w:ascii="Times New Roman" w:hAnsi="Times New Roman"/>
                <w:sz w:val="20"/>
              </w:rPr>
              <w:t>Section 16.11</w:t>
            </w:r>
          </w:p>
        </w:tc>
        <w:tc>
          <w:tcPr>
            <w:tcW w:w="118"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283"/>
              <w:jc w:val="left"/>
              <w:rPr/>
            </w:pPr>
            <w:r>
              <w:rPr/>
              <w:t>Facsimile Signatures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139</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0"/>
              <w:jc w:val="left"/>
              <w:rPr>
                <w:rFonts w:ascii="Times New Roman" w:hAnsi="Times New Roman"/>
                <w:sz w:val="20"/>
              </w:rPr>
            </w:pPr>
            <w:r>
              <w:rPr>
                <w:rFonts w:ascii="Times New Roman" w:hAnsi="Times New Roman"/>
                <w:sz w:val="20"/>
              </w:rPr>
              <w:t>Section 16.12</w:t>
            </w:r>
          </w:p>
        </w:tc>
        <w:tc>
          <w:tcPr>
            <w:tcW w:w="118"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283"/>
              <w:jc w:val="left"/>
              <w:rPr/>
            </w:pPr>
            <w:r>
              <w:rPr/>
              <w:t>Third Party Beneficiaries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139</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AGREEMENT OF LIMITED PARTNERSHIP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ENERGY TRANSFER LP </w:t>
      </w:r>
    </w:p>
    <w:p>
      <w:pPr>
        <w:pStyle w:val="TextBody"/>
        <w:bidi w:val="0"/>
        <w:spacing w:before="240" w:after="0"/>
        <w:jc w:val="left"/>
        <w:rPr>
          <w:rFonts w:ascii="Times New Roman" w:hAnsi="Times New Roman"/>
          <w:sz w:val="20"/>
        </w:rPr>
      </w:pPr>
      <w:r>
        <w:rPr>
          <w:rFonts w:ascii="Times New Roman" w:hAnsi="Times New Roman"/>
          <w:sz w:val="20"/>
        </w:rPr>
        <w:t>THIS AGREEMENT OF LIMITED PARTNERSHIP OF ENERGY TRANSFER LP dated as of July 6, 2026 (the “</w:t>
      </w:r>
      <w:r>
        <w:rPr>
          <w:rFonts w:ascii="Times New Roman" w:hAnsi="Times New Roman"/>
          <w:i/>
          <w:sz w:val="20"/>
        </w:rPr>
        <w:t>Effective Date</w:t>
      </w:r>
      <w:r>
        <w:rPr>
          <w:rFonts w:ascii="Times New Roman" w:hAnsi="Times New Roman"/>
          <w:sz w:val="20"/>
        </w:rPr>
        <w:t xml:space="preserve">”), is entered into by and among LE GP, LLC, a Texas limited liability company, as the General Partner, together with any other Persons who are or become Partners in the Partnership or parties hereto as provided herein. </w:t>
      </w:r>
    </w:p>
    <w:p>
      <w:pPr>
        <w:pStyle w:val="TextBody"/>
        <w:bidi w:val="0"/>
        <w:spacing w:before="240" w:after="0"/>
        <w:jc w:val="left"/>
        <w:rPr>
          <w:rFonts w:ascii="Times New Roman" w:hAnsi="Times New Roman"/>
          <w:sz w:val="20"/>
        </w:rPr>
      </w:pPr>
      <w:r>
        <w:rPr>
          <w:rFonts w:ascii="Times New Roman" w:hAnsi="Times New Roman"/>
          <w:sz w:val="20"/>
        </w:rPr>
        <w:t>WHEREAS, the Partnership previously operated as a Delaware limited partnership named Energy Transfer LP (the “</w:t>
      </w:r>
      <w:r>
        <w:rPr>
          <w:rFonts w:ascii="Times New Roman" w:hAnsi="Times New Roman"/>
          <w:i/>
          <w:sz w:val="20"/>
        </w:rPr>
        <w:t>Delaware Partnership</w:t>
      </w:r>
      <w:r>
        <w:rPr>
          <w:rFonts w:ascii="Times New Roman" w:hAnsi="Times New Roman"/>
          <w:sz w:val="20"/>
        </w:rPr>
        <w:t>”), operating pursuant to the Fourth Amended and Restated Agreement of Limited Partnership dated as of November 3, 2023 (the “</w:t>
      </w:r>
      <w:r>
        <w:rPr>
          <w:rFonts w:ascii="Times New Roman" w:hAnsi="Times New Roman"/>
          <w:i/>
          <w:sz w:val="20"/>
        </w:rPr>
        <w:t>Delaware Partnership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General Partner, without the approval of any Limited Partner, was permitted to convert the Partnership into a new limited liability entity pursuant to Section 14.3(d) of the Delaware Partnership Agreement if (i) the General Partner received an Opinion of Counsel that the merger or conveyance, as the case may be, would not result in the loss of the limited liability of any Limited Partner or cause the Partnership to be treated as an association taxable as a corporation or otherwise to be taxed as an entity for federal income tax purposes (to the extent not previously treated as such), (ii) the sole purpose of such conversion is to effect a mere change in the legal form of the Partnership into another limited liability entity and (iii) the governing instruments of the new entity provide the Limited Partners and the General Partner with the same rights and obligations as were contained in the Delaware Partnership Agreement; </w:t>
      </w:r>
    </w:p>
    <w:p>
      <w:pPr>
        <w:pStyle w:val="TextBody"/>
        <w:bidi w:val="0"/>
        <w:spacing w:before="240" w:after="0"/>
        <w:jc w:val="left"/>
        <w:rPr>
          <w:rFonts w:ascii="Times New Roman" w:hAnsi="Times New Roman"/>
          <w:sz w:val="20"/>
        </w:rPr>
      </w:pPr>
      <w:r>
        <w:rPr>
          <w:rFonts w:ascii="Times New Roman" w:hAnsi="Times New Roman"/>
          <w:sz w:val="20"/>
        </w:rPr>
        <w:t>WHEREAS, the Conflicts Committee has, by unanimous vote, in good faith (a) determined that the conversion of the Partnership from a Delaware limited partnership to a Texas limited partnership (the “</w:t>
      </w:r>
      <w:r>
        <w:rPr>
          <w:rFonts w:ascii="Times New Roman" w:hAnsi="Times New Roman"/>
          <w:i/>
          <w:sz w:val="20"/>
        </w:rPr>
        <w:t>Conversion</w:t>
      </w:r>
      <w:r>
        <w:rPr>
          <w:rFonts w:ascii="Times New Roman" w:hAnsi="Times New Roman"/>
          <w:sz w:val="20"/>
        </w:rPr>
        <w:t>”) and this Agreement, the Plan of Conversion, the Delaware Certificate of Conversion, the Certificate of Conversion and the Certificate of Formation (the Certificate of Formation and this Agreement, the “</w:t>
      </w:r>
      <w:r>
        <w:rPr>
          <w:rFonts w:ascii="Times New Roman" w:hAnsi="Times New Roman"/>
          <w:i/>
          <w:sz w:val="20"/>
        </w:rPr>
        <w:t>Texas Governing Instruments</w:t>
      </w:r>
      <w:r>
        <w:rPr>
          <w:rFonts w:ascii="Times New Roman" w:hAnsi="Times New Roman"/>
          <w:sz w:val="20"/>
        </w:rPr>
        <w:t>” and the Texas Governing Instruments, together with the Delaware Certificate of Conversion, the Certificate of Conversion and the Plan of Conversion, the “</w:t>
      </w:r>
      <w:r>
        <w:rPr>
          <w:rFonts w:ascii="Times New Roman" w:hAnsi="Times New Roman"/>
          <w:i/>
          <w:sz w:val="20"/>
        </w:rPr>
        <w:t>Related Arrangements</w:t>
      </w:r>
      <w:r>
        <w:rPr>
          <w:rFonts w:ascii="Times New Roman" w:hAnsi="Times New Roman"/>
          <w:sz w:val="20"/>
        </w:rPr>
        <w:t xml:space="preserve">”) are in the best interests of the Partnership and the holders of common units of the Partnership (other than the General Partner and its controlling affiliates), (b) subject to receipt by the General Partner of the Opinion of Counsel, approved the Conversion and Related Arrangements on the terms contemplated by the Related Arrangements, and the transactions contemplated thereby, including the adoption of the Plan of Conversion, the filing of the Delaware Certificate of Conversion, the Certificate of Conversion and the Certificate of Formation and the adoption of the Texas Governing Instruments, with such approval constituting “Special Approval” for all purposes under the Delaware Partnership Agreement, including but not limited to Section 7.9 thereof and (c) recommended that the Board of Directors approve the Conversion and Related Arrangements on the terms contemplated by the Related Arrangements, and the transactions contemplated thereby, including the adoption of the Plan of Conversion, the filing of the Delaware Certificate of Conversion, the Certificate of Conversion and the Certificate of Formation and the adoption of the Texas Governing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the Board of Directors has, in reliance in part on the recommendation and Special Approval of the Conflicts Committee, in good faith (a) determined that the conversion of the Partnership from a Delaware limited partnership to a Texas limited partnership governed by the Certificate of Formation and this Agreement is in the best interests of the Partnership and (b) approved the Plan of Conversion and the transactions contemplated thereby, including the Certificate of Conversion, the Delaware Certificate of Conversion, the Certificate of Formation and this Agreement and the transactions contemplated hereby, the filing of the Certificate of Conversion, the Delaware Certificate of Conversion and the Certificate of Formation and the adoption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in accordance with Section 17-219 of the Delaware Act, in the Delaware Certificate of Conversion, the Partnership will agree that it may be served with process in the State of Delaware in any action, suit or proceeding for enforcement of any obligation of the limited partnership arising while it was a limited partnership of the State of Delaware, and that it irrevocably appoints the Secretary of State of the State of Delaware as its agent to accept service of process in any such action, suit or proceeding and that nothing herein is intended to limit the right of any Limited Partner to bring or maintain any action, suit or proceeding for enforcement of any obligation of the limited partnership arising while it was a limited partnership of the State of Delaware that would have been permitted to be brought or maintained under the Delaware Partnership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requirements of Section 14.3(d) of the Delaware Partnership Agreement were, based upon the terms and conditions of the Plan of Conversion and the transactions contemplated thereby, including the Certificate of Conversion, the Delaware Certificate of Conversion, the Certificate of Formation and this Agreement, and the receipt of the requisite Opinion of Counsel, satisfied and the Partnership converted as of the date hereof to a Texas limited partnership in accordance with the terms of the Delaware Partnership Agreement, the Delaware Act and the Texas Limited Partnership Law, by filing the Delaware Certificate of Conversion with the State of Delaware and the Certificate of Conversion and the Certificate of Formation with the Secretary of State of the State of Texas.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covenants, conditions and agreements contained herein, the parties hereto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The following definitions shall be for all purposes, unless otherwise clearly indicated to the contrary, applied to the terms used in this Agreement. </w:t>
      </w:r>
    </w:p>
    <w:p>
      <w:pPr>
        <w:pStyle w:val="TextBody"/>
        <w:bidi w:val="0"/>
        <w:spacing w:before="240" w:after="0"/>
        <w:jc w:val="left"/>
        <w:rPr/>
      </w:pPr>
      <w:r>
        <w:rPr/>
        <w:t>“</w:t>
      </w:r>
      <w:r>
        <w:rPr>
          <w:rFonts w:ascii="Times New Roman" w:hAnsi="Times New Roman"/>
          <w:i/>
          <w:sz w:val="20"/>
        </w:rPr>
        <w:t>Additional Book Basis</w:t>
      </w:r>
      <w:r>
        <w:rPr>
          <w:rFonts w:ascii="Times New Roman" w:hAnsi="Times New Roman"/>
          <w:sz w:val="20"/>
        </w:rPr>
        <w:t xml:space="preserve">” means, with respect to any Adjusted Property, the portion of the Carrying Value of such Adjusted Property that is attributable to positive adjustments made to such Carrying Value, as determined in accordance with the provisions set forth below in this definition of Additional Book Basis. For purposes of determining the extent to which Carrying Value constitutes Additional Book Basis: </w:t>
      </w:r>
    </w:p>
    <w:p>
      <w:pPr>
        <w:pStyle w:val="TextBody"/>
        <w:bidi w:val="0"/>
        <w:spacing w:before="120" w:after="0"/>
        <w:jc w:val="left"/>
        <w:rPr>
          <w:rFonts w:ascii="Times New Roman" w:hAnsi="Times New Roman"/>
          <w:sz w:val="20"/>
        </w:rPr>
      </w:pPr>
      <w:r>
        <w:rPr>
          <w:rFonts w:ascii="Times New Roman" w:hAnsi="Times New Roman"/>
          <w:sz w:val="20"/>
        </w:rPr>
        <w:t xml:space="preserve">(i) Any negative adjustment made to the Carrying Value of an Adjusted Property as a result of either a Book-Down Event or a Book-Up Event shall first be deemed to offset or decrease that portion of the Carrying Value of such Adjusted Property that is attributable to any prior positive adjustments made thereto pursuant to a Book-Up Event or Book-Down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If Carrying Value that constitutes Additional Book Basis is reduced as a result of a Book-Down Event (an “</w:t>
      </w:r>
      <w:r>
        <w:rPr>
          <w:rFonts w:ascii="Times New Roman" w:hAnsi="Times New Roman"/>
          <w:i/>
          <w:sz w:val="20"/>
        </w:rPr>
        <w:t>Additional Book Basis Reduction</w:t>
      </w:r>
      <w:r>
        <w:rPr>
          <w:rFonts w:ascii="Times New Roman" w:hAnsi="Times New Roman"/>
          <w:sz w:val="20"/>
        </w:rPr>
        <w:t>”) and the Carrying Value of other property is increased as a result of such Book-Down Event (a “</w:t>
      </w:r>
      <w:r>
        <w:rPr>
          <w:rFonts w:ascii="Times New Roman" w:hAnsi="Times New Roman"/>
          <w:i/>
          <w:sz w:val="20"/>
        </w:rPr>
        <w:t>Carrying Value Increase</w:t>
      </w:r>
      <w:r>
        <w:rPr>
          <w:rFonts w:ascii="Times New Roman" w:hAnsi="Times New Roman"/>
          <w:sz w:val="20"/>
        </w:rPr>
        <w:t xml:space="preserve">”), then any such Carrying Value Increase shall be treated as Additional Book Basis in an amount equal to the lesser of (a) the amount of such Carrying Value Increase and (b) the amount determined by proportionately allocating to the Carrying Value Increases resulting from such Book-Down Event the lesser of (I) the aggregate Additional Book Basis Reductions resulting from such Book-Down Event and (II) the amount by which the Aggregate Remaining Net Positive Adjustments after such Book-Down Event exceeds the remaining Additional Book Basis attributable to all of the Partnership’s Adjusted Property after such Book-Down Event (determined without regard to the application of this clause (ii) to such Book-Down Event). </w:t>
      </w:r>
    </w:p>
    <w:p>
      <w:pPr>
        <w:pStyle w:val="TextBody"/>
        <w:bidi w:val="0"/>
        <w:spacing w:before="240" w:after="0"/>
        <w:jc w:val="left"/>
        <w:rPr/>
      </w:pPr>
      <w:r>
        <w:rPr/>
        <w:t>“</w:t>
      </w:r>
      <w:r>
        <w:rPr>
          <w:rFonts w:ascii="Times New Roman" w:hAnsi="Times New Roman"/>
          <w:i/>
          <w:sz w:val="20"/>
        </w:rPr>
        <w:t>Additional Book Basis Derivative Items</w:t>
      </w:r>
      <w:r>
        <w:rPr>
          <w:rFonts w:ascii="Times New Roman" w:hAnsi="Times New Roman"/>
          <w:sz w:val="20"/>
        </w:rPr>
        <w:t>” means any Book Basis Derivative Items that are computed with reference to Additional Book Basis. To the extent that the Additional Book Basis attributable to all of the Partnership’s Adjusted Property as of the beginning of any taxable period exceeds the Aggregate Remaining Net Positive Adjustments as of the beginning of such period (the “</w:t>
      </w:r>
      <w:r>
        <w:rPr>
          <w:rFonts w:ascii="Times New Roman" w:hAnsi="Times New Roman"/>
          <w:i/>
          <w:sz w:val="20"/>
        </w:rPr>
        <w:t>Excess Additional Book Basis</w:t>
      </w:r>
      <w:r>
        <w:rPr>
          <w:rFonts w:ascii="Times New Roman" w:hAnsi="Times New Roman"/>
          <w:sz w:val="20"/>
        </w:rPr>
        <w:t xml:space="preserve">”), the Additional Book Basis Derivative Items for such period shall be reduced by the amount that bears the same ratio to the amount of Additional Book Basis Derivative Items determined without regard to this sentence as the Excess Additional Book Basis bears to the Additional Book Basis as of the beginning of such period. With respect to a Disposed of Adjusted Property, the Additional Book Basis Derivative Items shall be the amount of Additional Book Basis taken into account in computing gain or loss from the disposition of such Disposed of Adjusted Property; </w:t>
      </w:r>
      <w:r>
        <w:rPr>
          <w:rFonts w:ascii="Times New Roman" w:hAnsi="Times New Roman"/>
          <w:sz w:val="20"/>
          <w:u w:val="single"/>
        </w:rPr>
        <w:t xml:space="preserve">provided </w:t>
      </w:r>
      <w:r>
        <w:rPr>
          <w:rFonts w:ascii="Times New Roman" w:hAnsi="Times New Roman"/>
          <w:sz w:val="20"/>
        </w:rPr>
        <w:t xml:space="preserve">that the provisions of the immediately preceding sentence shall apply to the determination of the Additional Book Basis Derivative Items attributable to Disposed of Adjusted Property. </w:t>
      </w:r>
    </w:p>
    <w:p>
      <w:pPr>
        <w:pStyle w:val="TextBody"/>
        <w:bidi w:val="0"/>
        <w:spacing w:before="240" w:after="0"/>
        <w:jc w:val="left"/>
        <w:rPr/>
      </w:pPr>
      <w:r>
        <w:rPr/>
        <w:t>“</w:t>
      </w:r>
      <w:r>
        <w:rPr>
          <w:rFonts w:ascii="Times New Roman" w:hAnsi="Times New Roman"/>
          <w:i/>
          <w:sz w:val="20"/>
        </w:rPr>
        <w:t>Additional Limited Partner</w:t>
      </w:r>
      <w:r>
        <w:rPr>
          <w:rFonts w:ascii="Times New Roman" w:hAnsi="Times New Roman"/>
          <w:sz w:val="20"/>
        </w:rPr>
        <w:t xml:space="preserve">” means a Person admitted to the Partnership as a Limited Partner pursuant to </w:t>
      </w:r>
      <w:r>
        <w:rPr>
          <w:rFonts w:ascii="Times New Roman" w:hAnsi="Times New Roman"/>
          <w:sz w:val="20"/>
          <w:u w:val="single"/>
        </w:rPr>
        <w:t>Section 4.5</w:t>
      </w:r>
      <w:r>
        <w:rPr>
          <w:rFonts w:ascii="Times New Roman" w:hAnsi="Times New Roman"/>
          <w:sz w:val="20"/>
        </w:rPr>
        <w:t xml:space="preserve"> and who is shown as such on the books and records of the Partnership. </w:t>
      </w:r>
    </w:p>
    <w:p>
      <w:pPr>
        <w:pStyle w:val="TextBody"/>
        <w:bidi w:val="0"/>
        <w:spacing w:before="240" w:after="0"/>
        <w:jc w:val="left"/>
        <w:rPr/>
      </w:pPr>
      <w:r>
        <w:rPr/>
        <w:t>“</w:t>
      </w:r>
      <w:r>
        <w:rPr>
          <w:rFonts w:ascii="Times New Roman" w:hAnsi="Times New Roman"/>
          <w:i/>
          <w:sz w:val="20"/>
        </w:rPr>
        <w:t>Adjusted Capital Account</w:t>
      </w:r>
      <w:r>
        <w:rPr>
          <w:rFonts w:ascii="Times New Roman" w:hAnsi="Times New Roman"/>
          <w:sz w:val="20"/>
        </w:rPr>
        <w:t xml:space="preserve">” means, with respect to any Partner, the balance in such Partner’s Capital Account at the end of each taxable period of the Partnership after giving effect to the following adjustments: </w:t>
      </w:r>
    </w:p>
    <w:p>
      <w:pPr>
        <w:pStyle w:val="TextBody"/>
        <w:bidi w:val="0"/>
        <w:spacing w:before="120" w:after="0"/>
        <w:jc w:val="left"/>
        <w:rPr>
          <w:rFonts w:ascii="Times New Roman" w:hAnsi="Times New Roman"/>
          <w:sz w:val="20"/>
        </w:rPr>
      </w:pPr>
      <w:r>
        <w:rPr>
          <w:rFonts w:ascii="Times New Roman" w:hAnsi="Times New Roman"/>
          <w:sz w:val="20"/>
        </w:rPr>
        <w:t xml:space="preserve">(i) credit to such Capital Account any amounts which such Partner is (x) obligated to restore under the standards set by Treasury Regulation Section 1.704-1(b)(2)(ii)(c) or (y) deemed obligated to restore pursuant to the penultimate sentences of Treasury Regulation Sections 1.704-2(g)(1) and 1.704-2(i)(5);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debit to such Capital Account the items described in Treasury Regulation Sections 1.704-1(b)(2)(ii)(d)(4), 1.704-1(b)(2)(ii)(d)(5) and 1.704-1(b)(2)(ii)(d)(6). </w:t>
      </w:r>
    </w:p>
    <w:p>
      <w:pPr>
        <w:pStyle w:val="TextBody"/>
        <w:bidi w:val="0"/>
        <w:spacing w:before="240" w:after="0"/>
        <w:jc w:val="left"/>
        <w:rPr>
          <w:rFonts w:ascii="Times New Roman" w:hAnsi="Times New Roman"/>
          <w:sz w:val="20"/>
        </w:rPr>
      </w:pPr>
      <w:r>
        <w:rPr>
          <w:rFonts w:ascii="Times New Roman" w:hAnsi="Times New Roman"/>
          <w:sz w:val="20"/>
        </w:rPr>
        <w:t>The foregoing definition of Adjusted Capital Account is intended to comply with the provisions of Treasury Regulation Section 1.701-1(b)(2)(ii)(d) and shall be interpreted consistently therewith. The “</w:t>
      </w:r>
      <w:r>
        <w:rPr>
          <w:rFonts w:ascii="Times New Roman" w:hAnsi="Times New Roman"/>
          <w:i/>
          <w:sz w:val="20"/>
        </w:rPr>
        <w:t>Adjusted Capital Account</w:t>
      </w:r>
      <w:r>
        <w:rPr>
          <w:rFonts w:ascii="Times New Roman" w:hAnsi="Times New Roman"/>
          <w:sz w:val="20"/>
        </w:rPr>
        <w:t xml:space="preserve">” of a Partner in respect of any Partnership Interest (other than a Class A Unit) shall be the amount that such Adjusted Capital Account would be if such Partnership Interest were the only interest in the Partnership held by such Partner from and after the date on which such Partnership Interest were first issued. </w:t>
      </w:r>
    </w:p>
    <w:p>
      <w:pPr>
        <w:pStyle w:val="TextBody"/>
        <w:bidi w:val="0"/>
        <w:spacing w:before="240" w:after="0"/>
        <w:jc w:val="left"/>
        <w:rPr/>
      </w:pPr>
      <w:r>
        <w:rPr/>
        <w:t>“</w:t>
      </w:r>
      <w:r>
        <w:rPr>
          <w:rFonts w:ascii="Times New Roman" w:hAnsi="Times New Roman"/>
          <w:i/>
          <w:sz w:val="20"/>
        </w:rPr>
        <w:t>Adjusted Conversion Amount</w:t>
      </w:r>
      <w:r>
        <w:rPr>
          <w:rFonts w:ascii="Times New Roman" w:hAnsi="Times New Roman"/>
          <w:sz w:val="20"/>
        </w:rPr>
        <w:t xml:space="preserve">” means the number of Common Units to be issued upon conversion of each Series I Preferred Unit pursuant to </w:t>
      </w:r>
      <w:r>
        <w:rPr>
          <w:rFonts w:ascii="Times New Roman" w:hAnsi="Times New Roman"/>
          <w:sz w:val="20"/>
          <w:u w:val="single"/>
        </w:rPr>
        <w:t>Section 5.15(b)(iii)</w:t>
      </w:r>
      <w:r>
        <w:rPr>
          <w:rFonts w:ascii="Times New Roman" w:hAnsi="Times New Roman"/>
          <w:sz w:val="20"/>
        </w:rPr>
        <w:t xml:space="preserve"> equal to the greater of (i) the Series I Conversion Ratio and (ii) the quotient of (A) 150% multiplied by the Series I Preferred Unit Price divided by (B) the Adjustment Ratio multiplied by the lower of (x) the closing price of a Common Unit on the National Securities Exchange on which the Common Units are listed or admitted to trading on the last trading day prior to exercise of the Partnership’s conversion right pursuant to </w:t>
      </w:r>
      <w:r>
        <w:rPr>
          <w:rFonts w:ascii="Times New Roman" w:hAnsi="Times New Roman"/>
          <w:sz w:val="20"/>
          <w:u w:val="single"/>
        </w:rPr>
        <w:t>Section 5.15(b)(iii)</w:t>
      </w:r>
      <w:r>
        <w:rPr>
          <w:rFonts w:ascii="Times New Roman" w:hAnsi="Times New Roman"/>
          <w:sz w:val="20"/>
        </w:rPr>
        <w:t xml:space="preserve"> and (y) the VWAP Price calculated over the 10 consecutive trading days ending immediately prior to the date of exercise of the Partnership’s conversion right pursuant to </w:t>
      </w:r>
      <w:r>
        <w:rPr>
          <w:rFonts w:ascii="Times New Roman" w:hAnsi="Times New Roman"/>
          <w:sz w:val="20"/>
          <w:u w:val="single"/>
        </w:rPr>
        <w:t>Section 5.15(b)(iii)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Adjusted Property</w:t>
      </w:r>
      <w:r>
        <w:rPr>
          <w:rFonts w:ascii="Times New Roman" w:hAnsi="Times New Roman"/>
          <w:sz w:val="20"/>
        </w:rPr>
        <w:t xml:space="preserve">” means any property the Carrying Value of which has been adjusted pursuant to </w:t>
      </w:r>
      <w:r>
        <w:rPr>
          <w:rFonts w:ascii="Times New Roman" w:hAnsi="Times New Roman"/>
          <w:sz w:val="20"/>
          <w:u w:val="single"/>
        </w:rPr>
        <w:t>Section 5.5(d)(i)</w:t>
      </w:r>
      <w:r>
        <w:rPr>
          <w:rFonts w:ascii="Times New Roman" w:hAnsi="Times New Roman"/>
          <w:sz w:val="20"/>
        </w:rPr>
        <w:t xml:space="preserve"> or </w:t>
      </w:r>
      <w:r>
        <w:rPr>
          <w:rFonts w:ascii="Times New Roman" w:hAnsi="Times New Roman"/>
          <w:sz w:val="20"/>
          <w:u w:val="single"/>
        </w:rPr>
        <w:t>Section 5.5(d)(ii)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Adjustment Ratio</w:t>
      </w:r>
      <w:r>
        <w:rPr>
          <w:rFonts w:ascii="Times New Roman" w:hAnsi="Times New Roman"/>
          <w:sz w:val="20"/>
        </w:rPr>
        <w:t xml:space="preserve">” means 0.96,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Adjustment Ratio shall be 1.00 at any time that the VWAP Price for the 10 consecutive trading days ending immediately prior to the date of exercise of the Partnership’s conversion right pursuant to </w:t>
      </w:r>
      <w:r>
        <w:rPr>
          <w:rFonts w:ascii="Times New Roman" w:hAnsi="Times New Roman"/>
          <w:sz w:val="20"/>
          <w:u w:val="single"/>
        </w:rPr>
        <w:t>Section 5.15(b)(iii)</w:t>
      </w:r>
      <w:r>
        <w:rPr>
          <w:rFonts w:ascii="Times New Roman" w:hAnsi="Times New Roman"/>
          <w:sz w:val="20"/>
        </w:rPr>
        <w:t xml:space="preserve"> exceeds the quotient of (A) 125% of the Series I Preferred Unit Price, divided by (B) the then-applicable Series I Conversion Ratio. </w:t>
      </w:r>
    </w:p>
    <w:p>
      <w:pPr>
        <w:pStyle w:val="TextBody"/>
        <w:bidi w:val="0"/>
        <w:spacing w:before="240" w:after="0"/>
        <w:jc w:val="left"/>
        <w:rPr/>
      </w:pPr>
      <w:r>
        <w:rPr/>
        <w:t>“</w:t>
      </w:r>
      <w:r>
        <w:rPr>
          <w:rFonts w:ascii="Times New Roman" w:hAnsi="Times New Roman"/>
          <w:i/>
          <w:sz w:val="20"/>
        </w:rPr>
        <w:t>Affiliate</w:t>
      </w:r>
      <w:r>
        <w:rPr>
          <w:rFonts w:ascii="Times New Roman" w:hAnsi="Times New Roman"/>
          <w:sz w:val="20"/>
        </w:rPr>
        <w:t>” means, with respect to any Person, any other Person that directly or indirectly through one or more intermediaries controls, is controlled by or is under common control with, the Person in question. As used herein, the term “</w:t>
      </w:r>
      <w:r>
        <w:rPr>
          <w:rFonts w:ascii="Times New Roman" w:hAnsi="Times New Roman"/>
          <w:i/>
          <w:sz w:val="20"/>
        </w:rPr>
        <w:t>control</w:t>
      </w:r>
      <w:r>
        <w:rPr>
          <w:rFonts w:ascii="Times New Roman" w:hAnsi="Times New Roman"/>
          <w:sz w:val="20"/>
        </w:rPr>
        <w:t xml:space="preserve">” means the possession, direct or indirect, of the power to direct or cause the direction of the management and policies of a Person, whether through ownership of voting securities, by contract or otherwise. </w:t>
      </w:r>
    </w:p>
    <w:p>
      <w:pPr>
        <w:pStyle w:val="TextBody"/>
        <w:bidi w:val="0"/>
        <w:spacing w:before="240" w:after="0"/>
        <w:jc w:val="left"/>
        <w:rPr/>
      </w:pPr>
      <w:r>
        <w:rPr/>
        <w:t>“</w:t>
      </w:r>
      <w:r>
        <w:rPr>
          <w:rFonts w:ascii="Times New Roman" w:hAnsi="Times New Roman"/>
          <w:i/>
          <w:sz w:val="20"/>
        </w:rPr>
        <w:t>Aggregate Remaining Net Positive Adjustments</w:t>
      </w:r>
      <w:r>
        <w:rPr>
          <w:rFonts w:ascii="Times New Roman" w:hAnsi="Times New Roman"/>
          <w:sz w:val="20"/>
        </w:rPr>
        <w:t xml:space="preserve">” means, as of the end of any taxable period, the sum of the Remaining Net Positive Adjustments of all the Partners. </w:t>
      </w:r>
    </w:p>
    <w:p>
      <w:pPr>
        <w:pStyle w:val="TextBody"/>
        <w:bidi w:val="0"/>
        <w:spacing w:before="240" w:after="0"/>
        <w:jc w:val="left"/>
        <w:rPr/>
      </w:pPr>
      <w:r>
        <w:rPr/>
        <w:t>“</w:t>
      </w:r>
      <w:r>
        <w:rPr>
          <w:rFonts w:ascii="Times New Roman" w:hAnsi="Times New Roman"/>
          <w:i/>
          <w:sz w:val="20"/>
        </w:rPr>
        <w:t>Agreed Allocation</w:t>
      </w:r>
      <w:r>
        <w:rPr>
          <w:rFonts w:ascii="Times New Roman" w:hAnsi="Times New Roman"/>
          <w:sz w:val="20"/>
        </w:rPr>
        <w:t xml:space="preserve">” means any allocation, other than a Required Allocation, of an item of income, gain, loss or deduction pursuant to the provisions of </w:t>
      </w:r>
      <w:r>
        <w:rPr>
          <w:rFonts w:ascii="Times New Roman" w:hAnsi="Times New Roman"/>
          <w:sz w:val="20"/>
          <w:u w:val="single"/>
        </w:rPr>
        <w:t>Section 6.1</w:t>
      </w:r>
      <w:r>
        <w:rPr>
          <w:rFonts w:ascii="Times New Roman" w:hAnsi="Times New Roman"/>
          <w:sz w:val="20"/>
        </w:rPr>
        <w:t>, including, without limitation, a Curative Allocation (if appropriate to the context in which the term “</w:t>
      </w:r>
      <w:r>
        <w:rPr>
          <w:rFonts w:ascii="Times New Roman" w:hAnsi="Times New Roman"/>
          <w:i/>
          <w:sz w:val="20"/>
        </w:rPr>
        <w:t>Agreed Allocation</w:t>
      </w:r>
      <w:r>
        <w:rPr>
          <w:rFonts w:ascii="Times New Roman" w:hAnsi="Times New Roman"/>
          <w:sz w:val="20"/>
        </w:rPr>
        <w:t xml:space="preserve">” is used). </w:t>
      </w:r>
    </w:p>
    <w:p>
      <w:pPr>
        <w:pStyle w:val="TextBody"/>
        <w:bidi w:val="0"/>
        <w:spacing w:before="240" w:after="0"/>
        <w:jc w:val="left"/>
        <w:rPr/>
      </w:pPr>
      <w:r>
        <w:rPr/>
        <w:t>“</w:t>
      </w:r>
      <w:r>
        <w:rPr>
          <w:rFonts w:ascii="Times New Roman" w:hAnsi="Times New Roman"/>
          <w:i/>
          <w:sz w:val="20"/>
        </w:rPr>
        <w:t>Agreed Value</w:t>
      </w:r>
      <w:r>
        <w:rPr>
          <w:rFonts w:ascii="Times New Roman" w:hAnsi="Times New Roman"/>
          <w:sz w:val="20"/>
        </w:rPr>
        <w:t xml:space="preserve">” of (a) a Contributed Property means the fair market value of such property at the time of contribution and (b) an Adjusted Property means the fair market value of such Adjusted Property on the date of the Revaluation Event, in each case as determined by the General Partner.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Agreement</w:t>
      </w:r>
      <w:r>
        <w:rPr>
          <w:rFonts w:ascii="Times New Roman" w:hAnsi="Times New Roman"/>
          <w:sz w:val="20"/>
        </w:rPr>
        <w:t xml:space="preserve">” means this Agreement of Limited Partnership of Energy Transfer LP, as it may be amended, supplemented or restated from time to time. </w:t>
      </w:r>
    </w:p>
    <w:p>
      <w:pPr>
        <w:pStyle w:val="TextBody"/>
        <w:bidi w:val="0"/>
        <w:spacing w:before="240" w:after="0"/>
        <w:jc w:val="left"/>
        <w:rPr/>
      </w:pPr>
      <w:r>
        <w:rPr/>
        <w:t>“</w:t>
      </w:r>
      <w:r>
        <w:rPr>
          <w:rFonts w:ascii="Times New Roman" w:hAnsi="Times New Roman"/>
          <w:i/>
          <w:sz w:val="20"/>
        </w:rPr>
        <w:t>Arrears</w:t>
      </w:r>
      <w:r>
        <w:rPr>
          <w:rFonts w:ascii="Times New Roman" w:hAnsi="Times New Roman"/>
          <w:sz w:val="20"/>
        </w:rPr>
        <w:t xml:space="preserve">” means, (a) with respect to the Series B Distributions, the full cumulative Series B Distributions through the most recent Series B Distribution Payment Date that have not been paid on all Outstanding Series B Preferred Units, (b) with respect to the Series G Distributions, the full cumulative Series G Distributions through the most recent Series G Distribution Payment Date that have not been paid on all Outstanding Series G Preferred Units, (c) with respect to the Series H Distributions, the full cumulative Series H Distributions through the most recent Series H Distribution Payment Date that have not been paid on all Outstanding Series H Preferred Units and (d) with respect to the Series I Distributions, the full cumulative Series I Distributions through the most recent Series I Distribution Payment Date that have not been paid on all Outstanding Series I Preferred Units. </w:t>
      </w:r>
    </w:p>
    <w:p>
      <w:pPr>
        <w:pStyle w:val="TextBody"/>
        <w:bidi w:val="0"/>
        <w:spacing w:before="240" w:after="0"/>
        <w:jc w:val="left"/>
        <w:rPr/>
      </w:pPr>
      <w:r>
        <w:rPr/>
        <w:t>“</w:t>
      </w:r>
      <w:r>
        <w:rPr>
          <w:rFonts w:ascii="Times New Roman" w:hAnsi="Times New Roman"/>
          <w:i/>
          <w:sz w:val="20"/>
        </w:rPr>
        <w:t>Assignee</w:t>
      </w:r>
      <w:r>
        <w:rPr>
          <w:rFonts w:ascii="Times New Roman" w:hAnsi="Times New Roman"/>
          <w:sz w:val="20"/>
        </w:rPr>
        <w:t xml:space="preserve">” means a Person to whom one or more Limited Partner Interests have been transferred in a manner permitted under this Agreement and who has executed and delivered a Transfer Application, including a Taxation Certification, as required by this Agreement but who has not been admitted as a Substituted Limited Partner. </w:t>
      </w:r>
    </w:p>
    <w:p>
      <w:pPr>
        <w:pStyle w:val="TextBody"/>
        <w:bidi w:val="0"/>
        <w:spacing w:before="240" w:after="0"/>
        <w:jc w:val="left"/>
        <w:rPr/>
      </w:pPr>
      <w:r>
        <w:rPr/>
        <w:t>“</w:t>
      </w:r>
      <w:r>
        <w:rPr>
          <w:rFonts w:ascii="Times New Roman" w:hAnsi="Times New Roman"/>
          <w:i/>
          <w:sz w:val="20"/>
        </w:rPr>
        <w:t>Associate</w:t>
      </w:r>
      <w:r>
        <w:rPr>
          <w:rFonts w:ascii="Times New Roman" w:hAnsi="Times New Roman"/>
          <w:sz w:val="20"/>
        </w:rPr>
        <w:t xml:space="preserve">” means, when used to indicate a relationship with any Person, (a) any corporation or organization of which such Person is a director, officer or partner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 (c) any relative or spouse of such Person, or any relative of such spouse, who has the same principal residence as such Person. </w:t>
      </w:r>
    </w:p>
    <w:p>
      <w:pPr>
        <w:pStyle w:val="TextBody"/>
        <w:bidi w:val="0"/>
        <w:spacing w:before="240" w:after="0"/>
        <w:jc w:val="left"/>
        <w:rPr/>
      </w:pPr>
      <w:r>
        <w:rPr/>
        <w:t>“</w:t>
      </w:r>
      <w:r>
        <w:rPr>
          <w:rFonts w:ascii="Times New Roman" w:hAnsi="Times New Roman"/>
          <w:i/>
          <w:sz w:val="20"/>
        </w:rPr>
        <w:t>Available Cash</w:t>
      </w:r>
      <w:r>
        <w:rPr>
          <w:rFonts w:ascii="Times New Roman" w:hAnsi="Times New Roman"/>
          <w:sz w:val="20"/>
        </w:rPr>
        <w:t xml:space="preserve">” means, with respect to any Quarter ending prior to the Liquidation Date: </w:t>
      </w:r>
    </w:p>
    <w:p>
      <w:pPr>
        <w:pStyle w:val="TextBody"/>
        <w:bidi w:val="0"/>
        <w:spacing w:before="120" w:after="0"/>
        <w:jc w:val="left"/>
        <w:rPr>
          <w:rFonts w:ascii="Times New Roman" w:hAnsi="Times New Roman"/>
          <w:sz w:val="20"/>
        </w:rPr>
      </w:pPr>
      <w:r>
        <w:rPr>
          <w:rFonts w:ascii="Times New Roman" w:hAnsi="Times New Roman"/>
          <w:sz w:val="20"/>
        </w:rPr>
        <w:t xml:space="preserve">(a) the sum of (i) all cash and cash equivalents of the Partnership Group (or the Partnership’s proportionate share of cash and cash equivalents in the case of Subsidiaries that are not wholly owned) on hand at the end of such Quarter, and (ii) all additional cash and cash equivalents of the Partnership Group (or the Partnership’s proportionate share of cash and cash equivalents in the case of Subsidiaries that are not wholly owned) on hand immediately prior to the date of the distribution of Available Cash with respect to such Quarter, less </w:t>
      </w:r>
    </w:p>
    <w:p>
      <w:pPr>
        <w:pStyle w:val="TextBody"/>
        <w:bidi w:val="0"/>
        <w:spacing w:before="120" w:after="0"/>
        <w:jc w:val="left"/>
        <w:rPr>
          <w:rFonts w:ascii="Times New Roman" w:hAnsi="Times New Roman"/>
          <w:sz w:val="20"/>
        </w:rPr>
      </w:pPr>
      <w:r>
        <w:rPr>
          <w:rFonts w:ascii="Times New Roman" w:hAnsi="Times New Roman"/>
          <w:sz w:val="20"/>
        </w:rPr>
        <w:t xml:space="preserve">(b) the amount of any cash reserves (or the Partnership’s proportionate share of cash reserves in the case of Subsidiaries that are not wholly owned) established by the General Partner to (i) provide for the proper conduct of the business of the Partnership (including reserves for future capital expenditures, for anticipated future credit needs of the Partnership Group and for refunds of collected rates reasonably likely to be refunded as a result of a settlement or hearing relating to FERC rate proceedings) subsequent to such Quarter, (ii) comply with applicable law or any loan agreement, security agreement, mortgage, debt instrument or other agreement or obligation to which any Group Member is a party or by which it is bound or its assets are subject, (iii) provide funds for distributions under </w:t>
      </w:r>
      <w:r>
        <w:rPr>
          <w:rFonts w:ascii="Times New Roman" w:hAnsi="Times New Roman"/>
          <w:sz w:val="20"/>
          <w:u w:val="single"/>
        </w:rPr>
        <w:t>Section 6.3</w:t>
      </w:r>
      <w:r>
        <w:rPr>
          <w:rFonts w:ascii="Times New Roman" w:hAnsi="Times New Roman"/>
          <w:sz w:val="20"/>
        </w:rPr>
        <w:t xml:space="preserve"> in respect of any one or more of the next four Quarters, (iv) provide funds for Series B Distributions, (v) provide funds for Series G Distributions, (vi) provide funds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Series H Distributions, (vii) provide funds for Series I Distributions or (viii) provide funds for distributions to the Class B Units;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disbursements made by a Group Member or cash reserves established, increased or reduced after the end of such Quarter but on or before the date of determination of Available Cash with respect to such Quarter shall be deemed to have been made, established, increased or reduced, for purposes of determining Available Cash, within such Quarter if the General Partner so determines. </w:t>
      </w:r>
    </w:p>
    <w:p>
      <w:pPr>
        <w:pStyle w:val="TextBody"/>
        <w:bidi w:val="0"/>
        <w:spacing w:before="240" w:after="0"/>
        <w:jc w:val="left"/>
        <w:rPr>
          <w:rFonts w:ascii="Times New Roman" w:hAnsi="Times New Roman"/>
          <w:sz w:val="20"/>
        </w:rPr>
      </w:pPr>
      <w:r>
        <w:rPr>
          <w:rFonts w:ascii="Times New Roman" w:hAnsi="Times New Roman"/>
          <w:sz w:val="20"/>
        </w:rPr>
        <w:t>Notwithstanding the foregoing, “</w:t>
      </w:r>
      <w:r>
        <w:rPr>
          <w:rFonts w:ascii="Times New Roman" w:hAnsi="Times New Roman"/>
          <w:i/>
          <w:sz w:val="20"/>
        </w:rPr>
        <w:t>Available Cash</w:t>
      </w:r>
      <w:r>
        <w:rPr>
          <w:rFonts w:ascii="Times New Roman" w:hAnsi="Times New Roman"/>
          <w:sz w:val="20"/>
        </w:rPr>
        <w:t xml:space="preserve">” with respect to the Quarter in which the Liquidation Date occurs and any subsequent Quarter shall equal zero. </w:t>
      </w:r>
    </w:p>
    <w:p>
      <w:pPr>
        <w:pStyle w:val="TextBody"/>
        <w:bidi w:val="0"/>
        <w:spacing w:before="240" w:after="0"/>
        <w:jc w:val="left"/>
        <w:rPr/>
      </w:pPr>
      <w:r>
        <w:rPr/>
        <w:t>“</w:t>
      </w:r>
      <w:r>
        <w:rPr>
          <w:rFonts w:ascii="Times New Roman" w:hAnsi="Times New Roman"/>
          <w:i/>
          <w:sz w:val="20"/>
        </w:rPr>
        <w:t>Board of Directors</w:t>
      </w:r>
      <w:r>
        <w:rPr>
          <w:rFonts w:ascii="Times New Roman" w:hAnsi="Times New Roman"/>
          <w:sz w:val="20"/>
        </w:rPr>
        <w:t xml:space="preserve">” means, with respect to the Board of Directors of the general partner of the General Partner, its board of directors or managers, as applicable, if a corporation or limited liability company, or if a limited partnership, the board of directors or board of managers of the general partner of the General Partner. </w:t>
      </w:r>
    </w:p>
    <w:p>
      <w:pPr>
        <w:pStyle w:val="TextBody"/>
        <w:bidi w:val="0"/>
        <w:spacing w:before="240" w:after="0"/>
        <w:jc w:val="left"/>
        <w:rPr/>
      </w:pPr>
      <w:r>
        <w:rPr/>
        <w:t>“</w:t>
      </w:r>
      <w:r>
        <w:rPr>
          <w:rFonts w:ascii="Times New Roman" w:hAnsi="Times New Roman"/>
          <w:i/>
          <w:sz w:val="20"/>
        </w:rPr>
        <w:t>Book Basis Derivative Items</w:t>
      </w:r>
      <w:r>
        <w:rPr>
          <w:rFonts w:ascii="Times New Roman" w:hAnsi="Times New Roman"/>
          <w:sz w:val="20"/>
        </w:rPr>
        <w:t>” means any item of income, deduction, gain or loss included in the determination of Net Income or Net Loss that is computed with reference to the Carrying Value of an Adjusted Property (</w:t>
      </w:r>
      <w:r>
        <w:rPr>
          <w:rFonts w:ascii="Times New Roman" w:hAnsi="Times New Roman"/>
          <w:i/>
          <w:sz w:val="20"/>
        </w:rPr>
        <w:t>e.g.</w:t>
      </w:r>
      <w:r>
        <w:rPr>
          <w:rFonts w:ascii="Times New Roman" w:hAnsi="Times New Roman"/>
          <w:sz w:val="20"/>
        </w:rPr>
        <w:t xml:space="preserve">, depreciation, depletion, or gain or loss with respect to an Adjusted Property). </w:t>
      </w:r>
    </w:p>
    <w:p>
      <w:pPr>
        <w:pStyle w:val="TextBody"/>
        <w:bidi w:val="0"/>
        <w:spacing w:before="240" w:after="0"/>
        <w:jc w:val="left"/>
        <w:rPr/>
      </w:pPr>
      <w:r>
        <w:rPr/>
        <w:t>“</w:t>
      </w:r>
      <w:r>
        <w:rPr>
          <w:rFonts w:ascii="Times New Roman" w:hAnsi="Times New Roman"/>
          <w:i/>
          <w:sz w:val="20"/>
        </w:rPr>
        <w:t>Book-Down Event</w:t>
      </w:r>
      <w:r>
        <w:rPr>
          <w:rFonts w:ascii="Times New Roman" w:hAnsi="Times New Roman"/>
          <w:sz w:val="20"/>
        </w:rPr>
        <w:t xml:space="preserve">” means a Revaluation Event that gives rise to a Net Termination Loss. </w:t>
      </w:r>
    </w:p>
    <w:p>
      <w:pPr>
        <w:pStyle w:val="TextBody"/>
        <w:bidi w:val="0"/>
        <w:spacing w:before="240" w:after="0"/>
        <w:jc w:val="left"/>
        <w:rPr/>
      </w:pPr>
      <w:r>
        <w:rPr/>
        <w:t>“</w:t>
      </w:r>
      <w:r>
        <w:rPr>
          <w:rFonts w:ascii="Times New Roman" w:hAnsi="Times New Roman"/>
          <w:i/>
          <w:sz w:val="20"/>
        </w:rPr>
        <w:t>Book-Tax Disparity</w:t>
      </w:r>
      <w:r>
        <w:rPr>
          <w:rFonts w:ascii="Times New Roman" w:hAnsi="Times New Roman"/>
          <w:sz w:val="20"/>
        </w:rPr>
        <w:t xml:space="preserve">” means with respect to any item of Contributed Property or Adjusted Property, as of the date of any determination, the difference between the Carrying Value of such Contributed Property or Adjusted Property and the adjusted basis thereof for federal income tax purposes as of such date. A Partner’s share of the Partnership’s Book-Tax Disparities in all of its Contributed Property and Adjusted Property will be reflected by the difference between such Partner’s Capital Account balance as maintained pursuant to </w:t>
      </w:r>
      <w:r>
        <w:rPr>
          <w:rFonts w:ascii="Times New Roman" w:hAnsi="Times New Roman"/>
          <w:sz w:val="20"/>
          <w:u w:val="single"/>
        </w:rPr>
        <w:t>Section 5.5</w:t>
      </w:r>
      <w:r>
        <w:rPr>
          <w:rFonts w:ascii="Times New Roman" w:hAnsi="Times New Roman"/>
          <w:sz w:val="20"/>
        </w:rPr>
        <w:t xml:space="preserve"> and the hypothetical balance of such Partner’s Capital Account computed as if it had been maintained strictly in accordance with federal income tax accounting principles. </w:t>
      </w:r>
    </w:p>
    <w:p>
      <w:pPr>
        <w:pStyle w:val="TextBody"/>
        <w:bidi w:val="0"/>
        <w:spacing w:before="240" w:after="0"/>
        <w:jc w:val="left"/>
        <w:rPr/>
      </w:pPr>
      <w:r>
        <w:rPr/>
        <w:t>“</w:t>
      </w:r>
      <w:r>
        <w:rPr>
          <w:rFonts w:ascii="Times New Roman" w:hAnsi="Times New Roman"/>
          <w:i/>
          <w:sz w:val="20"/>
        </w:rPr>
        <w:t>Book-Up Event</w:t>
      </w:r>
      <w:r>
        <w:rPr>
          <w:rFonts w:ascii="Times New Roman" w:hAnsi="Times New Roman"/>
          <w:sz w:val="20"/>
        </w:rPr>
        <w:t xml:space="preserve">” means a Revaluation Event that gives rise to a Net Termination Gain. </w:t>
      </w:r>
    </w:p>
    <w:p>
      <w:pPr>
        <w:pStyle w:val="TextBody"/>
        <w:bidi w:val="0"/>
        <w:spacing w:before="240" w:after="0"/>
        <w:jc w:val="left"/>
        <w:rPr/>
      </w:pPr>
      <w:r>
        <w:rPr/>
        <w:t>“</w:t>
      </w:r>
      <w:r>
        <w:rPr>
          <w:rFonts w:ascii="Times New Roman" w:hAnsi="Times New Roman"/>
          <w:i/>
          <w:sz w:val="20"/>
        </w:rPr>
        <w:t>Business Day</w:t>
      </w:r>
      <w:r>
        <w:rPr>
          <w:rFonts w:ascii="Times New Roman" w:hAnsi="Times New Roman"/>
          <w:sz w:val="20"/>
        </w:rPr>
        <w:t xml:space="preserve">” means Monday through Friday of each week, except that a legal holiday recognized as such by the government of the United States of America or the states of New York or Texas shall not be regarded as a Business Day. </w:t>
      </w:r>
    </w:p>
    <w:p>
      <w:pPr>
        <w:pStyle w:val="TextBody"/>
        <w:bidi w:val="0"/>
        <w:spacing w:before="240" w:after="0"/>
        <w:jc w:val="left"/>
        <w:rPr/>
      </w:pPr>
      <w:r>
        <w:rPr/>
        <w:t>“</w:t>
      </w:r>
      <w:r>
        <w:rPr>
          <w:rFonts w:ascii="Times New Roman" w:hAnsi="Times New Roman"/>
          <w:i/>
          <w:sz w:val="20"/>
        </w:rPr>
        <w:t>Calculation Agent</w:t>
      </w:r>
      <w:r>
        <w:rPr>
          <w:rFonts w:ascii="Times New Roman" w:hAnsi="Times New Roman"/>
          <w:sz w:val="20"/>
        </w:rPr>
        <w:t xml:space="preserve">” means the financial institution that will be appointed by the General Partner prior to the Series B Floating Rate Period, Series G Reset Distribution Determination Date preceding the Series G First Call Date or Series H Reset Distribution Determination Date preceding the Series H First Reset Date, as applicable, to act in its capacity as calculation agent for the Series B Preferred Units, the Series G Preferred Units and the Series H Preferred Units, as applicable, and its successors and assigns or any other calculation agent appointed by the General Partner. For the avoidance of doubt, the Partnership and its Affiliates shall not be appointed by the General Partner to act as calculation agent for the Series B Preferred Units, the Series G Preferred Units or the Series H Preferred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Capital Account</w:t>
      </w:r>
      <w:r>
        <w:rPr>
          <w:rFonts w:ascii="Times New Roman" w:hAnsi="Times New Roman"/>
          <w:sz w:val="20"/>
        </w:rPr>
        <w:t xml:space="preserve">” means the capital account maintained for a Partner (other than with respect to a Class A Unit) pursuant to </w:t>
      </w:r>
      <w:r>
        <w:rPr>
          <w:rFonts w:ascii="Times New Roman" w:hAnsi="Times New Roman"/>
          <w:sz w:val="20"/>
          <w:u w:val="single"/>
        </w:rPr>
        <w:t>Section 5.5</w:t>
      </w:r>
      <w:r>
        <w:rPr>
          <w:rFonts w:ascii="Times New Roman" w:hAnsi="Times New Roman"/>
          <w:sz w:val="20"/>
        </w:rPr>
        <w:t>. The “</w:t>
      </w:r>
      <w:r>
        <w:rPr>
          <w:rFonts w:ascii="Times New Roman" w:hAnsi="Times New Roman"/>
          <w:i/>
          <w:sz w:val="20"/>
        </w:rPr>
        <w:t>Capital Account</w:t>
      </w:r>
      <w:r>
        <w:rPr>
          <w:rFonts w:ascii="Times New Roman" w:hAnsi="Times New Roman"/>
          <w:sz w:val="20"/>
        </w:rPr>
        <w:t xml:space="preserve">” of a Partner in respect of a General Partner Interest, a Common Unit or any other Partnership Interest (other than a Class A Unit) shall be the amount that such Capital Account would be if such General Partner Interest, Common Unit or other Partnership Interest were the only interest in the Partnership held by a Partner from and after the date on which such General Partner Interest, Common Unit or other Partnership Interest was first issued. </w:t>
      </w:r>
    </w:p>
    <w:p>
      <w:pPr>
        <w:pStyle w:val="TextBody"/>
        <w:bidi w:val="0"/>
        <w:spacing w:before="240" w:after="0"/>
        <w:jc w:val="left"/>
        <w:rPr/>
      </w:pPr>
      <w:r>
        <w:rPr/>
        <w:t>“</w:t>
      </w:r>
      <w:r>
        <w:rPr>
          <w:rFonts w:ascii="Times New Roman" w:hAnsi="Times New Roman"/>
          <w:i/>
          <w:sz w:val="20"/>
        </w:rPr>
        <w:t>Capital Contribution</w:t>
      </w:r>
      <w:r>
        <w:rPr>
          <w:rFonts w:ascii="Times New Roman" w:hAnsi="Times New Roman"/>
          <w:sz w:val="20"/>
        </w:rPr>
        <w:t xml:space="preserve">” means any cash, cash equivalents or the Net Agreed Value of Contributed Property that a Partner contributes to the Partnership pursuant to this Agreement. </w:t>
      </w:r>
    </w:p>
    <w:p>
      <w:pPr>
        <w:pStyle w:val="TextBody"/>
        <w:bidi w:val="0"/>
        <w:spacing w:before="240" w:after="0"/>
        <w:jc w:val="left"/>
        <w:rPr/>
      </w:pPr>
      <w:r>
        <w:rPr/>
        <w:t>“</w:t>
      </w:r>
      <w:r>
        <w:rPr>
          <w:rFonts w:ascii="Times New Roman" w:hAnsi="Times New Roman"/>
          <w:i/>
          <w:sz w:val="20"/>
        </w:rPr>
        <w:t>Carrying Value</w:t>
      </w:r>
      <w:r>
        <w:rPr>
          <w:rFonts w:ascii="Times New Roman" w:hAnsi="Times New Roman"/>
          <w:sz w:val="20"/>
        </w:rPr>
        <w:t xml:space="preserve">” means (a) with respect to a Contributed Property or an Adjusted Property, the Agreed Value of such property reduced (but not below zero) by all depreciation, amortization and other cost recovery deductions charged to the Partners’ Capital Accounts in respect of such property, and (b) with respect to any other Partnership property, the adjusted basis of such property for U.S. federal income tax purposes, all as of the time of determination. The Carrying Value of any property shall be adjusted from time to time in accordance with </w:t>
      </w:r>
      <w:r>
        <w:rPr>
          <w:rFonts w:ascii="Times New Roman" w:hAnsi="Times New Roman"/>
          <w:sz w:val="20"/>
          <w:u w:val="single"/>
        </w:rPr>
        <w:t>Section 5.5(d)</w:t>
      </w:r>
      <w:r>
        <w:rPr>
          <w:rFonts w:ascii="Times New Roman" w:hAnsi="Times New Roman"/>
          <w:sz w:val="20"/>
        </w:rPr>
        <w:t xml:space="preserve"> and to reflect changes, additions or other adjustments to the Carrying Value for dispositions and acquisitions of Partnership properties, as deemed appropriate by the General Partner. </w:t>
      </w:r>
    </w:p>
    <w:p>
      <w:pPr>
        <w:pStyle w:val="TextBody"/>
        <w:bidi w:val="0"/>
        <w:spacing w:before="240" w:after="0"/>
        <w:jc w:val="left"/>
        <w:rPr/>
      </w:pPr>
      <w:r>
        <w:rPr/>
        <w:t>“</w:t>
      </w:r>
      <w:r>
        <w:rPr>
          <w:rFonts w:ascii="Times New Roman" w:hAnsi="Times New Roman"/>
          <w:i/>
          <w:sz w:val="20"/>
        </w:rPr>
        <w:t>Cause</w:t>
      </w:r>
      <w:r>
        <w:rPr>
          <w:rFonts w:ascii="Times New Roman" w:hAnsi="Times New Roman"/>
          <w:sz w:val="20"/>
        </w:rPr>
        <w:t xml:space="preserve">” means a court of competent jurisdiction has entered a final, non-appealable judgment finding the General Partner liable for actual fraud or willful misconduct in its capacity as a general partner of the Partnership. </w:t>
      </w:r>
    </w:p>
    <w:p>
      <w:pPr>
        <w:pStyle w:val="TextBody"/>
        <w:bidi w:val="0"/>
        <w:spacing w:before="240" w:after="0"/>
        <w:jc w:val="left"/>
        <w:rPr/>
      </w:pPr>
      <w:r>
        <w:rPr/>
        <w:t>“</w:t>
      </w:r>
      <w:r>
        <w:rPr>
          <w:rFonts w:ascii="Times New Roman" w:hAnsi="Times New Roman"/>
          <w:i/>
          <w:sz w:val="20"/>
        </w:rPr>
        <w:t>Certificate</w:t>
      </w:r>
      <w:r>
        <w:rPr>
          <w:rFonts w:ascii="Times New Roman" w:hAnsi="Times New Roman"/>
          <w:sz w:val="20"/>
        </w:rPr>
        <w:t xml:space="preserve">” means a certificate (i) substantially in the form of </w:t>
      </w:r>
      <w:r>
        <w:rPr>
          <w:rFonts w:ascii="Times New Roman" w:hAnsi="Times New Roman"/>
          <w:sz w:val="20"/>
          <w:u w:val="single"/>
        </w:rPr>
        <w:t>Exhibit A</w:t>
      </w:r>
      <w:r>
        <w:rPr>
          <w:rFonts w:ascii="Times New Roman" w:hAnsi="Times New Roman"/>
          <w:sz w:val="20"/>
        </w:rPr>
        <w:t xml:space="preserve"> to this Agreement with respect to the Common Units, (ii) issued in global form in accordance with the rules and regulations of the Depositary or (iii) in such other form as may be adopted by the General Partner, issued by the Partnership evidencing ownership of one or more Units, or a certificate, in such form as may be adopted by the General Partner, issued by the Partnership evidencing ownership of one or more other Partnership Securities. </w:t>
      </w:r>
    </w:p>
    <w:p>
      <w:pPr>
        <w:pStyle w:val="TextBody"/>
        <w:bidi w:val="0"/>
        <w:spacing w:before="240" w:after="0"/>
        <w:jc w:val="left"/>
        <w:rPr/>
      </w:pPr>
      <w:r>
        <w:rPr/>
        <w:t>“</w:t>
      </w:r>
      <w:r>
        <w:rPr>
          <w:rFonts w:ascii="Times New Roman" w:hAnsi="Times New Roman"/>
          <w:i/>
          <w:sz w:val="20"/>
        </w:rPr>
        <w:t>Certificate of Conversion</w:t>
      </w:r>
      <w:r>
        <w:rPr>
          <w:rFonts w:ascii="Times New Roman" w:hAnsi="Times New Roman"/>
          <w:sz w:val="20"/>
        </w:rPr>
        <w:t xml:space="preserve">” means the Certificate of Conversion of the Partnership filed with the Secretary of State of the State of Texas as referenced in </w:t>
      </w:r>
      <w:r>
        <w:rPr>
          <w:rFonts w:ascii="Times New Roman" w:hAnsi="Times New Roman"/>
          <w:sz w:val="20"/>
          <w:u w:val="single"/>
        </w:rPr>
        <w:t>Section 2.1</w:t>
      </w:r>
      <w:r>
        <w:rPr>
          <w:rFonts w:ascii="Times New Roman" w:hAnsi="Times New Roman"/>
          <w:sz w:val="20"/>
        </w:rPr>
        <w:t xml:space="preserve">, as such Certificate of Conversion may be amended, supplemented or restated from time to time. </w:t>
      </w:r>
    </w:p>
    <w:p>
      <w:pPr>
        <w:pStyle w:val="TextBody"/>
        <w:bidi w:val="0"/>
        <w:spacing w:before="240" w:after="0"/>
        <w:jc w:val="left"/>
        <w:rPr/>
      </w:pPr>
      <w:r>
        <w:rPr/>
        <w:t>“</w:t>
      </w:r>
      <w:r>
        <w:rPr>
          <w:rFonts w:ascii="Times New Roman" w:hAnsi="Times New Roman"/>
          <w:i/>
          <w:sz w:val="20"/>
        </w:rPr>
        <w:t>Certificate of Formation</w:t>
      </w:r>
      <w:r>
        <w:rPr>
          <w:rFonts w:ascii="Times New Roman" w:hAnsi="Times New Roman"/>
          <w:sz w:val="20"/>
        </w:rPr>
        <w:t xml:space="preserve">” means the Certificate of Formation of the Partnership filed with the Secretary of State of the State of Texas as referenced in </w:t>
      </w:r>
      <w:r>
        <w:rPr>
          <w:rFonts w:ascii="Times New Roman" w:hAnsi="Times New Roman"/>
          <w:sz w:val="20"/>
          <w:u w:val="single"/>
        </w:rPr>
        <w:t>Section 2.1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as such Certificate of Formation may be amended, supplemented or restated from time to time. </w:t>
      </w:r>
    </w:p>
    <w:p>
      <w:pPr>
        <w:pStyle w:val="TextBody"/>
        <w:bidi w:val="0"/>
        <w:spacing w:before="240" w:after="0"/>
        <w:jc w:val="left"/>
        <w:rPr/>
      </w:pPr>
      <w:r>
        <w:rPr/>
        <w:t>“</w:t>
      </w:r>
      <w:r>
        <w:rPr>
          <w:rFonts w:ascii="Times New Roman" w:hAnsi="Times New Roman"/>
          <w:i/>
          <w:sz w:val="20"/>
        </w:rPr>
        <w:t>Class</w:t>
      </w:r>
      <w:r>
        <w:rPr>
          <w:rFonts w:ascii="Times New Roman" w:hAnsi="Times New Roman"/>
          <w:sz w:val="20"/>
        </w:rPr>
        <w:t> </w:t>
      </w:r>
      <w:r>
        <w:rPr>
          <w:rFonts w:ascii="Times New Roman" w:hAnsi="Times New Roman"/>
          <w:i/>
          <w:sz w:val="20"/>
        </w:rPr>
        <w:t>A Unit</w:t>
      </w:r>
      <w:r>
        <w:rPr>
          <w:rFonts w:ascii="Times New Roman" w:hAnsi="Times New Roman"/>
          <w:sz w:val="20"/>
        </w:rPr>
        <w:t xml:space="preserve">” means a Partnership Security representing a fractional part of the Partnership Interests, and having the rights and obligations specified with respect to Class A Units in this Agreement. </w:t>
      </w:r>
    </w:p>
    <w:p>
      <w:pPr>
        <w:pStyle w:val="TextBody"/>
        <w:bidi w:val="0"/>
        <w:spacing w:before="240" w:after="0"/>
        <w:jc w:val="left"/>
        <w:rPr/>
      </w:pPr>
      <w:r>
        <w:rPr/>
        <w:t>“</w:t>
      </w:r>
      <w:r>
        <w:rPr>
          <w:rFonts w:ascii="Times New Roman" w:hAnsi="Times New Roman"/>
          <w:i/>
          <w:sz w:val="20"/>
        </w:rPr>
        <w:t>Class</w:t>
      </w:r>
      <w:r>
        <w:rPr>
          <w:rFonts w:ascii="Times New Roman" w:hAnsi="Times New Roman"/>
          <w:sz w:val="20"/>
        </w:rPr>
        <w:t> </w:t>
      </w:r>
      <w:r>
        <w:rPr>
          <w:rFonts w:ascii="Times New Roman" w:hAnsi="Times New Roman"/>
          <w:i/>
          <w:sz w:val="20"/>
        </w:rPr>
        <w:t>A Unitholders</w:t>
      </w:r>
      <w:r>
        <w:rPr>
          <w:rFonts w:ascii="Times New Roman" w:hAnsi="Times New Roman"/>
          <w:sz w:val="20"/>
        </w:rPr>
        <w:t xml:space="preserve">” means the holder or holders of the Class A Units. </w:t>
      </w:r>
    </w:p>
    <w:p>
      <w:pPr>
        <w:pStyle w:val="TextBody"/>
        <w:bidi w:val="0"/>
        <w:spacing w:before="240" w:after="0"/>
        <w:jc w:val="left"/>
        <w:rPr/>
      </w:pPr>
      <w:r>
        <w:rPr/>
        <w:t>“</w:t>
      </w:r>
      <w:r>
        <w:rPr>
          <w:rFonts w:ascii="Times New Roman" w:hAnsi="Times New Roman"/>
          <w:i/>
          <w:sz w:val="20"/>
        </w:rPr>
        <w:t>Class</w:t>
      </w:r>
      <w:r>
        <w:rPr>
          <w:rFonts w:ascii="Times New Roman" w:hAnsi="Times New Roman"/>
          <w:sz w:val="20"/>
        </w:rPr>
        <w:t> </w:t>
      </w:r>
      <w:r>
        <w:rPr>
          <w:rFonts w:ascii="Times New Roman" w:hAnsi="Times New Roman"/>
          <w:i/>
          <w:sz w:val="20"/>
        </w:rPr>
        <w:t>B Unit Distribution Rate</w:t>
      </w:r>
      <w:r>
        <w:rPr>
          <w:rFonts w:ascii="Times New Roman" w:hAnsi="Times New Roman"/>
          <w:sz w:val="20"/>
        </w:rPr>
        <w:t xml:space="preserve">” means an amount per Class B Unit equal to 7.5% per annum (1.875% per Quarter), of the Class B Unit Issue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Class</w:t>
      </w:r>
      <w:r>
        <w:rPr>
          <w:rFonts w:ascii="Times New Roman" w:hAnsi="Times New Roman"/>
          <w:sz w:val="20"/>
        </w:rPr>
        <w:t> </w:t>
      </w:r>
      <w:r>
        <w:rPr>
          <w:rFonts w:ascii="Times New Roman" w:hAnsi="Times New Roman"/>
          <w:i/>
          <w:sz w:val="20"/>
        </w:rPr>
        <w:t>B Unit Issue Price</w:t>
      </w:r>
      <w:r>
        <w:rPr>
          <w:rFonts w:ascii="Times New Roman" w:hAnsi="Times New Roman"/>
          <w:sz w:val="20"/>
        </w:rPr>
        <w:t xml:space="preserve">” means the Issue Price of a Class B Unit on the Class B Unit Original Issuance Date. </w:t>
      </w:r>
    </w:p>
    <w:p>
      <w:pPr>
        <w:pStyle w:val="TextBody"/>
        <w:bidi w:val="0"/>
        <w:spacing w:before="240" w:after="0"/>
        <w:jc w:val="left"/>
        <w:rPr/>
      </w:pPr>
      <w:r>
        <w:rPr/>
        <w:t>“</w:t>
      </w:r>
      <w:r>
        <w:rPr>
          <w:rFonts w:ascii="Times New Roman" w:hAnsi="Times New Roman"/>
          <w:i/>
          <w:sz w:val="20"/>
        </w:rPr>
        <w:t>Class</w:t>
      </w:r>
      <w:r>
        <w:rPr>
          <w:rFonts w:ascii="Times New Roman" w:hAnsi="Times New Roman"/>
          <w:sz w:val="20"/>
        </w:rPr>
        <w:t> </w:t>
      </w:r>
      <w:r>
        <w:rPr>
          <w:rFonts w:ascii="Times New Roman" w:hAnsi="Times New Roman"/>
          <w:i/>
          <w:sz w:val="20"/>
        </w:rPr>
        <w:t>B Unit Original Issuance Date</w:t>
      </w:r>
      <w:r>
        <w:rPr>
          <w:rFonts w:ascii="Times New Roman" w:hAnsi="Times New Roman"/>
          <w:sz w:val="20"/>
        </w:rPr>
        <w:t xml:space="preserve">” means April 1, 2021. </w:t>
      </w:r>
    </w:p>
    <w:p>
      <w:pPr>
        <w:pStyle w:val="TextBody"/>
        <w:bidi w:val="0"/>
        <w:spacing w:before="240" w:after="0"/>
        <w:jc w:val="left"/>
        <w:rPr/>
      </w:pPr>
      <w:r>
        <w:rPr/>
        <w:t>“</w:t>
      </w:r>
      <w:r>
        <w:rPr>
          <w:rFonts w:ascii="Times New Roman" w:hAnsi="Times New Roman"/>
          <w:i/>
          <w:sz w:val="20"/>
        </w:rPr>
        <w:t>Class</w:t>
      </w:r>
      <w:r>
        <w:rPr>
          <w:rFonts w:ascii="Times New Roman" w:hAnsi="Times New Roman"/>
          <w:sz w:val="20"/>
        </w:rPr>
        <w:t> </w:t>
      </w:r>
      <w:r>
        <w:rPr>
          <w:rFonts w:ascii="Times New Roman" w:hAnsi="Times New Roman"/>
          <w:i/>
          <w:sz w:val="20"/>
        </w:rPr>
        <w:t>B Unit Quarterly Distribution</w:t>
      </w:r>
      <w:r>
        <w:rPr>
          <w:rFonts w:ascii="Times New Roman" w:hAnsi="Times New Roman"/>
          <w:sz w:val="20"/>
        </w:rPr>
        <w:t xml:space="preserve">” has the meaning set forth in </w:t>
      </w:r>
      <w:r>
        <w:rPr>
          <w:rFonts w:ascii="Times New Roman" w:hAnsi="Times New Roman"/>
          <w:sz w:val="20"/>
          <w:u w:val="single"/>
        </w:rPr>
        <w:t>Section 5.13(b)(iii)(B)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Class</w:t>
      </w:r>
      <w:r>
        <w:rPr>
          <w:rFonts w:ascii="Times New Roman" w:hAnsi="Times New Roman"/>
          <w:sz w:val="20"/>
        </w:rPr>
        <w:t> </w:t>
      </w:r>
      <w:r>
        <w:rPr>
          <w:rFonts w:ascii="Times New Roman" w:hAnsi="Times New Roman"/>
          <w:i/>
          <w:sz w:val="20"/>
        </w:rPr>
        <w:t>B Units</w:t>
      </w:r>
      <w:r>
        <w:rPr>
          <w:rFonts w:ascii="Times New Roman" w:hAnsi="Times New Roman"/>
          <w:sz w:val="20"/>
        </w:rPr>
        <w:t xml:space="preserve">” has the meaning given such term in </w:t>
      </w:r>
      <w:r>
        <w:rPr>
          <w:rFonts w:ascii="Times New Roman" w:hAnsi="Times New Roman"/>
          <w:sz w:val="20"/>
          <w:u w:val="single"/>
        </w:rPr>
        <w:t>Section 5.13(a)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Closing Date</w:t>
      </w:r>
      <w:r>
        <w:rPr>
          <w:rFonts w:ascii="Times New Roman" w:hAnsi="Times New Roman"/>
          <w:sz w:val="20"/>
        </w:rPr>
        <w:t xml:space="preserve">” means the first date on which Common Units were sold by the Partnership to the Underwriters pursuant to the provisions of the Underwriting Agreement. </w:t>
      </w:r>
    </w:p>
    <w:p>
      <w:pPr>
        <w:pStyle w:val="TextBody"/>
        <w:bidi w:val="0"/>
        <w:spacing w:before="240" w:after="0"/>
        <w:jc w:val="left"/>
        <w:rPr/>
      </w:pPr>
      <w:r>
        <w:rPr/>
        <w:t>“</w:t>
      </w:r>
      <w:r>
        <w:rPr>
          <w:rFonts w:ascii="Times New Roman" w:hAnsi="Times New Roman"/>
          <w:i/>
          <w:sz w:val="20"/>
        </w:rPr>
        <w:t>Closing Price</w:t>
      </w:r>
      <w:r>
        <w:rPr>
          <w:rFonts w:ascii="Times New Roman" w:hAnsi="Times New Roman"/>
          <w:sz w:val="20"/>
        </w:rPr>
        <w:t xml:space="preserve">” has the meaning assigned to such term in </w:t>
      </w:r>
      <w:r>
        <w:rPr>
          <w:rFonts w:ascii="Times New Roman" w:hAnsi="Times New Roman"/>
          <w:sz w:val="20"/>
          <w:u w:val="single"/>
        </w:rPr>
        <w:t>Section 15.1(a)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Code</w:t>
      </w:r>
      <w:r>
        <w:rPr>
          <w:rFonts w:ascii="Times New Roman" w:hAnsi="Times New Roman"/>
          <w:sz w:val="20"/>
        </w:rPr>
        <w:t xml:space="preserve">” means the Internal Revenue Code of 1986, as amended and in effect from time to time. Any reference herein to a specific section or sections of the Code shall be deemed to include a reference to any corresponding provision of successor law. </w:t>
      </w:r>
    </w:p>
    <w:p>
      <w:pPr>
        <w:pStyle w:val="TextBody"/>
        <w:bidi w:val="0"/>
        <w:spacing w:before="240" w:after="0"/>
        <w:jc w:val="left"/>
        <w:rPr/>
      </w:pPr>
      <w:r>
        <w:rPr/>
        <w:t>“</w:t>
      </w:r>
      <w:r>
        <w:rPr>
          <w:rFonts w:ascii="Times New Roman" w:hAnsi="Times New Roman"/>
          <w:i/>
          <w:sz w:val="20"/>
        </w:rPr>
        <w:t>Combined Interest</w:t>
      </w:r>
      <w:r>
        <w:rPr>
          <w:rFonts w:ascii="Times New Roman" w:hAnsi="Times New Roman"/>
          <w:sz w:val="20"/>
        </w:rPr>
        <w:t xml:space="preserve">” has the meaning assigned to such term in </w:t>
      </w:r>
      <w:r>
        <w:rPr>
          <w:rFonts w:ascii="Times New Roman" w:hAnsi="Times New Roman"/>
          <w:sz w:val="20"/>
          <w:u w:val="single"/>
        </w:rPr>
        <w:t>Section 11.3(a)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Commission</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i/>
          <w:sz w:val="20"/>
        </w:rPr>
        <w:t>Common Unit</w:t>
      </w:r>
      <w:r>
        <w:rPr>
          <w:rFonts w:ascii="Times New Roman" w:hAnsi="Times New Roman"/>
          <w:sz w:val="20"/>
        </w:rPr>
        <w:t xml:space="preserve">” means a Partnership Security representing a fractional part of the Partnership Interests of all Limited Partners, and having the rights and obligations specified with respect to Common Units in this Agreement. The term “Common Unit” does not include a Class A Unit, a Class B Unit, a Series B Preferred Unit, a Series G Preferred Unit, a Series H Preferred Unit or a Series I Preferred Unit. </w:t>
      </w:r>
    </w:p>
    <w:p>
      <w:pPr>
        <w:pStyle w:val="TextBody"/>
        <w:bidi w:val="0"/>
        <w:spacing w:before="240" w:after="0"/>
        <w:jc w:val="left"/>
        <w:rPr/>
      </w:pPr>
      <w:r>
        <w:rPr/>
        <w:t>“</w:t>
      </w:r>
      <w:r>
        <w:rPr>
          <w:rFonts w:ascii="Times New Roman" w:hAnsi="Times New Roman"/>
          <w:i/>
          <w:sz w:val="20"/>
        </w:rPr>
        <w:t>Common Voting Security</w:t>
      </w:r>
      <w:r>
        <w:rPr>
          <w:rFonts w:ascii="Times New Roman" w:hAnsi="Times New Roman"/>
          <w:sz w:val="20"/>
        </w:rPr>
        <w:t xml:space="preserve">” means any Partnership Security with voting rights that are </w:t>
      </w:r>
      <w:r>
        <w:rPr>
          <w:rFonts w:ascii="Times New Roman" w:hAnsi="Times New Roman"/>
          <w:i/>
          <w:sz w:val="20"/>
        </w:rPr>
        <w:t>pari passu</w:t>
      </w:r>
      <w:r>
        <w:rPr>
          <w:rFonts w:ascii="Times New Roman" w:hAnsi="Times New Roman"/>
          <w:sz w:val="20"/>
        </w:rPr>
        <w:t xml:space="preserve"> with the Common Units, including without limitation the Class A Units. </w:t>
      </w:r>
    </w:p>
    <w:p>
      <w:pPr>
        <w:pStyle w:val="TextBody"/>
        <w:bidi w:val="0"/>
        <w:spacing w:before="240" w:after="0"/>
        <w:jc w:val="left"/>
        <w:rPr/>
      </w:pPr>
      <w:r>
        <w:rPr/>
        <w:t>“</w:t>
      </w:r>
      <w:r>
        <w:rPr>
          <w:rFonts w:ascii="Times New Roman" w:hAnsi="Times New Roman"/>
          <w:i/>
          <w:sz w:val="20"/>
        </w:rPr>
        <w:t>Conflicts Committee</w:t>
      </w:r>
      <w:r>
        <w:rPr>
          <w:rFonts w:ascii="Times New Roman" w:hAnsi="Times New Roman"/>
          <w:sz w:val="20"/>
        </w:rPr>
        <w:t xml:space="preserve">” means a committee of the Board of Directors of the General Partner composed entirely of one or more directors who are not (a) security holders, officers or employees of the General Partner, (b) officers, directors or employees of any Affiliate of the General Partner or (c) holders of any ownership interest in the Partnership other than Common Units, and who also meet the independence standards required to serve on an audit committee of a board of directors established by the Securities Exchange Act and the rules and regulations of the Commission thereunder by the National Securities Exchange on which the Common Units are listed or admitted for trading. </w:t>
      </w:r>
    </w:p>
    <w:p>
      <w:pPr>
        <w:pStyle w:val="TextBody"/>
        <w:bidi w:val="0"/>
        <w:spacing w:before="240" w:after="0"/>
        <w:jc w:val="left"/>
        <w:rPr/>
      </w:pPr>
      <w:r>
        <w:rPr/>
        <w:t>“</w:t>
      </w:r>
      <w:r>
        <w:rPr>
          <w:rFonts w:ascii="Times New Roman" w:hAnsi="Times New Roman"/>
          <w:i/>
          <w:sz w:val="20"/>
        </w:rPr>
        <w:t>Contributed Property</w:t>
      </w:r>
      <w:r>
        <w:rPr>
          <w:rFonts w:ascii="Times New Roman" w:hAnsi="Times New Roman"/>
          <w:sz w:val="20"/>
        </w:rPr>
        <w:t xml:space="preserve">” means each property or other asset, in such form as may be permitted by the Texas Limited Partnership Law, but excluding cash, contributed to the Partnership. Once the Carrying Value of a Contributed Property is adjusted pursuant to </w:t>
      </w:r>
      <w:r>
        <w:rPr>
          <w:rFonts w:ascii="Times New Roman" w:hAnsi="Times New Roman"/>
          <w:sz w:val="20"/>
          <w:u w:val="single"/>
        </w:rPr>
        <w:t>Section 5.5(d)</w:t>
      </w:r>
      <w:r>
        <w:rPr>
          <w:rFonts w:ascii="Times New Roman" w:hAnsi="Times New Roman"/>
          <w:sz w:val="20"/>
        </w:rPr>
        <w:t xml:space="preserve">, such property shall no longer constitute a Contributed Property, but shall be deemed an Adjusted Property. </w:t>
      </w:r>
    </w:p>
    <w:p>
      <w:pPr>
        <w:pStyle w:val="TextBody"/>
        <w:bidi w:val="0"/>
        <w:spacing w:before="240" w:after="0"/>
        <w:jc w:val="left"/>
        <w:rPr/>
      </w:pPr>
      <w:r>
        <w:rPr/>
        <w:t>“</w:t>
      </w:r>
      <w:r>
        <w:rPr>
          <w:rFonts w:ascii="Times New Roman" w:hAnsi="Times New Roman"/>
          <w:i/>
          <w:sz w:val="20"/>
        </w:rPr>
        <w:t>Conversion</w:t>
      </w:r>
      <w:r>
        <w:rPr>
          <w:rFonts w:ascii="Times New Roman" w:hAnsi="Times New Roman"/>
          <w:sz w:val="20"/>
        </w:rPr>
        <w:t xml:space="preserve">” has the meaning assigned to such term in the recitals.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Crestwood Indentures</w:t>
      </w:r>
      <w:r>
        <w:rPr>
          <w:rFonts w:ascii="Times New Roman" w:hAnsi="Times New Roman"/>
          <w:sz w:val="20"/>
        </w:rPr>
        <w:t xml:space="preserve">” means (i) that certain Indenture dated as of March 23, 2015 by and among Crestwood Midstream Partners LP, Crestwood Midstream Finance Corp., the other guarantors party thereto and U.S. Bank National Association, as trustee, (ii) that certain Indenture dated as of March 14, 2017 by and among Crestwood Midstream Partners LP, Crestwood Midstream Finance Corp., the other guarantors party thereto and U.S. Bank National Association, as trustee, (iii) that certain Indenture dated as of April 15, 2019 by and among Crestwood Midstream Partners LP, Crestwood Midstream Finance Corp., the other guarantors party thereto and U.S. Bank National Association, as trustee, and (iv) that certain indenture dated as of January 21, 2021, by and among Crestwood Midstream Partners LP, Crestwood Midstream Finance Corp., the other guarantors party thereto and U.S. Bank National Association, as trustee. </w:t>
      </w:r>
    </w:p>
    <w:p>
      <w:pPr>
        <w:pStyle w:val="TextBody"/>
        <w:bidi w:val="0"/>
        <w:spacing w:before="240" w:after="0"/>
        <w:jc w:val="left"/>
        <w:rPr/>
      </w:pPr>
      <w:r>
        <w:rPr/>
        <w:t>“</w:t>
      </w:r>
      <w:r>
        <w:rPr>
          <w:rFonts w:ascii="Times New Roman" w:hAnsi="Times New Roman"/>
          <w:i/>
          <w:sz w:val="20"/>
        </w:rPr>
        <w:t>Crestwood Partners</w:t>
      </w:r>
      <w:r>
        <w:rPr>
          <w:rFonts w:ascii="Times New Roman" w:hAnsi="Times New Roman"/>
          <w:sz w:val="20"/>
        </w:rPr>
        <w:t xml:space="preserve">” means Crestwood Partners, LLC, a Delaware limited liability company. </w:t>
      </w:r>
    </w:p>
    <w:p>
      <w:pPr>
        <w:pStyle w:val="TextBody"/>
        <w:bidi w:val="0"/>
        <w:spacing w:before="240" w:after="0"/>
        <w:jc w:val="left"/>
        <w:rPr/>
      </w:pPr>
      <w:r>
        <w:rPr/>
        <w:t>“</w:t>
      </w:r>
      <w:r>
        <w:rPr>
          <w:rFonts w:ascii="Times New Roman" w:hAnsi="Times New Roman"/>
          <w:i/>
          <w:sz w:val="20"/>
        </w:rPr>
        <w:t>Curative Allocation</w:t>
      </w:r>
      <w:r>
        <w:rPr>
          <w:rFonts w:ascii="Times New Roman" w:hAnsi="Times New Roman"/>
          <w:sz w:val="20"/>
        </w:rPr>
        <w:t xml:space="preserve">” means any allocation of an item of income, gain, deduction, loss or credit pursuant to the provisions of </w:t>
      </w:r>
      <w:r>
        <w:rPr>
          <w:rFonts w:ascii="Times New Roman" w:hAnsi="Times New Roman"/>
          <w:sz w:val="20"/>
          <w:u w:val="single"/>
        </w:rPr>
        <w:t>Section 6.1(d)(vi)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Current Market Price</w:t>
      </w:r>
      <w:r>
        <w:rPr>
          <w:rFonts w:ascii="Times New Roman" w:hAnsi="Times New Roman"/>
          <w:sz w:val="20"/>
        </w:rPr>
        <w:t xml:space="preserve">” has the meaning assigned to such term in </w:t>
      </w:r>
      <w:r>
        <w:rPr>
          <w:rFonts w:ascii="Times New Roman" w:hAnsi="Times New Roman"/>
          <w:sz w:val="20"/>
          <w:u w:val="single"/>
        </w:rPr>
        <w:t>Section 15.1(a)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Delaware Act</w:t>
      </w:r>
      <w:r>
        <w:rPr>
          <w:rFonts w:ascii="Times New Roman" w:hAnsi="Times New Roman"/>
          <w:sz w:val="20"/>
        </w:rPr>
        <w:t xml:space="preserve">” means the Delaware Revised Uniform Limited Partnership Act, 6 Del. C. Section 17-101, et seq., as amended, supplemented or restated from time to time, and any successor to such statute. </w:t>
      </w:r>
    </w:p>
    <w:p>
      <w:pPr>
        <w:pStyle w:val="TextBody"/>
        <w:bidi w:val="0"/>
        <w:spacing w:before="240" w:after="0"/>
        <w:jc w:val="left"/>
        <w:rPr/>
      </w:pPr>
      <w:r>
        <w:rPr/>
        <w:t>“</w:t>
      </w:r>
      <w:r>
        <w:rPr>
          <w:rFonts w:ascii="Times New Roman" w:hAnsi="Times New Roman"/>
          <w:i/>
          <w:sz w:val="20"/>
        </w:rPr>
        <w:t>Delaware Certificate of Conversion</w:t>
      </w:r>
      <w:r>
        <w:rPr>
          <w:rFonts w:ascii="Times New Roman" w:hAnsi="Times New Roman"/>
          <w:sz w:val="20"/>
        </w:rPr>
        <w:t xml:space="preserve">” means the Certificate of Conversion of the Partnership to a non-Delaware entity to be filed with the Secretary of State of the State of Delaware as referenced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Delaware Partnership</w:t>
      </w:r>
      <w:r>
        <w:rPr>
          <w:rFonts w:ascii="Times New Roman" w:hAnsi="Times New Roman"/>
          <w:sz w:val="20"/>
        </w:rPr>
        <w:t xml:space="preserve">” has the meaning assigned to such term in the recitals. </w:t>
      </w:r>
    </w:p>
    <w:p>
      <w:pPr>
        <w:pStyle w:val="TextBody"/>
        <w:bidi w:val="0"/>
        <w:spacing w:before="240" w:after="0"/>
        <w:jc w:val="left"/>
        <w:rPr/>
      </w:pPr>
      <w:r>
        <w:rPr/>
        <w:t>“</w:t>
      </w:r>
      <w:r>
        <w:rPr>
          <w:rFonts w:ascii="Times New Roman" w:hAnsi="Times New Roman"/>
          <w:i/>
          <w:sz w:val="20"/>
        </w:rPr>
        <w:t>Delaware Partnership Agreement</w:t>
      </w:r>
      <w:r>
        <w:rPr>
          <w:rFonts w:ascii="Times New Roman" w:hAnsi="Times New Roman"/>
          <w:sz w:val="20"/>
        </w:rPr>
        <w:t xml:space="preserve">” has the meaning assigned to such term in the recitals. </w:t>
      </w:r>
    </w:p>
    <w:p>
      <w:pPr>
        <w:pStyle w:val="TextBody"/>
        <w:bidi w:val="0"/>
        <w:spacing w:before="240" w:after="0"/>
        <w:jc w:val="left"/>
        <w:rPr/>
      </w:pPr>
      <w:r>
        <w:rPr/>
        <w:t>“</w:t>
      </w:r>
      <w:r>
        <w:rPr>
          <w:rFonts w:ascii="Times New Roman" w:hAnsi="Times New Roman"/>
          <w:i/>
          <w:sz w:val="20"/>
        </w:rPr>
        <w:t>Departing General Partner</w:t>
      </w:r>
      <w:r>
        <w:rPr>
          <w:rFonts w:ascii="Times New Roman" w:hAnsi="Times New Roman"/>
          <w:sz w:val="20"/>
        </w:rPr>
        <w:t xml:space="preserve">” means a former General Partner from and after the effective date of any withdrawal or removal of such former General Partner pursuant to </w:t>
      </w:r>
      <w:r>
        <w:rPr>
          <w:rFonts w:ascii="Times New Roman" w:hAnsi="Times New Roman"/>
          <w:sz w:val="20"/>
          <w:u w:val="single"/>
        </w:rPr>
        <w:t>Section 11.1</w:t>
      </w:r>
      <w:r>
        <w:rPr>
          <w:rFonts w:ascii="Times New Roman" w:hAnsi="Times New Roman"/>
          <w:sz w:val="20"/>
        </w:rPr>
        <w:t xml:space="preserve"> or </w:t>
      </w:r>
      <w:r>
        <w:rPr>
          <w:rFonts w:ascii="Times New Roman" w:hAnsi="Times New Roman"/>
          <w:sz w:val="20"/>
          <w:u w:val="single"/>
        </w:rPr>
        <w:t>Section 11.2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Depositary</w:t>
      </w:r>
      <w:r>
        <w:rPr>
          <w:rFonts w:ascii="Times New Roman" w:hAnsi="Times New Roman"/>
          <w:sz w:val="20"/>
        </w:rPr>
        <w:t xml:space="preserve">” means, with respect to any Units issued in global form, The Depository Trust Company and its successors and permitted assigns. </w:t>
      </w:r>
    </w:p>
    <w:p>
      <w:pPr>
        <w:pStyle w:val="TextBody"/>
        <w:bidi w:val="0"/>
        <w:spacing w:before="240" w:after="0"/>
        <w:jc w:val="left"/>
        <w:rPr/>
      </w:pPr>
      <w:r>
        <w:rPr/>
        <w:t>“</w:t>
      </w:r>
      <w:r>
        <w:rPr>
          <w:rFonts w:ascii="Times New Roman" w:hAnsi="Times New Roman"/>
          <w:i/>
          <w:sz w:val="20"/>
        </w:rPr>
        <w:t>Designated Individual</w:t>
      </w:r>
      <w:r>
        <w:rPr>
          <w:rFonts w:ascii="Times New Roman" w:hAnsi="Times New Roman"/>
          <w:sz w:val="20"/>
        </w:rPr>
        <w:t xml:space="preserve">” has the meaning assigned to such term in </w:t>
      </w:r>
      <w:r>
        <w:rPr>
          <w:rFonts w:ascii="Times New Roman" w:hAnsi="Times New Roman"/>
          <w:sz w:val="20"/>
          <w:u w:val="single"/>
        </w:rPr>
        <w:t>Section 9.3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Disposed of Adjusted Property</w:t>
      </w:r>
      <w:r>
        <w:rPr>
          <w:rFonts w:ascii="Times New Roman" w:hAnsi="Times New Roman"/>
          <w:sz w:val="20"/>
        </w:rPr>
        <w:t xml:space="preserve">” means any Adjusted Property, including, for this purpose, inventory, that has been sold or otherwise disposed of in a taxable disposition. </w:t>
      </w:r>
    </w:p>
    <w:p>
      <w:pPr>
        <w:pStyle w:val="TextBody"/>
        <w:bidi w:val="0"/>
        <w:spacing w:before="240" w:after="0"/>
        <w:jc w:val="left"/>
        <w:rPr/>
      </w:pPr>
      <w:r>
        <w:rPr/>
        <w:t>“</w:t>
      </w:r>
      <w:r>
        <w:rPr>
          <w:rFonts w:ascii="Times New Roman" w:hAnsi="Times New Roman"/>
          <w:i/>
          <w:sz w:val="20"/>
        </w:rPr>
        <w:t>Distribution Determination Date</w:t>
      </w:r>
      <w:r>
        <w:rPr>
          <w:rFonts w:ascii="Times New Roman" w:hAnsi="Times New Roman"/>
          <w:sz w:val="20"/>
        </w:rPr>
        <w:t xml:space="preserve">” means the applicable date for the relevant distribution period. </w:t>
      </w:r>
    </w:p>
    <w:p>
      <w:pPr>
        <w:pStyle w:val="TextBody"/>
        <w:bidi w:val="0"/>
        <w:spacing w:before="240" w:after="0"/>
        <w:jc w:val="left"/>
        <w:rPr/>
      </w:pPr>
      <w:r>
        <w:rPr/>
        <w:t>“</w:t>
      </w:r>
      <w:r>
        <w:rPr>
          <w:rFonts w:ascii="Times New Roman" w:hAnsi="Times New Roman"/>
          <w:i/>
          <w:sz w:val="20"/>
        </w:rPr>
        <w:t>Economic Risk of Loss</w:t>
      </w:r>
      <w:r>
        <w:rPr>
          <w:rFonts w:ascii="Times New Roman" w:hAnsi="Times New Roman"/>
          <w:sz w:val="20"/>
        </w:rPr>
        <w:t xml:space="preserve">” has the meaning set forth in Treasury Regulation Section 1.752-2(a).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Effective Time</w:t>
      </w:r>
      <w:r>
        <w:rPr>
          <w:rFonts w:ascii="Times New Roman" w:hAnsi="Times New Roman"/>
          <w:sz w:val="20"/>
        </w:rPr>
        <w:t xml:space="preserve">” means 12:01 a.m. Central Time on July 6, 2026. </w:t>
      </w:r>
    </w:p>
    <w:p>
      <w:pPr>
        <w:pStyle w:val="TextBody"/>
        <w:bidi w:val="0"/>
        <w:spacing w:before="240" w:after="0"/>
        <w:jc w:val="left"/>
        <w:rPr/>
      </w:pPr>
      <w:r>
        <w:rPr/>
        <w:t>“</w:t>
      </w:r>
      <w:r>
        <w:rPr>
          <w:rFonts w:ascii="Times New Roman" w:hAnsi="Times New Roman"/>
          <w:i/>
          <w:sz w:val="20"/>
        </w:rPr>
        <w:t>Eligible Holder</w:t>
      </w:r>
      <w:r>
        <w:rPr>
          <w:rFonts w:ascii="Times New Roman" w:hAnsi="Times New Roman"/>
          <w:sz w:val="20"/>
        </w:rPr>
        <w:t xml:space="preserve">” means a Person either (a) subject to United States federal income taxation on the income generated by the Partnership or (b) in the case of entities that are passthrough entities for United States federal income taxation, all of whose beneficial owners are subject to United States federal income taxation on the income generated by the Partnership. </w:t>
      </w:r>
      <w:r>
        <w:rPr>
          <w:rFonts w:ascii="Times New Roman" w:hAnsi="Times New Roman"/>
          <w:sz w:val="20"/>
          <w:u w:val="single"/>
        </w:rPr>
        <w:t>Schedule I</w:t>
      </w:r>
      <w:r>
        <w:rPr>
          <w:rFonts w:ascii="Times New Roman" w:hAnsi="Times New Roman"/>
          <w:sz w:val="20"/>
        </w:rPr>
        <w:t xml:space="preserve"> to the Transfer Application provides examples of Persons that are and Persons that are not Eligible Holders. </w:t>
      </w:r>
    </w:p>
    <w:p>
      <w:pPr>
        <w:pStyle w:val="TextBody"/>
        <w:bidi w:val="0"/>
        <w:spacing w:before="240" w:after="0"/>
        <w:jc w:val="left"/>
        <w:rPr/>
      </w:pPr>
      <w:r>
        <w:rPr/>
        <w:t>“</w:t>
      </w:r>
      <w:r>
        <w:rPr>
          <w:rFonts w:ascii="Times New Roman" w:hAnsi="Times New Roman"/>
          <w:i/>
          <w:sz w:val="20"/>
        </w:rPr>
        <w:t>Energy Transfer Merger</w:t>
      </w:r>
      <w:r>
        <w:rPr>
          <w:rFonts w:ascii="Times New Roman" w:hAnsi="Times New Roman"/>
          <w:sz w:val="20"/>
        </w:rPr>
        <w:t xml:space="preserve">” means the transactions contemplated by the Agreement and Plan of Merger, dated as of August 16, 2023, by and among Energy Transfer LP, Pachyderm Merger Sub LLC, solely for the purposes of Sections 2.1(a), 2.1(b), 2.1(c) and 5.21 thereof, LE GP, LLC, and the Partnership. </w:t>
      </w:r>
    </w:p>
    <w:p>
      <w:pPr>
        <w:pStyle w:val="TextBody"/>
        <w:bidi w:val="0"/>
        <w:spacing w:before="240" w:after="0"/>
        <w:jc w:val="left"/>
        <w:rPr/>
      </w:pPr>
      <w:r>
        <w:rPr/>
        <w:t>“</w:t>
      </w:r>
      <w:r>
        <w:rPr>
          <w:rFonts w:ascii="Times New Roman" w:hAnsi="Times New Roman"/>
          <w:i/>
          <w:sz w:val="20"/>
        </w:rPr>
        <w:t>Equity Credit</w:t>
      </w:r>
      <w:r>
        <w:rPr>
          <w:rFonts w:ascii="Times New Roman" w:hAnsi="Times New Roman"/>
          <w:sz w:val="20"/>
        </w:rPr>
        <w:t xml:space="preserve">” means the dollar amount or percentage in relation to the stated liquidation preference amount of (a) $1,000.00 per Series B Preferred Unit, (b) $1,000.00 per Series G Preferred Unit or (c) $1,000.00 per Series H Preferred Unit, assigned to the Series B Preferred Units, Series G Preferred Units or Series H Preferred Units, as applicable, as equity, rather than debt, by a Rating Agency in evaluating the capital structure of the Partnership. </w:t>
      </w:r>
    </w:p>
    <w:p>
      <w:pPr>
        <w:pStyle w:val="TextBody"/>
        <w:bidi w:val="0"/>
        <w:spacing w:before="240" w:after="0"/>
        <w:jc w:val="left"/>
        <w:rPr/>
      </w:pPr>
      <w:r>
        <w:rPr/>
        <w:t>“</w:t>
      </w:r>
      <w:r>
        <w:rPr>
          <w:rFonts w:ascii="Times New Roman" w:hAnsi="Times New Roman"/>
          <w:i/>
          <w:sz w:val="20"/>
        </w:rPr>
        <w:t>ETP Holdco</w:t>
      </w:r>
      <w:r>
        <w:rPr>
          <w:rFonts w:ascii="Times New Roman" w:hAnsi="Times New Roman"/>
          <w:sz w:val="20"/>
        </w:rPr>
        <w:t xml:space="preserve">” means ETP Holdco Corporation, a Delaware corporation. </w:t>
      </w:r>
    </w:p>
    <w:p>
      <w:pPr>
        <w:pStyle w:val="TextBody"/>
        <w:bidi w:val="0"/>
        <w:spacing w:before="240" w:after="0"/>
        <w:jc w:val="left"/>
        <w:rPr/>
      </w:pPr>
      <w:r>
        <w:rPr/>
        <w:t>“</w:t>
      </w:r>
      <w:r>
        <w:rPr>
          <w:rFonts w:ascii="Times New Roman" w:hAnsi="Times New Roman"/>
          <w:i/>
          <w:sz w:val="20"/>
        </w:rPr>
        <w:t>ETP Holdco Distributions</w:t>
      </w:r>
      <w:r>
        <w:rPr>
          <w:rFonts w:ascii="Times New Roman" w:hAnsi="Times New Roman"/>
          <w:sz w:val="20"/>
        </w:rPr>
        <w:t xml:space="preserve">” means any portion of the Partnership cash distributions attributable to (i) any distribution or dividend received by the Partnership from ETP Holdco, IPCH or Crestwood Partners or the proceeds of sale of the capital stock of ETP Holdco, IPCH or Crestwood Partners, as applicable, or (ii) any interest payments received by the Partnership with respect to indebtedness of ETP Holdco, IPCH or Crestwood Partners or their respective subsidiaries. </w:t>
      </w:r>
    </w:p>
    <w:p>
      <w:pPr>
        <w:pStyle w:val="TextBody"/>
        <w:bidi w:val="0"/>
        <w:spacing w:before="240" w:after="0"/>
        <w:jc w:val="left"/>
        <w:rPr/>
      </w:pPr>
      <w:r>
        <w:rPr/>
        <w:t>“</w:t>
      </w:r>
      <w:r>
        <w:rPr>
          <w:rFonts w:ascii="Times New Roman" w:hAnsi="Times New Roman"/>
          <w:i/>
          <w:sz w:val="20"/>
        </w:rPr>
        <w:t>ETP Holdco Items</w:t>
      </w:r>
      <w:r>
        <w:rPr>
          <w:rFonts w:ascii="Times New Roman" w:hAnsi="Times New Roman"/>
          <w:sz w:val="20"/>
        </w:rPr>
        <w:t xml:space="preserve">” means any item of Partnership income, gain, loss, deduction or credit attributable to the Partnership’s ownership of ETP Holdco, IPCH or Crestwood Partners or the Partnership’s ownership of any indebtedness of ETP Holdco, IPCH or Crestwood Partners or any of their respective subsidiaries. </w:t>
      </w:r>
    </w:p>
    <w:p>
      <w:pPr>
        <w:pStyle w:val="TextBody"/>
        <w:bidi w:val="0"/>
        <w:spacing w:before="240" w:after="0"/>
        <w:jc w:val="left"/>
        <w:rPr/>
      </w:pPr>
      <w:r>
        <w:rPr/>
        <w:t>“</w:t>
      </w:r>
      <w:r>
        <w:rPr>
          <w:rFonts w:ascii="Times New Roman" w:hAnsi="Times New Roman"/>
          <w:i/>
          <w:sz w:val="20"/>
        </w:rPr>
        <w:t>Event Issue Value</w:t>
      </w:r>
      <w:r>
        <w:rPr>
          <w:rFonts w:ascii="Times New Roman" w:hAnsi="Times New Roman"/>
          <w:sz w:val="20"/>
        </w:rPr>
        <w:t xml:space="preserve">” means, with respect to any Common Unit as of any date of determination, (i) in the case of a Revaluation Event that includes the issuance of Common Units pursuant to a public offering and solely for cash, the price paid for such Common Units, or (ii) in the case of any other Revaluation Event, the Closing Price of the Common Units on the date of such Revaluation Event or, if the General Partner determines that a value for the Common Unit other than such Closing Price more accurately reflects the Event Issue Value, the value determined by the General Partner. </w:t>
      </w:r>
    </w:p>
    <w:p>
      <w:pPr>
        <w:pStyle w:val="TextBody"/>
        <w:bidi w:val="0"/>
        <w:spacing w:before="240" w:after="0"/>
        <w:jc w:val="left"/>
        <w:rPr/>
      </w:pPr>
      <w:r>
        <w:rPr/>
        <w:t>“</w:t>
      </w:r>
      <w:r>
        <w:rPr>
          <w:rFonts w:ascii="Times New Roman" w:hAnsi="Times New Roman"/>
          <w:i/>
          <w:sz w:val="20"/>
        </w:rPr>
        <w:t>Event of Withdrawal</w:t>
      </w:r>
      <w:r>
        <w:rPr>
          <w:rFonts w:ascii="Times New Roman" w:hAnsi="Times New Roman"/>
          <w:sz w:val="20"/>
        </w:rPr>
        <w:t xml:space="preserve">” has the meaning assigned to such term in </w:t>
      </w:r>
      <w:r>
        <w:rPr>
          <w:rFonts w:ascii="Times New Roman" w:hAnsi="Times New Roman"/>
          <w:sz w:val="20"/>
          <w:u w:val="single"/>
        </w:rPr>
        <w:t>Section 11.1(a)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FERC</w:t>
      </w:r>
      <w:r>
        <w:rPr>
          <w:rFonts w:ascii="Times New Roman" w:hAnsi="Times New Roman"/>
          <w:sz w:val="20"/>
        </w:rPr>
        <w:t xml:space="preserve">” means the Federal Energy Regulatory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FERC Notice</w:t>
      </w:r>
      <w:r>
        <w:rPr>
          <w:rFonts w:ascii="Times New Roman" w:hAnsi="Times New Roman"/>
          <w:sz w:val="20"/>
        </w:rPr>
        <w:t xml:space="preserve">” means the giving of notice by the Partnership to the Limited Partners in the manner specified in </w:t>
      </w:r>
      <w:r>
        <w:rPr>
          <w:rFonts w:ascii="Times New Roman" w:hAnsi="Times New Roman"/>
          <w:sz w:val="20"/>
          <w:u w:val="single"/>
        </w:rPr>
        <w:t>Section 16.1</w:t>
      </w:r>
      <w:r>
        <w:rPr>
          <w:rFonts w:ascii="Times New Roman" w:hAnsi="Times New Roman"/>
          <w:sz w:val="20"/>
        </w:rPr>
        <w:t xml:space="preserve"> hereof at any time after the Partnership becomes the owner, either directly or through any Subsidiary, of any pipeline subject to rate regulation by FERC. </w:t>
      </w:r>
    </w:p>
    <w:p>
      <w:pPr>
        <w:pStyle w:val="TextBody"/>
        <w:bidi w:val="0"/>
        <w:spacing w:before="240" w:after="0"/>
        <w:jc w:val="left"/>
        <w:rPr/>
      </w:pPr>
      <w:r>
        <w:rPr/>
        <w:t>“</w:t>
      </w:r>
      <w:r>
        <w:rPr>
          <w:rFonts w:ascii="Times New Roman" w:hAnsi="Times New Roman"/>
          <w:i/>
          <w:sz w:val="20"/>
        </w:rPr>
        <w:t>General Partner</w:t>
      </w:r>
      <w:r>
        <w:rPr>
          <w:rFonts w:ascii="Times New Roman" w:hAnsi="Times New Roman"/>
          <w:sz w:val="20"/>
        </w:rPr>
        <w:t xml:space="preserve">” means LE GP, LLC, a Texas limited liability company and its successors and permitted assigns that are admitted to the Partnership as general partner of the Partnership (except as the context otherwise requires). </w:t>
      </w:r>
    </w:p>
    <w:p>
      <w:pPr>
        <w:pStyle w:val="TextBody"/>
        <w:bidi w:val="0"/>
        <w:spacing w:before="240" w:after="0"/>
        <w:jc w:val="left"/>
        <w:rPr/>
      </w:pPr>
      <w:r>
        <w:rPr/>
        <w:t>“</w:t>
      </w:r>
      <w:r>
        <w:rPr>
          <w:rFonts w:ascii="Times New Roman" w:hAnsi="Times New Roman"/>
          <w:i/>
          <w:sz w:val="20"/>
        </w:rPr>
        <w:t>General Partner Interest</w:t>
      </w:r>
      <w:r>
        <w:rPr>
          <w:rFonts w:ascii="Times New Roman" w:hAnsi="Times New Roman"/>
          <w:sz w:val="20"/>
        </w:rPr>
        <w:t xml:space="preserve">” means the ownership interest, if any, of the General Partner in the Partnership (in its capacity as a general partner without reference to any Limited Partner Interest held by it), which is evidenced by General Partner Units, and includes any and all benefits to which a General Partner is entitled as provided in this Agreement, together with all obligations of a General Partner to comply with the terms and provisions of this Agreement. </w:t>
      </w:r>
    </w:p>
    <w:p>
      <w:pPr>
        <w:pStyle w:val="TextBody"/>
        <w:bidi w:val="0"/>
        <w:spacing w:before="240" w:after="0"/>
        <w:jc w:val="left"/>
        <w:rPr/>
      </w:pPr>
      <w:r>
        <w:rPr/>
        <w:t>“</w:t>
      </w:r>
      <w:r>
        <w:rPr>
          <w:rFonts w:ascii="Times New Roman" w:hAnsi="Times New Roman"/>
          <w:i/>
          <w:sz w:val="20"/>
        </w:rPr>
        <w:t>General Partner Unit</w:t>
      </w:r>
      <w:r>
        <w:rPr>
          <w:rFonts w:ascii="Times New Roman" w:hAnsi="Times New Roman"/>
          <w:sz w:val="20"/>
        </w:rPr>
        <w:t xml:space="preserve">” means a fractional part of the General Partner Interest having the rights and obligations specified with respect to the General Partner Interest. A General Partner Unit is not a Unit. </w:t>
      </w:r>
    </w:p>
    <w:p>
      <w:pPr>
        <w:pStyle w:val="TextBody"/>
        <w:bidi w:val="0"/>
        <w:spacing w:before="240" w:after="0"/>
        <w:jc w:val="left"/>
        <w:rPr/>
      </w:pPr>
      <w:r>
        <w:rPr/>
        <w:t>“</w:t>
      </w:r>
      <w:r>
        <w:rPr>
          <w:rFonts w:ascii="Times New Roman" w:hAnsi="Times New Roman"/>
          <w:i/>
          <w:sz w:val="20"/>
        </w:rPr>
        <w:t>Group</w:t>
      </w:r>
      <w:r>
        <w:rPr>
          <w:rFonts w:ascii="Times New Roman" w:hAnsi="Times New Roman"/>
          <w:sz w:val="20"/>
        </w:rPr>
        <w:t xml:space="preserve">” means a Person that, with or through any of its Affiliates or Associates, has any agreement, arrangement or understanding for the purpose of acquiring, holding, voting (except voting pursuant to a revocable proxy or consent given to such Person in response to a proxy or consent solicitation made to 10 or more Persons), exercising investment power or disposing of any Partnership Securities with any other Person that beneficially owns, or whose Affiliates or Associates beneficially own, directly or indirectly, Partnership Interests. </w:t>
      </w:r>
    </w:p>
    <w:p>
      <w:pPr>
        <w:pStyle w:val="TextBody"/>
        <w:bidi w:val="0"/>
        <w:spacing w:before="240" w:after="0"/>
        <w:jc w:val="left"/>
        <w:rPr/>
      </w:pPr>
      <w:r>
        <w:rPr/>
        <w:t>“</w:t>
      </w:r>
      <w:r>
        <w:rPr>
          <w:rFonts w:ascii="Times New Roman" w:hAnsi="Times New Roman"/>
          <w:i/>
          <w:sz w:val="20"/>
        </w:rPr>
        <w:t>Group Member</w:t>
      </w:r>
      <w:r>
        <w:rPr>
          <w:rFonts w:ascii="Times New Roman" w:hAnsi="Times New Roman"/>
          <w:sz w:val="20"/>
        </w:rPr>
        <w:t xml:space="preserve">” means a member of the Partnership Group. </w:t>
      </w:r>
    </w:p>
    <w:p>
      <w:pPr>
        <w:pStyle w:val="TextBody"/>
        <w:bidi w:val="0"/>
        <w:spacing w:before="240" w:after="0"/>
        <w:jc w:val="left"/>
        <w:rPr/>
      </w:pPr>
      <w:r>
        <w:rPr/>
        <w:t>“</w:t>
      </w:r>
      <w:r>
        <w:rPr>
          <w:rFonts w:ascii="Times New Roman" w:hAnsi="Times New Roman"/>
          <w:i/>
          <w:sz w:val="20"/>
        </w:rPr>
        <w:t>H.15</w:t>
      </w:r>
      <w:r>
        <w:rPr>
          <w:rFonts w:ascii="Times New Roman" w:hAnsi="Times New Roman"/>
          <w:sz w:val="20"/>
        </w:rPr>
        <w:t xml:space="preserve">” means the daily statistical release designated as such, or any successor publication as determined by the Calculation Agent in its sole discretion, published by the Board of Governors of the U.S. Federal Reserve System. </w:t>
      </w:r>
    </w:p>
    <w:p>
      <w:pPr>
        <w:pStyle w:val="TextBody"/>
        <w:bidi w:val="0"/>
        <w:spacing w:before="240" w:after="0"/>
        <w:jc w:val="left"/>
        <w:rPr/>
      </w:pPr>
      <w:r>
        <w:rPr/>
        <w:t>“</w:t>
      </w:r>
      <w:r>
        <w:rPr>
          <w:rFonts w:ascii="Times New Roman" w:hAnsi="Times New Roman"/>
          <w:i/>
          <w:sz w:val="20"/>
        </w:rPr>
        <w:t>H.15(519)</w:t>
      </w:r>
      <w:r>
        <w:rPr>
          <w:rFonts w:ascii="Times New Roman" w:hAnsi="Times New Roman"/>
          <w:sz w:val="20"/>
        </w:rPr>
        <w:t xml:space="preserve">” means the statistical release designated as such, or any successor publication, published by the Board of Governors of the U.S. Federal Reserve System. </w:t>
      </w:r>
    </w:p>
    <w:p>
      <w:pPr>
        <w:pStyle w:val="TextBody"/>
        <w:bidi w:val="0"/>
        <w:spacing w:before="240" w:after="0"/>
        <w:jc w:val="left"/>
        <w:rPr/>
      </w:pPr>
      <w:r>
        <w:rPr/>
        <w:t>“</w:t>
      </w:r>
      <w:r>
        <w:rPr>
          <w:rFonts w:ascii="Times New Roman" w:hAnsi="Times New Roman"/>
          <w:i/>
          <w:sz w:val="20"/>
        </w:rPr>
        <w:t>Indemnitee</w:t>
      </w:r>
      <w:r>
        <w:rPr>
          <w:rFonts w:ascii="Times New Roman" w:hAnsi="Times New Roman"/>
          <w:sz w:val="20"/>
        </w:rPr>
        <w:t xml:space="preserve">” means (a) the General Partner, (b) any Departing General Partner, (c) any Person who is or was an Affiliate of the General Partner or any Departing General Partner, (d) any Person who is or was a member, partner, officer, director, fiduciary or trustee of any Group Member, the General Partner or any Departing General Partner or any Affiliate of any Group Member, the General Partner or any Departing General Partner, (e) the Partnership Representative and the Designated Individual, (f) any Person who is or was serving at the request of the General Partner or any Departing General Partner or any Affiliate of the General Partner or any Departing General Partner as an officer, director, employee, member, partner, agent, fiduciary or trustee of another Person;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that a Person shall not be an Indemnitee by reason of providing, on a fee-for-services basis, trustee, fiduciary or custodial services and (g) any Person the General Partner designates as an “</w:t>
      </w:r>
      <w:r>
        <w:rPr>
          <w:rFonts w:ascii="Times New Roman" w:hAnsi="Times New Roman"/>
          <w:i/>
          <w:sz w:val="20"/>
        </w:rPr>
        <w:t>Indemnitee</w:t>
      </w:r>
      <w:r>
        <w:rPr>
          <w:rFonts w:ascii="Times New Roman" w:hAnsi="Times New Roman"/>
          <w:sz w:val="20"/>
        </w:rPr>
        <w:t xml:space="preserve">” for purposes of this Agreement. </w:t>
      </w:r>
    </w:p>
    <w:p>
      <w:pPr>
        <w:pStyle w:val="TextBody"/>
        <w:bidi w:val="0"/>
        <w:spacing w:before="240" w:after="0"/>
        <w:jc w:val="left"/>
        <w:rPr/>
      </w:pPr>
      <w:r>
        <w:rPr/>
        <w:t>“</w:t>
      </w:r>
      <w:r>
        <w:rPr>
          <w:rFonts w:ascii="Times New Roman" w:hAnsi="Times New Roman"/>
          <w:i/>
          <w:sz w:val="20"/>
        </w:rPr>
        <w:t>Ineligible Assignee</w:t>
      </w:r>
      <w:r>
        <w:rPr>
          <w:rFonts w:ascii="Times New Roman" w:hAnsi="Times New Roman"/>
          <w:sz w:val="20"/>
        </w:rPr>
        <w:t xml:space="preserve">” means a Person whom the General Partner has determined is not an Eligible Holder following a FERC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Initial Common Units</w:t>
      </w:r>
      <w:r>
        <w:rPr>
          <w:rFonts w:ascii="Times New Roman" w:hAnsi="Times New Roman"/>
          <w:sz w:val="20"/>
        </w:rPr>
        <w:t xml:space="preserve">” means the Common Units sold in the Initial Offering. </w:t>
      </w:r>
    </w:p>
    <w:p>
      <w:pPr>
        <w:pStyle w:val="TextBody"/>
        <w:bidi w:val="0"/>
        <w:spacing w:before="240" w:after="0"/>
        <w:jc w:val="left"/>
        <w:rPr/>
      </w:pPr>
      <w:r>
        <w:rPr/>
        <w:t>“</w:t>
      </w:r>
      <w:r>
        <w:rPr>
          <w:rFonts w:ascii="Times New Roman" w:hAnsi="Times New Roman"/>
          <w:i/>
          <w:sz w:val="20"/>
        </w:rPr>
        <w:t>Initial Limited Partners</w:t>
      </w:r>
      <w:r>
        <w:rPr>
          <w:rFonts w:ascii="Times New Roman" w:hAnsi="Times New Roman"/>
          <w:sz w:val="20"/>
        </w:rPr>
        <w:t xml:space="preserve">” means the Persons listed on </w:t>
      </w:r>
      <w:r>
        <w:rPr>
          <w:rFonts w:ascii="Times New Roman" w:hAnsi="Times New Roman"/>
          <w:sz w:val="20"/>
          <w:u w:val="single"/>
        </w:rPr>
        <w:t>Exhibit B</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i/>
          <w:sz w:val="20"/>
        </w:rPr>
        <w:t>Initial Offering</w:t>
      </w:r>
      <w:r>
        <w:rPr>
          <w:rFonts w:ascii="Times New Roman" w:hAnsi="Times New Roman"/>
          <w:sz w:val="20"/>
        </w:rPr>
        <w:t xml:space="preserve">” means the initial public offering and sale of Common Units to the public in February 2006. </w:t>
      </w:r>
    </w:p>
    <w:p>
      <w:pPr>
        <w:pStyle w:val="TextBody"/>
        <w:bidi w:val="0"/>
        <w:spacing w:before="240" w:after="0"/>
        <w:jc w:val="left"/>
        <w:rPr/>
      </w:pPr>
      <w:r>
        <w:rPr/>
        <w:t>“</w:t>
      </w:r>
      <w:r>
        <w:rPr>
          <w:rFonts w:ascii="Times New Roman" w:hAnsi="Times New Roman"/>
          <w:i/>
          <w:sz w:val="20"/>
        </w:rPr>
        <w:t>IPCH</w:t>
      </w:r>
      <w:r>
        <w:rPr>
          <w:rFonts w:ascii="Times New Roman" w:hAnsi="Times New Roman"/>
          <w:sz w:val="20"/>
        </w:rPr>
        <w:t xml:space="preserve">” means IPCH Acquisition Corp., a Delaware corporation. </w:t>
      </w:r>
    </w:p>
    <w:p>
      <w:pPr>
        <w:pStyle w:val="TextBody"/>
        <w:bidi w:val="0"/>
        <w:spacing w:before="240" w:after="0"/>
        <w:jc w:val="left"/>
        <w:rPr/>
      </w:pPr>
      <w:r>
        <w:rPr/>
        <w:t>“</w:t>
      </w:r>
      <w:r>
        <w:rPr>
          <w:rFonts w:ascii="Times New Roman" w:hAnsi="Times New Roman"/>
          <w:i/>
          <w:sz w:val="20"/>
        </w:rPr>
        <w:t>Issue Price</w:t>
      </w:r>
      <w:r>
        <w:rPr>
          <w:rFonts w:ascii="Times New Roman" w:hAnsi="Times New Roman"/>
          <w:sz w:val="20"/>
        </w:rPr>
        <w:t xml:space="preserve">” means the price at which a Unit is purchased from the Partnership, after taking into account any sales commission or underwriting discount charged to the Partnership and after taking into account any other form of discount with respect to the price at which a Unit is purchased from the Partnership. </w:t>
      </w:r>
    </w:p>
    <w:p>
      <w:pPr>
        <w:pStyle w:val="TextBody"/>
        <w:bidi w:val="0"/>
        <w:spacing w:before="240" w:after="0"/>
        <w:jc w:val="left"/>
        <w:rPr/>
      </w:pPr>
      <w:r>
        <w:rPr/>
        <w:t>“</w:t>
      </w:r>
      <w:r>
        <w:rPr>
          <w:rFonts w:ascii="Times New Roman" w:hAnsi="Times New Roman"/>
          <w:i/>
          <w:sz w:val="20"/>
        </w:rPr>
        <w:t>Liability</w:t>
      </w:r>
      <w:r>
        <w:rPr>
          <w:rFonts w:ascii="Times New Roman" w:hAnsi="Times New Roman"/>
          <w:sz w:val="20"/>
        </w:rPr>
        <w:t xml:space="preserve">” means any liability or obligation of any nature, whether accrued, contingent or otherwise. </w:t>
      </w:r>
    </w:p>
    <w:p>
      <w:pPr>
        <w:pStyle w:val="TextBody"/>
        <w:bidi w:val="0"/>
        <w:spacing w:before="240" w:after="0"/>
        <w:jc w:val="left"/>
        <w:rPr/>
      </w:pPr>
      <w:r>
        <w:rPr/>
        <w:t>“</w:t>
      </w:r>
      <w:r>
        <w:rPr>
          <w:rFonts w:ascii="Times New Roman" w:hAnsi="Times New Roman"/>
          <w:i/>
          <w:sz w:val="20"/>
        </w:rPr>
        <w:t>Limited Partner</w:t>
      </w:r>
      <w:r>
        <w:rPr>
          <w:rFonts w:ascii="Times New Roman" w:hAnsi="Times New Roman"/>
          <w:sz w:val="20"/>
        </w:rPr>
        <w:t xml:space="preserve">” means, unless the context otherwise requires, (a) each Initial Limited Partner, each Limited Partner, each Substituted Limited Partner, each Additional Limited Partner and any Departing General Partner upon the change of its status from General Partner to Limited Partner pursuant to </w:t>
      </w:r>
      <w:r>
        <w:rPr>
          <w:rFonts w:ascii="Times New Roman" w:hAnsi="Times New Roman"/>
          <w:sz w:val="20"/>
          <w:u w:val="single"/>
        </w:rPr>
        <w:t>Section 11.3</w:t>
      </w:r>
      <w:r>
        <w:rPr>
          <w:rFonts w:ascii="Times New Roman" w:hAnsi="Times New Roman"/>
          <w:sz w:val="20"/>
        </w:rPr>
        <w:t xml:space="preserve">, in each case, in such Person’s capacity as a limited partner of the Partnership or (b) solely for purposes of </w:t>
      </w:r>
      <w:r>
        <w:rPr>
          <w:rFonts w:ascii="Times New Roman" w:hAnsi="Times New Roman"/>
          <w:sz w:val="20"/>
          <w:u w:val="single"/>
        </w:rPr>
        <w:t>Articles V</w:t>
      </w:r>
      <w:r>
        <w:rPr>
          <w:rFonts w:ascii="Times New Roman" w:hAnsi="Times New Roman"/>
          <w:sz w:val="20"/>
        </w:rPr>
        <w:t xml:space="preserve">, </w:t>
      </w:r>
      <w:r>
        <w:rPr>
          <w:rFonts w:ascii="Times New Roman" w:hAnsi="Times New Roman"/>
          <w:sz w:val="20"/>
          <w:u w:val="single"/>
        </w:rPr>
        <w:t>VI</w:t>
      </w:r>
      <w:r>
        <w:rPr>
          <w:rFonts w:ascii="Times New Roman" w:hAnsi="Times New Roman"/>
          <w:sz w:val="20"/>
        </w:rPr>
        <w:t xml:space="preserve">, </w:t>
      </w:r>
      <w:r>
        <w:rPr>
          <w:rFonts w:ascii="Times New Roman" w:hAnsi="Times New Roman"/>
          <w:sz w:val="20"/>
          <w:u w:val="single"/>
        </w:rPr>
        <w:t>VII</w:t>
      </w:r>
      <w:r>
        <w:rPr>
          <w:rFonts w:ascii="Times New Roman" w:hAnsi="Times New Roman"/>
          <w:sz w:val="20"/>
        </w:rPr>
        <w:t xml:space="preserve">, </w:t>
      </w:r>
      <w:r>
        <w:rPr>
          <w:rFonts w:ascii="Times New Roman" w:hAnsi="Times New Roman"/>
          <w:sz w:val="20"/>
          <w:u w:val="single"/>
        </w:rPr>
        <w:t>IX</w:t>
      </w:r>
      <w:r>
        <w:rPr>
          <w:rFonts w:ascii="Times New Roman" w:hAnsi="Times New Roman"/>
          <w:sz w:val="20"/>
        </w:rPr>
        <w:t xml:space="preserve"> and </w:t>
      </w:r>
      <w:r>
        <w:rPr>
          <w:rFonts w:ascii="Times New Roman" w:hAnsi="Times New Roman"/>
          <w:sz w:val="20"/>
          <w:u w:val="single"/>
        </w:rPr>
        <w:t>XII</w:t>
      </w:r>
      <w:r>
        <w:rPr>
          <w:rFonts w:ascii="Times New Roman" w:hAnsi="Times New Roman"/>
          <w:sz w:val="20"/>
        </w:rPr>
        <w:t xml:space="preserve">, each Assignee. </w:t>
      </w:r>
    </w:p>
    <w:p>
      <w:pPr>
        <w:pStyle w:val="TextBody"/>
        <w:bidi w:val="0"/>
        <w:spacing w:before="240" w:after="0"/>
        <w:jc w:val="left"/>
        <w:rPr/>
      </w:pPr>
      <w:r>
        <w:rPr/>
        <w:t>“</w:t>
      </w:r>
      <w:r>
        <w:rPr>
          <w:rFonts w:ascii="Times New Roman" w:hAnsi="Times New Roman"/>
          <w:i/>
          <w:sz w:val="20"/>
        </w:rPr>
        <w:t>Limited Partner Interest</w:t>
      </w:r>
      <w:r>
        <w:rPr>
          <w:rFonts w:ascii="Times New Roman" w:hAnsi="Times New Roman"/>
          <w:sz w:val="20"/>
        </w:rPr>
        <w:t xml:space="preserve">” means the ownership interest of a Limited Partner or Assignee in the Partnership, which may be evidenced by Common Units, Class A Units, Series B Preferred Units, Series G Preferred Units, Series H Preferred Units, Series I Preferred Units and Class B Units or other Partnership Securities or a combination thereof or interest therein, and includes any and all benefits to which such Limited Partner or Assignee is entitled as provided in this Agreement, together with all obligations of such Limited Partner or Assignee to comply with the terms and provisions of this Agreement. </w:t>
      </w:r>
    </w:p>
    <w:p>
      <w:pPr>
        <w:pStyle w:val="TextBody"/>
        <w:bidi w:val="0"/>
        <w:spacing w:before="240" w:after="0"/>
        <w:jc w:val="left"/>
        <w:rPr/>
      </w:pPr>
      <w:r>
        <w:rPr/>
        <w:t>“</w:t>
      </w:r>
      <w:r>
        <w:rPr>
          <w:rFonts w:ascii="Times New Roman" w:hAnsi="Times New Roman"/>
          <w:i/>
          <w:sz w:val="20"/>
        </w:rPr>
        <w:t>Liquidation Date</w:t>
      </w:r>
      <w:r>
        <w:rPr>
          <w:rFonts w:ascii="Times New Roman" w:hAnsi="Times New Roman"/>
          <w:sz w:val="20"/>
        </w:rPr>
        <w:t xml:space="preserve">” means (a) in the case of an event giving rise to the dissolution of the Partnership of the type described in clauses (a) and (b) of the first sentence of </w:t>
      </w:r>
      <w:r>
        <w:rPr>
          <w:rFonts w:ascii="Times New Roman" w:hAnsi="Times New Roman"/>
          <w:sz w:val="20"/>
          <w:u w:val="single"/>
        </w:rPr>
        <w:t>Section 12.2</w:t>
      </w:r>
      <w:r>
        <w:rPr>
          <w:rFonts w:ascii="Times New Roman" w:hAnsi="Times New Roman"/>
          <w:sz w:val="20"/>
        </w:rPr>
        <w:t xml:space="preserve">, the date on which the applicable time period during which the holders of Outstanding Units have the right to elect to continue the business of the Partnership has expired without such an election being made, and (b) in the case of any other event giving rise to the dissolution of the Partnership, the date on which such event occurs. </w:t>
      </w:r>
    </w:p>
    <w:p>
      <w:pPr>
        <w:pStyle w:val="TextBody"/>
        <w:bidi w:val="0"/>
        <w:spacing w:before="240" w:after="0"/>
        <w:jc w:val="left"/>
        <w:rPr/>
      </w:pPr>
      <w:r>
        <w:rPr/>
        <w:t>“</w:t>
      </w:r>
      <w:r>
        <w:rPr>
          <w:rFonts w:ascii="Times New Roman" w:hAnsi="Times New Roman"/>
          <w:i/>
          <w:sz w:val="20"/>
        </w:rPr>
        <w:t>Liquidator</w:t>
      </w:r>
      <w:r>
        <w:rPr>
          <w:rFonts w:ascii="Times New Roman" w:hAnsi="Times New Roman"/>
          <w:sz w:val="20"/>
        </w:rPr>
        <w:t xml:space="preserve">” means one or more Persons selected by the General Partner to perform the functions described in </w:t>
      </w:r>
      <w:r>
        <w:rPr>
          <w:rFonts w:ascii="Times New Roman" w:hAnsi="Times New Roman"/>
          <w:sz w:val="20"/>
          <w:u w:val="single"/>
        </w:rPr>
        <w:t>Section 12.3</w:t>
      </w:r>
      <w:r>
        <w:rPr>
          <w:rFonts w:ascii="Times New Roman" w:hAnsi="Times New Roman"/>
          <w:sz w:val="20"/>
        </w:rPr>
        <w:t xml:space="preserve"> as liquidating trustee of the Partnership. </w:t>
      </w:r>
    </w:p>
    <w:p>
      <w:pPr>
        <w:pStyle w:val="TextBody"/>
        <w:bidi w:val="0"/>
        <w:spacing w:before="240" w:after="0"/>
        <w:jc w:val="left"/>
        <w:rPr/>
      </w:pPr>
      <w:r>
        <w:rPr/>
        <w:t>“</w:t>
      </w:r>
      <w:r>
        <w:rPr>
          <w:rFonts w:ascii="Times New Roman" w:hAnsi="Times New Roman"/>
          <w:i/>
          <w:sz w:val="20"/>
        </w:rPr>
        <w:t>Merger Agreement</w:t>
      </w:r>
      <w:r>
        <w:rPr>
          <w:rFonts w:ascii="Times New Roman" w:hAnsi="Times New Roman"/>
          <w:sz w:val="20"/>
        </w:rPr>
        <w:t xml:space="preserve">” has the meaning assigned to such term in </w:t>
      </w:r>
      <w:r>
        <w:rPr>
          <w:rFonts w:ascii="Times New Roman" w:hAnsi="Times New Roman"/>
          <w:sz w:val="20"/>
          <w:u w:val="single"/>
        </w:rPr>
        <w:t>Section 14.1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Minimum Conversion Amount</w:t>
      </w:r>
      <w:r>
        <w:rPr>
          <w:rFonts w:ascii="Times New Roman" w:hAnsi="Times New Roman"/>
          <w:sz w:val="20"/>
        </w:rPr>
        <w:t xml:space="preserve">” means (i) a number of Series I Preferred Units having an aggregate value of $20.0 million, which value is calculated by multiplying the number of Series I Preferred Units to be converted by the Series I Preferred Unit Price or (ii) if the value of the Series I Preferred Units (calculated in accordance with clause (i) above) to be converted by the Series I Holder requesting conversion does not equal or exceed $20.0 million, then all of the Series I Preferred Units held by such Series I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most recent H.15</w:t>
      </w:r>
      <w:r>
        <w:rPr>
          <w:rFonts w:ascii="Times New Roman" w:hAnsi="Times New Roman"/>
          <w:sz w:val="20"/>
        </w:rPr>
        <w:t xml:space="preserve">” means the H.15 published closest in time but prior to the close of business on the applicable Series H Reset Distribution Determination Date. </w:t>
      </w:r>
    </w:p>
    <w:p>
      <w:pPr>
        <w:pStyle w:val="TextBody"/>
        <w:bidi w:val="0"/>
        <w:spacing w:before="240" w:after="0"/>
        <w:jc w:val="left"/>
        <w:rPr/>
      </w:pPr>
      <w:r>
        <w:rPr/>
        <w:t>“</w:t>
      </w:r>
      <w:r>
        <w:rPr>
          <w:rFonts w:ascii="Times New Roman" w:hAnsi="Times New Roman"/>
          <w:i/>
          <w:sz w:val="20"/>
        </w:rPr>
        <w:t>most recent H.15(519)</w:t>
      </w:r>
      <w:r>
        <w:rPr>
          <w:rFonts w:ascii="Times New Roman" w:hAnsi="Times New Roman"/>
          <w:sz w:val="20"/>
        </w:rPr>
        <w:t xml:space="preserve">” means the H.15(519) published closest in time but prior to the close of business on the second Business Day prior to the Series G Reset Date. </w:t>
      </w:r>
    </w:p>
    <w:p>
      <w:pPr>
        <w:pStyle w:val="TextBody"/>
        <w:bidi w:val="0"/>
        <w:spacing w:before="240" w:after="0"/>
        <w:jc w:val="left"/>
        <w:rPr/>
      </w:pPr>
      <w:r>
        <w:rPr/>
        <w:t>“</w:t>
      </w:r>
      <w:r>
        <w:rPr>
          <w:rFonts w:ascii="Times New Roman" w:hAnsi="Times New Roman"/>
          <w:i/>
          <w:sz w:val="20"/>
        </w:rPr>
        <w:t>National Securities Exchange</w:t>
      </w:r>
      <w:r>
        <w:rPr>
          <w:rFonts w:ascii="Times New Roman" w:hAnsi="Times New Roman"/>
          <w:sz w:val="20"/>
        </w:rPr>
        <w:t xml:space="preserve">” means an exchange registered with the Commission under Section 6(a) of the Securities Exchange Act, and any successor to such statute, or the Nasdaq National Market or any successor thereto. </w:t>
      </w:r>
    </w:p>
    <w:p>
      <w:pPr>
        <w:pStyle w:val="TextBody"/>
        <w:bidi w:val="0"/>
        <w:spacing w:before="240" w:after="0"/>
        <w:jc w:val="left"/>
        <w:rPr/>
      </w:pPr>
      <w:r>
        <w:rPr/>
        <w:t>“</w:t>
      </w:r>
      <w:r>
        <w:rPr>
          <w:rFonts w:ascii="Times New Roman" w:hAnsi="Times New Roman"/>
          <w:i/>
          <w:sz w:val="20"/>
        </w:rPr>
        <w:t>Net Agreed Value</w:t>
      </w:r>
      <w:r>
        <w:rPr>
          <w:rFonts w:ascii="Times New Roman" w:hAnsi="Times New Roman"/>
          <w:sz w:val="20"/>
        </w:rPr>
        <w:t xml:space="preserve">” means, (a) in the case of any Contributed Property, the Agreed Value of such property reduced by any liabilities either assumed by the Partnership upon such contribution or to which such property is subject when contributed, and (b) in the case of any property distributed to a Partner or Assignee by the Partnership, the Partnership’s Carrying Value of such property (as adjusted pursuant to </w:t>
      </w:r>
      <w:r>
        <w:rPr>
          <w:rFonts w:ascii="Times New Roman" w:hAnsi="Times New Roman"/>
          <w:sz w:val="20"/>
          <w:u w:val="single"/>
        </w:rPr>
        <w:t>Section 5.5(d)(ii)</w:t>
      </w:r>
      <w:r>
        <w:rPr>
          <w:rFonts w:ascii="Times New Roman" w:hAnsi="Times New Roman"/>
          <w:sz w:val="20"/>
        </w:rPr>
        <w:t xml:space="preserve">) at the time such property is distributed, reduced by any indebtedness either assumed by such Partner upon such distribution or to which such property is subject at the time of distribution, in either case, as determined under Section 752 of the Code. </w:t>
      </w:r>
    </w:p>
    <w:p>
      <w:pPr>
        <w:pStyle w:val="TextBody"/>
        <w:bidi w:val="0"/>
        <w:spacing w:before="240" w:after="0"/>
        <w:jc w:val="left"/>
        <w:rPr/>
      </w:pPr>
      <w:r>
        <w:rPr/>
        <w:t>“</w:t>
      </w:r>
      <w:r>
        <w:rPr>
          <w:rFonts w:ascii="Times New Roman" w:hAnsi="Times New Roman"/>
          <w:i/>
          <w:sz w:val="20"/>
        </w:rPr>
        <w:t>Net Income</w:t>
      </w:r>
      <w:r>
        <w:rPr>
          <w:rFonts w:ascii="Times New Roman" w:hAnsi="Times New Roman"/>
          <w:sz w:val="20"/>
        </w:rPr>
        <w:t xml:space="preserve">” means, for any taxable year, the excess, if any, of the Partnership’s items of income and gain (other than those items taken into account in the computation of Net Termination Gain or Net Termination Loss) for such taxable year over the Partnership’s items of loss and deduction (other than those items taken into account in the computation of Net Termination Gain or Net Termination Loss) for such taxable year. The items included in the calculation of Net Income shall be determined in accordance with </w:t>
      </w:r>
      <w:r>
        <w:rPr>
          <w:rFonts w:ascii="Times New Roman" w:hAnsi="Times New Roman"/>
          <w:sz w:val="20"/>
          <w:u w:val="single"/>
        </w:rPr>
        <w:t>Section 5.5(b)</w:t>
      </w:r>
      <w:r>
        <w:rPr>
          <w:rFonts w:ascii="Times New Roman" w:hAnsi="Times New Roman"/>
          <w:sz w:val="20"/>
        </w:rPr>
        <w:t xml:space="preserve"> and shall not include any items specially allocated under </w:t>
      </w:r>
      <w:r>
        <w:rPr>
          <w:rFonts w:ascii="Times New Roman" w:hAnsi="Times New Roman"/>
          <w:sz w:val="20"/>
          <w:u w:val="single"/>
        </w:rPr>
        <w:t>Section 6.1(d)</w:t>
      </w:r>
      <w:r>
        <w:rPr>
          <w:rFonts w:ascii="Times New Roman" w:hAnsi="Times New Roman"/>
          <w:sz w:val="20"/>
        </w:rPr>
        <w:t xml:space="preserve">; </w:t>
      </w:r>
      <w:r>
        <w:rPr>
          <w:rFonts w:ascii="Times New Roman" w:hAnsi="Times New Roman"/>
          <w:sz w:val="20"/>
          <w:u w:val="single"/>
        </w:rPr>
        <w:t xml:space="preserve">provided </w:t>
      </w:r>
      <w:r>
        <w:rPr>
          <w:rFonts w:ascii="Times New Roman" w:hAnsi="Times New Roman"/>
          <w:sz w:val="20"/>
        </w:rPr>
        <w:t xml:space="preserve">that the determination of the items that have been specially allocated under </w:t>
      </w:r>
      <w:r>
        <w:rPr>
          <w:rFonts w:ascii="Times New Roman" w:hAnsi="Times New Roman"/>
          <w:sz w:val="20"/>
          <w:u w:val="single"/>
        </w:rPr>
        <w:t>Section 6.1(d)</w:t>
      </w:r>
      <w:r>
        <w:rPr>
          <w:rFonts w:ascii="Times New Roman" w:hAnsi="Times New Roman"/>
          <w:sz w:val="20"/>
        </w:rPr>
        <w:t xml:space="preserve"> shall be made without regard to any reversal of such items under </w:t>
      </w:r>
      <w:r>
        <w:rPr>
          <w:rFonts w:ascii="Times New Roman" w:hAnsi="Times New Roman"/>
          <w:sz w:val="20"/>
          <w:u w:val="single"/>
        </w:rPr>
        <w:t>Section 6.1(d)(x)</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Net Loss</w:t>
      </w:r>
      <w:r>
        <w:rPr>
          <w:rFonts w:ascii="Times New Roman" w:hAnsi="Times New Roman"/>
          <w:sz w:val="20"/>
        </w:rPr>
        <w:t xml:space="preserve">” means, for any taxable year, the excess, if any, of the Partnership’s items of loss and deduction (other than those items taken into account in the computation of Net Termination Gain or Net Termination Loss) for such taxable year over the Partnership’s items of income and gain (other than those items taken into account in the computation of Net Termination Gain or Net Termination Loss) for such taxable year. The items included in the calculation of Net Loss shall be determined in accordance with </w:t>
      </w:r>
      <w:r>
        <w:rPr>
          <w:rFonts w:ascii="Times New Roman" w:hAnsi="Times New Roman"/>
          <w:sz w:val="20"/>
          <w:u w:val="single"/>
        </w:rPr>
        <w:t>Section 5.5(b)</w:t>
      </w:r>
      <w:r>
        <w:rPr>
          <w:rFonts w:ascii="Times New Roman" w:hAnsi="Times New Roman"/>
          <w:sz w:val="20"/>
        </w:rPr>
        <w:t xml:space="preserve"> and shall not include any items specially allocated under </w:t>
      </w:r>
      <w:r>
        <w:rPr>
          <w:rFonts w:ascii="Times New Roman" w:hAnsi="Times New Roman"/>
          <w:sz w:val="20"/>
          <w:u w:val="single"/>
        </w:rPr>
        <w:t>Section 6.1(d)</w:t>
      </w:r>
      <w:r>
        <w:rPr>
          <w:rFonts w:ascii="Times New Roman" w:hAnsi="Times New Roman"/>
          <w:sz w:val="20"/>
        </w:rPr>
        <w:t xml:space="preserve">; </w:t>
      </w:r>
      <w:r>
        <w:rPr>
          <w:rFonts w:ascii="Times New Roman" w:hAnsi="Times New Roman"/>
          <w:sz w:val="20"/>
          <w:u w:val="single"/>
        </w:rPr>
        <w:t xml:space="preserve">provided </w:t>
      </w:r>
      <w:r>
        <w:rPr>
          <w:rFonts w:ascii="Times New Roman" w:hAnsi="Times New Roman"/>
          <w:sz w:val="20"/>
        </w:rPr>
        <w:t xml:space="preserve">that the determination of the items that have been specially allocated under </w:t>
      </w:r>
      <w:r>
        <w:rPr>
          <w:rFonts w:ascii="Times New Roman" w:hAnsi="Times New Roman"/>
          <w:sz w:val="20"/>
          <w:u w:val="single"/>
        </w:rPr>
        <w:t>Section 6.1(d)</w:t>
      </w:r>
      <w:r>
        <w:rPr>
          <w:rFonts w:ascii="Times New Roman" w:hAnsi="Times New Roman"/>
          <w:sz w:val="20"/>
        </w:rPr>
        <w:t xml:space="preserve"> shall be made without regard to any reversal of such items under </w:t>
      </w:r>
      <w:r>
        <w:rPr>
          <w:rFonts w:ascii="Times New Roman" w:hAnsi="Times New Roman"/>
          <w:sz w:val="20"/>
          <w:u w:val="single"/>
        </w:rPr>
        <w:t>Section 6.1(d)(x)</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Net Positive Adjustments</w:t>
      </w:r>
      <w:r>
        <w:rPr>
          <w:rFonts w:ascii="Times New Roman" w:hAnsi="Times New Roman"/>
          <w:sz w:val="20"/>
        </w:rPr>
        <w:t xml:space="preserve">” means, with respect to any Partner, the excess, if any, of the total positive adjustments over the total negative adjustments made to the Capital Account of such Partner pursuant to Book-Up Events and Book-Down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Net Termination Gain</w:t>
      </w:r>
      <w:r>
        <w:rPr>
          <w:rFonts w:ascii="Times New Roman" w:hAnsi="Times New Roman"/>
          <w:sz w:val="20"/>
        </w:rPr>
        <w:t xml:space="preserve">” means, for any taxable period, (a) the sum, if positive, of all items of income, gain, loss or deduction (determined in accordance with </w:t>
      </w:r>
      <w:r>
        <w:rPr>
          <w:rFonts w:ascii="Times New Roman" w:hAnsi="Times New Roman"/>
          <w:sz w:val="20"/>
          <w:u w:val="single"/>
        </w:rPr>
        <w:t>Section 5.5(b)</w:t>
      </w:r>
      <w:r>
        <w:rPr>
          <w:rFonts w:ascii="Times New Roman" w:hAnsi="Times New Roman"/>
          <w:sz w:val="20"/>
        </w:rPr>
        <w:t xml:space="preserve">) that are recognized (i) after the Liquidation Date or (ii) upon the sale, exchange or other disposition of all or substantially all of the assets of the Partnership Group, taken as a whole, in a single transaction or a series of related transactions (excluding any disposition to a member of the Partnership Group), or (b) the excess, if any, of the aggregate amount of Unrealized Gain over the aggregate amount of Unrealized Loss deemed recognized by the Partnership pursuant to </w:t>
      </w:r>
      <w:r>
        <w:rPr>
          <w:rFonts w:ascii="Times New Roman" w:hAnsi="Times New Roman"/>
          <w:sz w:val="20"/>
          <w:u w:val="single"/>
        </w:rPr>
        <w:t>Section 5.5(d)</w:t>
      </w:r>
      <w:r>
        <w:rPr>
          <w:rFonts w:ascii="Times New Roman" w:hAnsi="Times New Roman"/>
          <w:sz w:val="20"/>
        </w:rPr>
        <w:t xml:space="preserve"> on the date of a Revaluation Event;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the items included in the determination of Net Termination Gain shall not include any items of income, gain, loss or deduction specially allocated under </w:t>
      </w:r>
      <w:r>
        <w:rPr>
          <w:rFonts w:ascii="Times New Roman" w:hAnsi="Times New Roman"/>
          <w:sz w:val="20"/>
          <w:u w:val="single"/>
        </w:rPr>
        <w:t>Section 6.1(d)(i)</w:t>
      </w:r>
      <w:r>
        <w:rPr>
          <w:rFonts w:ascii="Times New Roman" w:hAnsi="Times New Roman"/>
          <w:sz w:val="20"/>
        </w:rPr>
        <w:t xml:space="preserve"> through </w:t>
      </w:r>
      <w:r>
        <w:rPr>
          <w:rFonts w:ascii="Times New Roman" w:hAnsi="Times New Roman"/>
          <w:sz w:val="20"/>
          <w:u w:val="single"/>
        </w:rPr>
        <w:t>Section 6.1(d)(ix)</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Net Termination Loss</w:t>
      </w:r>
      <w:r>
        <w:rPr>
          <w:rFonts w:ascii="Times New Roman" w:hAnsi="Times New Roman"/>
          <w:sz w:val="20"/>
        </w:rPr>
        <w:t xml:space="preserve">” means, for any taxable period, (a) the sum, if negative, of all items of income, gain, loss or deduction (determined in accordance with </w:t>
      </w:r>
      <w:r>
        <w:rPr>
          <w:rFonts w:ascii="Times New Roman" w:hAnsi="Times New Roman"/>
          <w:sz w:val="20"/>
          <w:u w:val="single"/>
        </w:rPr>
        <w:t>Section 5.5(b)</w:t>
      </w:r>
      <w:r>
        <w:rPr>
          <w:rFonts w:ascii="Times New Roman" w:hAnsi="Times New Roman"/>
          <w:sz w:val="20"/>
        </w:rPr>
        <w:t xml:space="preserve">) that are recognized by the Partnership (i) after the Liquidation Date or (ii) upon the sale, exchange or other disposition of all or substantially all of the assets of the Partnership Group, taken as a whole, in a single transaction or a series of related transactions (excluding any disposition to a member of the Partnership Group) or (b) the excess, if any, of the aggregate amount of Unrealized Loss over the aggregate amount of Unrealized Gain deemed recognized by the Partnership pursuant to </w:t>
      </w:r>
      <w:r>
        <w:rPr>
          <w:rFonts w:ascii="Times New Roman" w:hAnsi="Times New Roman"/>
          <w:sz w:val="20"/>
          <w:u w:val="single"/>
        </w:rPr>
        <w:t>Section 5.5(d)</w:t>
      </w:r>
      <w:r>
        <w:rPr>
          <w:rFonts w:ascii="Times New Roman" w:hAnsi="Times New Roman"/>
          <w:sz w:val="20"/>
        </w:rPr>
        <w:t xml:space="preserve"> on the date of a Revaluation Event;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the items included in the determination of Net Termination Loss shall not include any items of income, gain or loss specially allocated under </w:t>
      </w:r>
      <w:r>
        <w:rPr>
          <w:rFonts w:ascii="Times New Roman" w:hAnsi="Times New Roman"/>
          <w:sz w:val="20"/>
          <w:u w:val="single"/>
        </w:rPr>
        <w:t>Section 6.1(d)(i)</w:t>
      </w:r>
      <w:r>
        <w:rPr>
          <w:rFonts w:ascii="Times New Roman" w:hAnsi="Times New Roman"/>
          <w:sz w:val="20"/>
        </w:rPr>
        <w:t xml:space="preserve"> through </w:t>
      </w:r>
      <w:r>
        <w:rPr>
          <w:rFonts w:ascii="Times New Roman" w:hAnsi="Times New Roman"/>
          <w:sz w:val="20"/>
          <w:u w:val="single"/>
        </w:rPr>
        <w:t>Section 6.1(d)(ix)</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Nonrecourse Built-in Gain</w:t>
      </w:r>
      <w:r>
        <w:rPr>
          <w:rFonts w:ascii="Times New Roman" w:hAnsi="Times New Roman"/>
          <w:sz w:val="20"/>
        </w:rPr>
        <w:t xml:space="preserve">” means with respect to any Contributed Properties or Adjusted Properties that are subject to a mortgage or pledge securing a Nonrecourse Liability, the amount of any taxable gain that would be allocated to the Partners pursuant to </w:t>
      </w:r>
      <w:r>
        <w:rPr>
          <w:rFonts w:ascii="Times New Roman" w:hAnsi="Times New Roman"/>
          <w:sz w:val="20"/>
          <w:u w:val="single"/>
        </w:rPr>
        <w:t>Sections 6.2(b)(i)</w:t>
      </w:r>
      <w:r>
        <w:rPr>
          <w:rFonts w:ascii="Times New Roman" w:hAnsi="Times New Roman"/>
          <w:sz w:val="20"/>
        </w:rPr>
        <w:t xml:space="preserve">, </w:t>
      </w:r>
      <w:r>
        <w:rPr>
          <w:rFonts w:ascii="Times New Roman" w:hAnsi="Times New Roman"/>
          <w:sz w:val="20"/>
          <w:u w:val="single"/>
        </w:rPr>
        <w:t>6.2(b)(ii)</w:t>
      </w:r>
      <w:r>
        <w:rPr>
          <w:rFonts w:ascii="Times New Roman" w:hAnsi="Times New Roman"/>
          <w:sz w:val="20"/>
        </w:rPr>
        <w:t xml:space="preserve"> and </w:t>
      </w:r>
      <w:r>
        <w:rPr>
          <w:rFonts w:ascii="Times New Roman" w:hAnsi="Times New Roman"/>
          <w:sz w:val="20"/>
          <w:u w:val="single"/>
        </w:rPr>
        <w:t>6.2(b)(iii)</w:t>
      </w:r>
      <w:r>
        <w:rPr>
          <w:rFonts w:ascii="Times New Roman" w:hAnsi="Times New Roman"/>
          <w:sz w:val="20"/>
        </w:rPr>
        <w:t xml:space="preserve"> if such properties were disposed of in a taxable transaction in full satisfaction of such liabilities and for no other consideration. </w:t>
      </w:r>
    </w:p>
    <w:p>
      <w:pPr>
        <w:pStyle w:val="TextBody"/>
        <w:bidi w:val="0"/>
        <w:spacing w:before="240" w:after="0"/>
        <w:jc w:val="left"/>
        <w:rPr/>
      </w:pPr>
      <w:r>
        <w:rPr/>
        <w:t>“</w:t>
      </w:r>
      <w:r>
        <w:rPr>
          <w:rFonts w:ascii="Times New Roman" w:hAnsi="Times New Roman"/>
          <w:i/>
          <w:sz w:val="20"/>
        </w:rPr>
        <w:t>Nonrecourse Deductions</w:t>
      </w:r>
      <w:r>
        <w:rPr>
          <w:rFonts w:ascii="Times New Roman" w:hAnsi="Times New Roman"/>
          <w:sz w:val="20"/>
        </w:rPr>
        <w:t xml:space="preserve">” means any and all items of loss, deduction or expenditure (including, without limitation, any expenditure described in Section 705(a)(2)(B) of the Code) that, in accordance with the principles of Treasury Regulation Section 1.704-2(b), are attributable to a Nonrecourse Liability. </w:t>
      </w:r>
    </w:p>
    <w:p>
      <w:pPr>
        <w:pStyle w:val="TextBody"/>
        <w:bidi w:val="0"/>
        <w:spacing w:before="240" w:after="0"/>
        <w:jc w:val="left"/>
        <w:rPr/>
      </w:pPr>
      <w:r>
        <w:rPr/>
        <w:t>“</w:t>
      </w:r>
      <w:r>
        <w:rPr>
          <w:rFonts w:ascii="Times New Roman" w:hAnsi="Times New Roman"/>
          <w:i/>
          <w:sz w:val="20"/>
        </w:rPr>
        <w:t>Nonrecourse Liability</w:t>
      </w:r>
      <w:r>
        <w:rPr>
          <w:rFonts w:ascii="Times New Roman" w:hAnsi="Times New Roman"/>
          <w:sz w:val="20"/>
        </w:rPr>
        <w:t xml:space="preserve">” has the meaning set forth in Treasury Regulation Section 1.752-1(a)(2). </w:t>
      </w:r>
    </w:p>
    <w:p>
      <w:pPr>
        <w:pStyle w:val="TextBody"/>
        <w:bidi w:val="0"/>
        <w:spacing w:before="240" w:after="0"/>
        <w:jc w:val="left"/>
        <w:rPr/>
      </w:pPr>
      <w:r>
        <w:rPr/>
        <w:t>“</w:t>
      </w:r>
      <w:r>
        <w:rPr>
          <w:rFonts w:ascii="Times New Roman" w:hAnsi="Times New Roman"/>
          <w:i/>
          <w:sz w:val="20"/>
        </w:rPr>
        <w:t>Notice of Election to Purchase</w:t>
      </w:r>
      <w:r>
        <w:rPr>
          <w:rFonts w:ascii="Times New Roman" w:hAnsi="Times New Roman"/>
          <w:sz w:val="20"/>
        </w:rPr>
        <w:t xml:space="preserve">” has the meaning assigned to such term in </w:t>
      </w:r>
      <w:r>
        <w:rPr>
          <w:rFonts w:ascii="Times New Roman" w:hAnsi="Times New Roman"/>
          <w:sz w:val="20"/>
          <w:u w:val="single"/>
        </w:rPr>
        <w:t>Section 15.1(b)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Opinion of Counsel</w:t>
      </w:r>
      <w:r>
        <w:rPr>
          <w:rFonts w:ascii="Times New Roman" w:hAnsi="Times New Roman"/>
          <w:sz w:val="20"/>
        </w:rPr>
        <w:t xml:space="preserve">” means a written opinion of counsel (who may be regular counsel to the Partnership or the General Partner or any of its Affiliates) in a form acceptable to the General Partner. </w:t>
      </w:r>
    </w:p>
    <w:p>
      <w:pPr>
        <w:pStyle w:val="TextBody"/>
        <w:bidi w:val="0"/>
        <w:spacing w:before="240" w:after="0"/>
        <w:jc w:val="left"/>
        <w:rPr/>
      </w:pPr>
      <w:r>
        <w:rPr/>
        <w:t>“</w:t>
      </w:r>
      <w:r>
        <w:rPr>
          <w:rFonts w:ascii="Times New Roman" w:hAnsi="Times New Roman"/>
          <w:i/>
          <w:sz w:val="20"/>
        </w:rPr>
        <w:t>Option Closing Date</w:t>
      </w:r>
      <w:r>
        <w:rPr>
          <w:rFonts w:ascii="Times New Roman" w:hAnsi="Times New Roman"/>
          <w:sz w:val="20"/>
        </w:rPr>
        <w:t xml:space="preserve">” means the date or dates on which any Common Units are sold by the Partnership to the Underwriters upon exercise of the Over-Allotment Option. </w:t>
      </w:r>
    </w:p>
    <w:p>
      <w:pPr>
        <w:pStyle w:val="TextBody"/>
        <w:bidi w:val="0"/>
        <w:spacing w:before="240" w:after="0"/>
        <w:jc w:val="left"/>
        <w:rPr/>
      </w:pPr>
      <w:r>
        <w:rPr/>
        <w:t>“</w:t>
      </w:r>
      <w:r>
        <w:rPr>
          <w:rFonts w:ascii="Times New Roman" w:hAnsi="Times New Roman"/>
          <w:i/>
          <w:sz w:val="20"/>
        </w:rPr>
        <w:t>Outstanding</w:t>
      </w:r>
      <w:r>
        <w:rPr>
          <w:rFonts w:ascii="Times New Roman" w:hAnsi="Times New Roman"/>
          <w:sz w:val="20"/>
        </w:rPr>
        <w:t xml:space="preserve">” means, with respect to Partnership Securities, all Partnership Securities that are issued by the Partnership and reflected as outstanding on the Partnership’s books and records as of the date of determination;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if at any time any Person or Group (other than the General Partner or its Affiliates) beneficially owns 20% or more of any Outstanding Partnership Securities of any class then Outstanding, all Partnership Securities owned by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Person or Group shall not be voted on any matter and shall not be considered to be Outstanding when sending notices of a meeting of Limited Partners to vote on any matter (unless otherwise required by law), calculating required votes, determining the presence of a quorum or for other similar purposes under this Agreement, except that Common Units so owned shall be considered to be Outstanding for purposes of </w:t>
      </w:r>
      <w:r>
        <w:rPr>
          <w:rFonts w:ascii="Times New Roman" w:hAnsi="Times New Roman"/>
          <w:sz w:val="20"/>
          <w:u w:val="single"/>
        </w:rPr>
        <w:t>Section 11.1(b)(iii)</w:t>
      </w:r>
      <w:r>
        <w:rPr>
          <w:rFonts w:ascii="Times New Roman" w:hAnsi="Times New Roman"/>
          <w:sz w:val="20"/>
        </w:rPr>
        <w:t xml:space="preserve"> (such Common Units shall not, however, be treated as a separate class of Partnership Securities for purposes of this Agreement);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the limitation in the foregoing proviso shall not apply (i) to any Person or Group who acquired 20% or more of any Outstanding Partnership Securities of any class then Outstanding directly from the General Partner or its Affiliates, (ii) to any Person or Group who acquired 20% or more of any Outstanding Partnership Securities of any class then Outstanding directly or indirectly from a Person or Group described in clause (i) if the General Partner shall have notified such Person or Group in writing that such limitation shall not apply to such Person or Group, (iii) to any Person or Group who acquired 20% or more of any Partnership Securities issued by the Partnership with the prior approval of the Board of Directors of the General Partner, (iv) to any Series B Holder in connection with any vote, consent or approval of the Series B Holders pursuant to </w:t>
      </w:r>
      <w:r>
        <w:rPr>
          <w:rFonts w:ascii="Times New Roman" w:hAnsi="Times New Roman"/>
          <w:sz w:val="20"/>
          <w:u w:val="single"/>
        </w:rPr>
        <w:t>Section 5.11(b)(iii)</w:t>
      </w:r>
      <w:r>
        <w:rPr>
          <w:rFonts w:ascii="Times New Roman" w:hAnsi="Times New Roman"/>
          <w:sz w:val="20"/>
        </w:rPr>
        <w:t xml:space="preserve">, (v) to any Series G Holder in connection with any vote, consent or approval of the Series G Holders pursuant to </w:t>
      </w:r>
      <w:r>
        <w:rPr>
          <w:rFonts w:ascii="Times New Roman" w:hAnsi="Times New Roman"/>
          <w:sz w:val="20"/>
          <w:u w:val="single"/>
        </w:rPr>
        <w:t>Section 5.12(b)(iii)</w:t>
      </w:r>
      <w:r>
        <w:rPr>
          <w:rFonts w:ascii="Times New Roman" w:hAnsi="Times New Roman"/>
          <w:sz w:val="20"/>
        </w:rPr>
        <w:t xml:space="preserve">, (vi) to any Series H Holder in connection with any vote, consent or approval of the Series H Holders pursuant to </w:t>
      </w:r>
      <w:r>
        <w:rPr>
          <w:rFonts w:ascii="Times New Roman" w:hAnsi="Times New Roman"/>
          <w:sz w:val="20"/>
          <w:u w:val="single"/>
        </w:rPr>
        <w:t>Section 5.14(b)(iii)</w:t>
      </w:r>
      <w:r>
        <w:rPr>
          <w:rFonts w:ascii="Times New Roman" w:hAnsi="Times New Roman"/>
          <w:sz w:val="20"/>
        </w:rPr>
        <w:t xml:space="preserve"> or (vii) to any Series I Holder in connection with any vote, consent or approval of the Series I Holders pursuant to </w:t>
      </w:r>
      <w:r>
        <w:rPr>
          <w:rFonts w:ascii="Times New Roman" w:hAnsi="Times New Roman"/>
          <w:sz w:val="20"/>
          <w:u w:val="single"/>
        </w:rPr>
        <w:t>Section 5.15(d)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Over-Allotment Option</w:t>
      </w:r>
      <w:r>
        <w:rPr>
          <w:rFonts w:ascii="Times New Roman" w:hAnsi="Times New Roman"/>
          <w:sz w:val="20"/>
        </w:rPr>
        <w:t xml:space="preserve">” means the over-allotment option granted to the Underwriters by the Partnership pursuant to the Underwriting Agreement. </w:t>
      </w:r>
    </w:p>
    <w:p>
      <w:pPr>
        <w:pStyle w:val="TextBody"/>
        <w:bidi w:val="0"/>
        <w:spacing w:before="240" w:after="0"/>
        <w:jc w:val="left"/>
        <w:rPr/>
      </w:pPr>
      <w:r>
        <w:rPr/>
        <w:t>“</w:t>
      </w:r>
      <w:r>
        <w:rPr>
          <w:rFonts w:ascii="Times New Roman" w:hAnsi="Times New Roman"/>
          <w:i/>
          <w:sz w:val="20"/>
        </w:rPr>
        <w:t>Partner Nonrecourse Debt</w:t>
      </w:r>
      <w:r>
        <w:rPr>
          <w:rFonts w:ascii="Times New Roman" w:hAnsi="Times New Roman"/>
          <w:sz w:val="20"/>
        </w:rPr>
        <w:t xml:space="preserve">” has the meaning set forth in Treasury Regulation Section 1.704-2(b)(4). </w:t>
      </w:r>
    </w:p>
    <w:p>
      <w:pPr>
        <w:pStyle w:val="TextBody"/>
        <w:bidi w:val="0"/>
        <w:spacing w:before="240" w:after="0"/>
        <w:jc w:val="left"/>
        <w:rPr/>
      </w:pPr>
      <w:r>
        <w:rPr/>
        <w:t>“</w:t>
      </w:r>
      <w:r>
        <w:rPr>
          <w:rFonts w:ascii="Times New Roman" w:hAnsi="Times New Roman"/>
          <w:i/>
          <w:sz w:val="20"/>
        </w:rPr>
        <w:t>Partner Nonrecourse Debt Minimum Gain</w:t>
      </w:r>
      <w:r>
        <w:rPr>
          <w:rFonts w:ascii="Times New Roman" w:hAnsi="Times New Roman"/>
          <w:sz w:val="20"/>
        </w:rPr>
        <w:t xml:space="preserve">” has the meaning set forth in Treasury Regulation Section 1.704-2(i)(2). </w:t>
      </w:r>
    </w:p>
    <w:p>
      <w:pPr>
        <w:pStyle w:val="TextBody"/>
        <w:bidi w:val="0"/>
        <w:spacing w:before="240" w:after="0"/>
        <w:jc w:val="left"/>
        <w:rPr/>
      </w:pPr>
      <w:r>
        <w:rPr/>
        <w:t>“</w:t>
      </w:r>
      <w:r>
        <w:rPr>
          <w:rFonts w:ascii="Times New Roman" w:hAnsi="Times New Roman"/>
          <w:i/>
          <w:sz w:val="20"/>
        </w:rPr>
        <w:t>Partner Nonrecourse Deductions</w:t>
      </w:r>
      <w:r>
        <w:rPr>
          <w:rFonts w:ascii="Times New Roman" w:hAnsi="Times New Roman"/>
          <w:sz w:val="20"/>
        </w:rPr>
        <w:t xml:space="preserve">” means any and all items of loss, deduction or expenditure (including, without limitation, any expenditure described in Section 705(a)(2)(B) of the Code) that, in accordance with the principles of Treasury Regulation Section 1.704-2(i), are attributable to a Partner Nonrecourse Debt. </w:t>
      </w:r>
    </w:p>
    <w:p>
      <w:pPr>
        <w:pStyle w:val="TextBody"/>
        <w:bidi w:val="0"/>
        <w:spacing w:before="240" w:after="0"/>
        <w:jc w:val="left"/>
        <w:rPr/>
      </w:pPr>
      <w:r>
        <w:rPr/>
        <w:t>“</w:t>
      </w:r>
      <w:r>
        <w:rPr>
          <w:rFonts w:ascii="Times New Roman" w:hAnsi="Times New Roman"/>
          <w:i/>
          <w:sz w:val="20"/>
        </w:rPr>
        <w:t>Partners</w:t>
      </w:r>
      <w:r>
        <w:rPr>
          <w:rFonts w:ascii="Times New Roman" w:hAnsi="Times New Roman"/>
          <w:sz w:val="20"/>
        </w:rPr>
        <w:t xml:space="preserve">” means the General Partner and the Limited Partners. </w:t>
      </w:r>
    </w:p>
    <w:p>
      <w:pPr>
        <w:pStyle w:val="TextBody"/>
        <w:bidi w:val="0"/>
        <w:spacing w:before="240" w:after="0"/>
        <w:jc w:val="left"/>
        <w:rPr/>
      </w:pPr>
      <w:r>
        <w:rPr/>
        <w:t>“</w:t>
      </w:r>
      <w:r>
        <w:rPr>
          <w:rFonts w:ascii="Times New Roman" w:hAnsi="Times New Roman"/>
          <w:i/>
          <w:sz w:val="20"/>
        </w:rPr>
        <w:t>Partnership</w:t>
      </w:r>
      <w:r>
        <w:rPr>
          <w:rFonts w:ascii="Times New Roman" w:hAnsi="Times New Roman"/>
          <w:sz w:val="20"/>
        </w:rPr>
        <w:t xml:space="preserve">” means Energy Transfer LP, a Texas limited partnership. </w:t>
      </w:r>
    </w:p>
    <w:p>
      <w:pPr>
        <w:pStyle w:val="TextBody"/>
        <w:bidi w:val="0"/>
        <w:spacing w:before="240" w:after="0"/>
        <w:jc w:val="left"/>
        <w:rPr/>
      </w:pPr>
      <w:r>
        <w:rPr/>
        <w:t>“</w:t>
      </w:r>
      <w:r>
        <w:rPr>
          <w:rFonts w:ascii="Times New Roman" w:hAnsi="Times New Roman"/>
          <w:i/>
          <w:sz w:val="20"/>
        </w:rPr>
        <w:t>Partnership Group</w:t>
      </w:r>
      <w:r>
        <w:rPr>
          <w:rFonts w:ascii="Times New Roman" w:hAnsi="Times New Roman"/>
          <w:sz w:val="20"/>
        </w:rPr>
        <w:t xml:space="preserve">” means the Partnership and its Subsidiaries treated as a single consolidated entity. </w:t>
      </w:r>
    </w:p>
    <w:p>
      <w:pPr>
        <w:pStyle w:val="TextBody"/>
        <w:bidi w:val="0"/>
        <w:spacing w:before="240" w:after="0"/>
        <w:jc w:val="left"/>
        <w:rPr/>
      </w:pPr>
      <w:r>
        <w:rPr/>
        <w:t>“</w:t>
      </w:r>
      <w:r>
        <w:rPr>
          <w:rFonts w:ascii="Times New Roman" w:hAnsi="Times New Roman"/>
          <w:i/>
          <w:sz w:val="20"/>
        </w:rPr>
        <w:t>Partnership Interest</w:t>
      </w:r>
      <w:r>
        <w:rPr>
          <w:rFonts w:ascii="Times New Roman" w:hAnsi="Times New Roman"/>
          <w:sz w:val="20"/>
        </w:rPr>
        <w:t xml:space="preserve">” means an interest in the Partnership, which shall include the General Partner Interests and Limited Partner Interests. </w:t>
      </w:r>
    </w:p>
    <w:p>
      <w:pPr>
        <w:pStyle w:val="TextBody"/>
        <w:bidi w:val="0"/>
        <w:spacing w:before="240" w:after="0"/>
        <w:jc w:val="left"/>
        <w:rPr/>
      </w:pPr>
      <w:r>
        <w:rPr/>
        <w:t>“</w:t>
      </w:r>
      <w:r>
        <w:rPr>
          <w:rFonts w:ascii="Times New Roman" w:hAnsi="Times New Roman"/>
          <w:i/>
          <w:sz w:val="20"/>
        </w:rPr>
        <w:t>Partnership Minimum Gain</w:t>
      </w:r>
      <w:r>
        <w:rPr>
          <w:rFonts w:ascii="Times New Roman" w:hAnsi="Times New Roman"/>
          <w:sz w:val="20"/>
        </w:rPr>
        <w:t xml:space="preserve">” means that amount determined in accordance with the principles of Treasury Regulation Section 1.704-2(d).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Partnership Representative</w:t>
      </w:r>
      <w:r>
        <w:rPr>
          <w:rFonts w:ascii="Times New Roman" w:hAnsi="Times New Roman"/>
          <w:sz w:val="20"/>
        </w:rPr>
        <w:t xml:space="preserve">” has the meaning assigned to such term in </w:t>
      </w:r>
      <w:r>
        <w:rPr>
          <w:rFonts w:ascii="Times New Roman" w:hAnsi="Times New Roman"/>
          <w:sz w:val="20"/>
          <w:u w:val="single"/>
        </w:rPr>
        <w:t>Section 9.3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Partnership Security</w:t>
      </w:r>
      <w:r>
        <w:rPr>
          <w:rFonts w:ascii="Times New Roman" w:hAnsi="Times New Roman"/>
          <w:sz w:val="20"/>
        </w:rPr>
        <w:t xml:space="preserve">” means any class or series of equity interest in the Partnership (but excluding any options, rights, warrants and appreciation rights relating to an equity interest in the Partnership) and General Partner Units and any General Partner Interest represented thereby, including without limitation, Common Units, Class A Units, Series B Preferred Units, Series G Preferred Units, Series H Preferred Units, Series I Preferred Units and Class B Units. </w:t>
      </w:r>
    </w:p>
    <w:p>
      <w:pPr>
        <w:pStyle w:val="TextBody"/>
        <w:bidi w:val="0"/>
        <w:spacing w:before="240" w:after="0"/>
        <w:jc w:val="left"/>
        <w:rPr/>
      </w:pPr>
      <w:r>
        <w:rPr/>
        <w:t>“</w:t>
      </w:r>
      <w:r>
        <w:rPr>
          <w:rFonts w:ascii="Times New Roman" w:hAnsi="Times New Roman"/>
          <w:i/>
          <w:sz w:val="20"/>
        </w:rPr>
        <w:t>Paying Agent</w:t>
      </w:r>
      <w:r>
        <w:rPr>
          <w:rFonts w:ascii="Times New Roman" w:hAnsi="Times New Roman"/>
          <w:sz w:val="20"/>
        </w:rPr>
        <w:t xml:space="preserve">” means the Transfer Agent, acting in its capacity as paying agent for the Series B Preferred Units, the Series G Preferred Units, the Series H Preferred Units and the Series I Preferred Units, and its respective successors and assigns or any other paying agent appointed by the General Partner;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if no Paying Agent is specifically designated for the Series B Preferred Units, the Series G Preferred Units, the Series H Preferred Units or the Series I Preferred Units, the General Partner shall act in such capacity. </w:t>
      </w:r>
    </w:p>
    <w:p>
      <w:pPr>
        <w:pStyle w:val="TextBody"/>
        <w:bidi w:val="0"/>
        <w:spacing w:before="240" w:after="0"/>
        <w:jc w:val="left"/>
        <w:rPr/>
      </w:pPr>
      <w:r>
        <w:rPr/>
        <w:t>“</w:t>
      </w:r>
      <w:r>
        <w:rPr>
          <w:rFonts w:ascii="Times New Roman" w:hAnsi="Times New Roman"/>
          <w:i/>
          <w:sz w:val="20"/>
        </w:rPr>
        <w:t>Percentage Interest</w:t>
      </w:r>
      <w:r>
        <w:rPr>
          <w:rFonts w:ascii="Times New Roman" w:hAnsi="Times New Roman"/>
          <w:sz w:val="20"/>
        </w:rPr>
        <w:t xml:space="preserve">” means as of any date of determination (a) as to the General Partner, the amount of its aggregate Capital Contributions to the Partnership divided by the aggregate Capital Contributions made to the Partnership by all Partners (other than Capital Contributions made to the Partnership by a Partner with respect to a Class A Unit, a Class B Unit, a Series B Preferred Unit, a Series G Preferred Unit, a Series H Preferred Unit or a Series I Preferred Unit), (b) as to any Unitholder or Assignee holding Common Units, the product obtained by multiplying (i) 100% less the percentage applicable to paragraphs (a) and (c) hereof by (ii) the quotient obtained by dividing (A) the number of Common Units held by such Unitholder or Assignee by (B) the total number of all Outstanding Common Units, and (c) as to the holders of other Partnership Securities issued by the Partnership in accordance with </w:t>
      </w:r>
      <w:r>
        <w:rPr>
          <w:rFonts w:ascii="Times New Roman" w:hAnsi="Times New Roman"/>
          <w:sz w:val="20"/>
          <w:u w:val="single"/>
        </w:rPr>
        <w:t>Section 5.6</w:t>
      </w:r>
      <w:r>
        <w:rPr>
          <w:rFonts w:ascii="Times New Roman" w:hAnsi="Times New Roman"/>
          <w:sz w:val="20"/>
        </w:rPr>
        <w:t xml:space="preserve">, the percentage established as a part of such issuance. The Percentage Interest with respect to a Class A Unit, Class B Unit, Series B Preferred Unit, Series G Preferred Unit, Series H Preferred Unit and Series I Preferred Unit shall at all times be zero. </w:t>
      </w:r>
    </w:p>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means an individual or a corporation, limited liability company, partnership, joint venture, trust, unincorporated organization, association, government agency or political subdivision thereof or other entity. </w:t>
      </w:r>
    </w:p>
    <w:p>
      <w:pPr>
        <w:pStyle w:val="TextBody"/>
        <w:bidi w:val="0"/>
        <w:spacing w:before="240" w:after="0"/>
        <w:jc w:val="left"/>
        <w:rPr/>
      </w:pPr>
      <w:r>
        <w:rPr/>
        <w:t>“</w:t>
      </w:r>
      <w:r>
        <w:rPr>
          <w:rFonts w:ascii="Times New Roman" w:hAnsi="Times New Roman"/>
          <w:i/>
          <w:sz w:val="20"/>
        </w:rPr>
        <w:t>Plan of Conversion</w:t>
      </w:r>
      <w:r>
        <w:rPr>
          <w:rFonts w:ascii="Times New Roman" w:hAnsi="Times New Roman"/>
          <w:sz w:val="20"/>
        </w:rPr>
        <w:t xml:space="preserve">” means the Plan of Conversion of the Partnership as referenced in </w:t>
      </w:r>
      <w:r>
        <w:rPr>
          <w:rFonts w:ascii="Times New Roman" w:hAnsi="Times New Roman"/>
          <w:sz w:val="20"/>
          <w:u w:val="single"/>
        </w:rPr>
        <w:t>Section 2.1</w:t>
      </w:r>
      <w:r>
        <w:rPr>
          <w:rFonts w:ascii="Times New Roman" w:hAnsi="Times New Roman"/>
          <w:sz w:val="20"/>
        </w:rPr>
        <w:t xml:space="preserve">, as such Plan of Conversion may be amended, supplemented or restated from time to time. </w:t>
      </w:r>
    </w:p>
    <w:p>
      <w:pPr>
        <w:pStyle w:val="TextBody"/>
        <w:bidi w:val="0"/>
        <w:spacing w:before="240" w:after="0"/>
        <w:jc w:val="left"/>
        <w:rPr/>
      </w:pPr>
      <w:r>
        <w:rPr/>
        <w:t>“</w:t>
      </w:r>
      <w:r>
        <w:rPr>
          <w:rFonts w:ascii="Times New Roman" w:hAnsi="Times New Roman"/>
          <w:i/>
          <w:sz w:val="20"/>
        </w:rPr>
        <w:t>Pro Rata</w:t>
      </w:r>
      <w:r>
        <w:rPr>
          <w:rFonts w:ascii="Times New Roman" w:hAnsi="Times New Roman"/>
          <w:sz w:val="20"/>
        </w:rPr>
        <w:t xml:space="preserve">” means (a) when modifying Units or any class thereof, apportioned equally among all such designated Units in accordance with their relative Percentage Interests, (b) when modifying Partners and Assignees, apportioned among all Partners and Assignees in accordance with their relative Percentage Interests, (c) solely when modifying Series B Holders, apportioned equally among all Series B Holders in accordance with the relative number or percentage of Series B Preferred Units held by each such Series B Holder, (d) solely when modifying Series G Holders, apportioned equally among all Series G Holders in accordance with the relative number or percentage of Series G Preferred Units held by each such Series G Holder, (e) solely when modifying Series H Holders, apportioned equally among all Series H Holders in accordance with the relative number or percentage of Series H Preferred Units held by each such Series 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solely when modifying Series I Holders, apportioned equally among all Series I Holders in accordance with the relative number or percentage of Series I Preferred Units held by each such Series I Holder and (g) solely when modifying holders of Class B Units, apportioned equally among all holders of Class B Units in accordance with the relative number or percentage of Class B Units held by each such holder. </w:t>
      </w:r>
    </w:p>
    <w:p>
      <w:pPr>
        <w:pStyle w:val="TextBody"/>
        <w:bidi w:val="0"/>
        <w:spacing w:before="240" w:after="0"/>
        <w:jc w:val="left"/>
        <w:rPr/>
      </w:pPr>
      <w:r>
        <w:rPr/>
        <w:t>“</w:t>
      </w:r>
      <w:r>
        <w:rPr>
          <w:rFonts w:ascii="Times New Roman" w:hAnsi="Times New Roman"/>
          <w:i/>
          <w:sz w:val="20"/>
        </w:rPr>
        <w:t>Purchase Date</w:t>
      </w:r>
      <w:r>
        <w:rPr>
          <w:rFonts w:ascii="Times New Roman" w:hAnsi="Times New Roman"/>
          <w:sz w:val="20"/>
        </w:rPr>
        <w:t xml:space="preserve">” means the date determined by the General Partner as the date for purchase of all Outstanding Units of a certain class (other than Units owned by the General Partner and its Affiliates) pursuant to </w:t>
      </w:r>
      <w:r>
        <w:rPr>
          <w:rFonts w:ascii="Times New Roman" w:hAnsi="Times New Roman"/>
          <w:sz w:val="20"/>
          <w:u w:val="single"/>
        </w:rPr>
        <w:t>Article XV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Quarter</w:t>
      </w:r>
      <w:r>
        <w:rPr>
          <w:rFonts w:ascii="Times New Roman" w:hAnsi="Times New Roman"/>
          <w:sz w:val="20"/>
        </w:rPr>
        <w:t xml:space="preserve">” means, unless the context otherwise requires, a fiscal quarter of the Partnership;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that, notwithstanding the foregoing, the period from September 1, 2007 through and including December 31, 2007 shall be deemed to be a “</w:t>
      </w:r>
      <w:r>
        <w:rPr>
          <w:rFonts w:ascii="Times New Roman" w:hAnsi="Times New Roman"/>
          <w:i/>
          <w:sz w:val="20"/>
        </w:rPr>
        <w:t>Quarter</w:t>
      </w:r>
      <w:r>
        <w:rPr>
          <w:rFonts w:ascii="Times New Roman" w:hAnsi="Times New Roman"/>
          <w:sz w:val="20"/>
        </w:rPr>
        <w:t>” and no partial period during the period from September 1, 2007 to December 31, 2007 shall be considered to be a “</w:t>
      </w:r>
      <w:r>
        <w:rPr>
          <w:rFonts w:ascii="Times New Roman" w:hAnsi="Times New Roman"/>
          <w:i/>
          <w:sz w:val="20"/>
        </w:rPr>
        <w:t>Quarter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Quarterly Distribution</w:t>
      </w:r>
      <w:r>
        <w:rPr>
          <w:rFonts w:ascii="Times New Roman" w:hAnsi="Times New Roman"/>
          <w:sz w:val="20"/>
        </w:rPr>
        <w:t xml:space="preserve">” has the meaning set forth in </w:t>
      </w:r>
      <w:r>
        <w:rPr>
          <w:rFonts w:ascii="Times New Roman" w:hAnsi="Times New Roman"/>
          <w:sz w:val="20"/>
          <w:u w:val="single"/>
        </w:rPr>
        <w:t>Section 5.15(c)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Rating Agency</w:t>
      </w:r>
      <w:r>
        <w:rPr>
          <w:rFonts w:ascii="Times New Roman" w:hAnsi="Times New Roman"/>
          <w:sz w:val="20"/>
        </w:rPr>
        <w:t xml:space="preserve">” means any nationally recognized statistical rating organization (within the meaning of Section 3(a)(62) of the Securities Exchange Act) that publishes a rating for the Partnership. </w:t>
      </w:r>
    </w:p>
    <w:p>
      <w:pPr>
        <w:pStyle w:val="TextBody"/>
        <w:bidi w:val="0"/>
        <w:spacing w:before="240" w:after="0"/>
        <w:jc w:val="left"/>
        <w:rPr/>
      </w:pPr>
      <w:r>
        <w:rPr/>
        <w:t>“</w:t>
      </w:r>
      <w:r>
        <w:rPr>
          <w:rFonts w:ascii="Times New Roman" w:hAnsi="Times New Roman"/>
          <w:i/>
          <w:sz w:val="20"/>
        </w:rPr>
        <w:t>Recapture Income</w:t>
      </w:r>
      <w:r>
        <w:rPr>
          <w:rFonts w:ascii="Times New Roman" w:hAnsi="Times New Roman"/>
          <w:sz w:val="20"/>
        </w:rPr>
        <w:t xml:space="preserve">” means any gain recognized by the Partnership (computed without regard to any adjustment required by Section 734 or Section 743 of the Code) upon the disposition of any property or asset of the Partnership, which gain is characterized as ordinary income because it represents the recapture of deductions previously taken with respect to such property or asset. </w:t>
      </w:r>
    </w:p>
    <w:p>
      <w:pPr>
        <w:pStyle w:val="TextBody"/>
        <w:bidi w:val="0"/>
        <w:spacing w:before="240" w:after="0"/>
        <w:jc w:val="left"/>
        <w:rPr/>
      </w:pPr>
      <w:r>
        <w:rPr/>
        <w:t>“</w:t>
      </w:r>
      <w:r>
        <w:rPr>
          <w:rFonts w:ascii="Times New Roman" w:hAnsi="Times New Roman"/>
          <w:i/>
          <w:sz w:val="20"/>
        </w:rPr>
        <w:t>Record Date</w:t>
      </w:r>
      <w:r>
        <w:rPr>
          <w:rFonts w:ascii="Times New Roman" w:hAnsi="Times New Roman"/>
          <w:sz w:val="20"/>
        </w:rPr>
        <w:t xml:space="preserve">” means the date established by the General Partner for determining (a) the identity of the Record Holders entitled to notice of, or to vote at, any meeting of Limited Partners or entitled to vote by ballot or give approval of Partnership action in writing without a meeting or entitled to exercise rights in respect of any lawful action of Limited Partners or (b) the identity of Record Holders entitled to receive any report or distribution or to participate in any offer. </w:t>
      </w:r>
    </w:p>
    <w:p>
      <w:pPr>
        <w:pStyle w:val="TextBody"/>
        <w:bidi w:val="0"/>
        <w:spacing w:before="240" w:after="0"/>
        <w:jc w:val="left"/>
        <w:rPr/>
      </w:pPr>
      <w:r>
        <w:rPr/>
        <w:t>“</w:t>
      </w:r>
      <w:r>
        <w:rPr>
          <w:rFonts w:ascii="Times New Roman" w:hAnsi="Times New Roman"/>
          <w:i/>
          <w:sz w:val="20"/>
        </w:rPr>
        <w:t>Record Holder</w:t>
      </w:r>
      <w:r>
        <w:rPr>
          <w:rFonts w:ascii="Times New Roman" w:hAnsi="Times New Roman"/>
          <w:sz w:val="20"/>
        </w:rPr>
        <w:t xml:space="preserve">” means the Person in whose name a Common Unit is registered on the books of the Transfer Agent as of the opening of business on a particular Business Day, or with respect to other Partnership Interests, the Person in whose name any such other Partnership Interest is registered on the books of the Transfer Agent or the books that the General Partner has caused to be kept, as the case may be, as of the opening of business on such Business Day. </w:t>
      </w:r>
    </w:p>
    <w:p>
      <w:pPr>
        <w:pStyle w:val="TextBody"/>
        <w:bidi w:val="0"/>
        <w:spacing w:before="240" w:after="0"/>
        <w:jc w:val="left"/>
        <w:rPr/>
      </w:pPr>
      <w:r>
        <w:rPr/>
        <w:t>“</w:t>
      </w:r>
      <w:r>
        <w:rPr>
          <w:rFonts w:ascii="Times New Roman" w:hAnsi="Times New Roman"/>
          <w:i/>
          <w:sz w:val="20"/>
        </w:rPr>
        <w:t>Redeemable Interests</w:t>
      </w:r>
      <w:r>
        <w:rPr>
          <w:rFonts w:ascii="Times New Roman" w:hAnsi="Times New Roman"/>
          <w:sz w:val="20"/>
        </w:rPr>
        <w:t xml:space="preserve">” means any Partnership Interests for which a redemption notice has been given, and has not been withdrawn, pursuant to </w:t>
      </w:r>
      <w:r>
        <w:rPr>
          <w:rFonts w:ascii="Times New Roman" w:hAnsi="Times New Roman"/>
          <w:sz w:val="20"/>
          <w:u w:val="single"/>
        </w:rPr>
        <w:t>Section 4.9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Registration Statement</w:t>
      </w:r>
      <w:r>
        <w:rPr>
          <w:rFonts w:ascii="Times New Roman" w:hAnsi="Times New Roman"/>
          <w:sz w:val="20"/>
        </w:rPr>
        <w:t xml:space="preserve">” means the Registration Statement on Form S-1 (Registration No. 333-128097) as it has been or as it may be amended or supplemented from time to time, filed by the Partnership with the Commission under the Securities Act to register the offering and sale of the Common Units in the Initial Offering. </w:t>
      </w:r>
    </w:p>
    <w:p>
      <w:pPr>
        <w:pStyle w:val="TextBody"/>
        <w:bidi w:val="0"/>
        <w:spacing w:before="240" w:after="0"/>
        <w:jc w:val="left"/>
        <w:rPr/>
      </w:pPr>
      <w:r>
        <w:rPr/>
        <w:t>“</w:t>
      </w:r>
      <w:r>
        <w:rPr>
          <w:rFonts w:ascii="Times New Roman" w:hAnsi="Times New Roman"/>
          <w:i/>
          <w:sz w:val="20"/>
        </w:rPr>
        <w:t>Related Arrangements</w:t>
      </w:r>
      <w:r>
        <w:rPr>
          <w:rFonts w:ascii="Times New Roman" w:hAnsi="Times New Roman"/>
          <w:sz w:val="20"/>
        </w:rPr>
        <w:t xml:space="preserve">” has the meaning assigned to such term in the recitals.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Remaining Net Positive Adjustments</w:t>
      </w:r>
      <w:r>
        <w:rPr>
          <w:rFonts w:ascii="Times New Roman" w:hAnsi="Times New Roman"/>
          <w:sz w:val="20"/>
        </w:rPr>
        <w:t xml:space="preserve">” means, as of the end of any taxable period, (i) with respect to the Unitholders holding Common Units, the excess of (a) the Net Positive Adjustments of the Unitholders holding Common Units as of the end of such period over (b) the sum of those Partners’ Share of Additional Book Basis Derivative Items for each prior taxable period and (ii) with respect to the General Partner (as holder of the General Partner Interest), the excess of (a) the Net Positive Adjustments of the General Partner as of the end of such period over (b) the sum of the General Partner’s Share of Additional Book Basis Derivative Items with respect to the General Partner Interest for each prior taxable period. </w:t>
      </w:r>
    </w:p>
    <w:p>
      <w:pPr>
        <w:pStyle w:val="TextBody"/>
        <w:bidi w:val="0"/>
        <w:spacing w:before="240" w:after="0"/>
        <w:jc w:val="left"/>
        <w:rPr/>
      </w:pPr>
      <w:r>
        <w:rPr/>
        <w:t>“</w:t>
      </w:r>
      <w:r>
        <w:rPr>
          <w:rFonts w:ascii="Times New Roman" w:hAnsi="Times New Roman"/>
          <w:i/>
          <w:sz w:val="20"/>
        </w:rPr>
        <w:t>Required Allocations</w:t>
      </w:r>
      <w:r>
        <w:rPr>
          <w:rFonts w:ascii="Times New Roman" w:hAnsi="Times New Roman"/>
          <w:sz w:val="20"/>
        </w:rPr>
        <w:t xml:space="preserve">” means (a) any limitation imposed on any allocation of Net Losses or Net Termination Losses under </w:t>
      </w:r>
      <w:r>
        <w:rPr>
          <w:rFonts w:ascii="Times New Roman" w:hAnsi="Times New Roman"/>
          <w:sz w:val="20"/>
          <w:u w:val="single"/>
        </w:rPr>
        <w:t>Section 6.1(b)</w:t>
      </w:r>
      <w:r>
        <w:rPr>
          <w:rFonts w:ascii="Times New Roman" w:hAnsi="Times New Roman"/>
          <w:sz w:val="20"/>
        </w:rPr>
        <w:t xml:space="preserve"> or </w:t>
      </w:r>
      <w:r>
        <w:rPr>
          <w:rFonts w:ascii="Times New Roman" w:hAnsi="Times New Roman"/>
          <w:sz w:val="20"/>
          <w:u w:val="single"/>
        </w:rPr>
        <w:t>Section 6.1(c)(ii)</w:t>
      </w:r>
      <w:r>
        <w:rPr>
          <w:rFonts w:ascii="Times New Roman" w:hAnsi="Times New Roman"/>
          <w:sz w:val="20"/>
        </w:rPr>
        <w:t xml:space="preserve"> and (b) any allocation of an item of income, gain, loss or deduction pursuant to </w:t>
      </w:r>
      <w:r>
        <w:rPr>
          <w:rFonts w:ascii="Times New Roman" w:hAnsi="Times New Roman"/>
          <w:sz w:val="20"/>
          <w:u w:val="single"/>
        </w:rPr>
        <w:t>Section 6.1(d)(i)</w:t>
      </w:r>
      <w:r>
        <w:rPr>
          <w:rFonts w:ascii="Times New Roman" w:hAnsi="Times New Roman"/>
          <w:sz w:val="20"/>
        </w:rPr>
        <w:t xml:space="preserve">, </w:t>
      </w:r>
      <w:r>
        <w:rPr>
          <w:rFonts w:ascii="Times New Roman" w:hAnsi="Times New Roman"/>
          <w:sz w:val="20"/>
          <w:u w:val="single"/>
        </w:rPr>
        <w:t>Section 6.1(d)(ii)</w:t>
      </w:r>
      <w:r>
        <w:rPr>
          <w:rFonts w:ascii="Times New Roman" w:hAnsi="Times New Roman"/>
          <w:sz w:val="20"/>
        </w:rPr>
        <w:t xml:space="preserve">, </w:t>
      </w:r>
      <w:r>
        <w:rPr>
          <w:rFonts w:ascii="Times New Roman" w:hAnsi="Times New Roman"/>
          <w:sz w:val="20"/>
          <w:u w:val="single"/>
        </w:rPr>
        <w:t>Section 6.1(d)(iv)</w:t>
      </w:r>
      <w:r>
        <w:rPr>
          <w:rFonts w:ascii="Times New Roman" w:hAnsi="Times New Roman"/>
          <w:sz w:val="20"/>
        </w:rPr>
        <w:t xml:space="preserve"> or </w:t>
      </w:r>
      <w:r>
        <w:rPr>
          <w:rFonts w:ascii="Times New Roman" w:hAnsi="Times New Roman"/>
          <w:sz w:val="20"/>
          <w:u w:val="single"/>
        </w:rPr>
        <w:t>Section 6.1(d)(vii)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Residual Gain</w:t>
      </w:r>
      <w:r>
        <w:rPr>
          <w:rFonts w:ascii="Times New Roman" w:hAnsi="Times New Roman"/>
          <w:sz w:val="20"/>
        </w:rPr>
        <w:t>” or “</w:t>
      </w:r>
      <w:r>
        <w:rPr>
          <w:rFonts w:ascii="Times New Roman" w:hAnsi="Times New Roman"/>
          <w:i/>
          <w:sz w:val="20"/>
        </w:rPr>
        <w:t>Residual Loss</w:t>
      </w:r>
      <w:r>
        <w:rPr>
          <w:rFonts w:ascii="Times New Roman" w:hAnsi="Times New Roman"/>
          <w:sz w:val="20"/>
        </w:rPr>
        <w:t xml:space="preserve">” means any item of gain or loss, as the case may be, of the Partnership recognized for federal income tax purposes resulting from a sale, exchange or other disposition of a Contributed Property or Adjusted Property, to the extent such item of gain or loss is not allocated pursuant to </w:t>
      </w:r>
      <w:r>
        <w:rPr>
          <w:rFonts w:ascii="Times New Roman" w:hAnsi="Times New Roman"/>
          <w:sz w:val="20"/>
          <w:u w:val="single"/>
        </w:rPr>
        <w:t>Section 6.2(b)(i)(A)</w:t>
      </w:r>
      <w:r>
        <w:rPr>
          <w:rFonts w:ascii="Times New Roman" w:hAnsi="Times New Roman"/>
          <w:sz w:val="20"/>
        </w:rPr>
        <w:t xml:space="preserve"> or </w:t>
      </w:r>
      <w:r>
        <w:rPr>
          <w:rFonts w:ascii="Times New Roman" w:hAnsi="Times New Roman"/>
          <w:sz w:val="20"/>
          <w:u w:val="single"/>
        </w:rPr>
        <w:t>Section 6.2(b)(ii)(A)</w:t>
      </w:r>
      <w:r>
        <w:rPr>
          <w:rFonts w:ascii="Times New Roman" w:hAnsi="Times New Roman"/>
          <w:sz w:val="20"/>
        </w:rPr>
        <w:t xml:space="preserve">, respectively, to eliminate Book-Tax Disparities. </w:t>
      </w:r>
    </w:p>
    <w:p>
      <w:pPr>
        <w:pStyle w:val="TextBody"/>
        <w:bidi w:val="0"/>
        <w:spacing w:before="240" w:after="0"/>
        <w:jc w:val="left"/>
        <w:rPr/>
      </w:pPr>
      <w:r>
        <w:rPr/>
        <w:t>“</w:t>
      </w:r>
      <w:r>
        <w:rPr>
          <w:rFonts w:ascii="Times New Roman" w:hAnsi="Times New Roman"/>
          <w:i/>
          <w:sz w:val="20"/>
        </w:rPr>
        <w:t>Revaluation Event</w:t>
      </w:r>
      <w:r>
        <w:rPr>
          <w:rFonts w:ascii="Times New Roman" w:hAnsi="Times New Roman"/>
          <w:sz w:val="20"/>
        </w:rPr>
        <w:t xml:space="preserve">” means an event that results in an adjustment of the Carrying Value of each Partnership property pursuant to </w:t>
      </w:r>
      <w:r>
        <w:rPr>
          <w:rFonts w:ascii="Times New Roman" w:hAnsi="Times New Roman"/>
          <w:sz w:val="20"/>
          <w:u w:val="single"/>
        </w:rPr>
        <w:t>Section 5.5(d)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Securities Act</w:t>
      </w:r>
      <w:r>
        <w:rPr>
          <w:rFonts w:ascii="Times New Roman" w:hAnsi="Times New Roman"/>
          <w:sz w:val="20"/>
        </w:rPr>
        <w:t xml:space="preserve">” means the Securities Act of 1933, as amended, supplemented or restated from time to time and any successor to such statute. </w:t>
      </w:r>
    </w:p>
    <w:p>
      <w:pPr>
        <w:pStyle w:val="TextBody"/>
        <w:bidi w:val="0"/>
        <w:spacing w:before="240" w:after="0"/>
        <w:jc w:val="left"/>
        <w:rPr/>
      </w:pPr>
      <w:r>
        <w:rPr/>
        <w:t>“</w:t>
      </w:r>
      <w:r>
        <w:rPr>
          <w:rFonts w:ascii="Times New Roman" w:hAnsi="Times New Roman"/>
          <w:i/>
          <w:sz w:val="20"/>
        </w:rPr>
        <w:t>Securities Exchange Act</w:t>
      </w:r>
      <w:r>
        <w:rPr>
          <w:rFonts w:ascii="Times New Roman" w:hAnsi="Times New Roman"/>
          <w:sz w:val="20"/>
        </w:rPr>
        <w:t xml:space="preserve">” means the Securities Exchange Act of 1934, as amended, supplemented or restated from time to time and any successor to such statute. </w:t>
      </w:r>
    </w:p>
    <w:p>
      <w:pPr>
        <w:pStyle w:val="TextBody"/>
        <w:bidi w:val="0"/>
        <w:spacing w:before="240" w:after="0"/>
        <w:jc w:val="left"/>
        <w:rPr/>
      </w:pPr>
      <w:r>
        <w:rPr/>
        <w:t>“</w:t>
      </w:r>
      <w:r>
        <w:rPr>
          <w:rFonts w:ascii="Times New Roman" w:hAnsi="Times New Roman"/>
          <w:i/>
          <w:sz w:val="20"/>
        </w:rPr>
        <w:t>Series B Base Liquidation Preference</w:t>
      </w:r>
      <w:r>
        <w:rPr>
          <w:rFonts w:ascii="Times New Roman" w:hAnsi="Times New Roman"/>
          <w:sz w:val="20"/>
        </w:rPr>
        <w:t xml:space="preserve">” means a liquidation preference for each Series B Preferred Unit initially equal to $1,000 per unit. </w:t>
      </w:r>
    </w:p>
    <w:p>
      <w:pPr>
        <w:pStyle w:val="TextBody"/>
        <w:bidi w:val="0"/>
        <w:spacing w:before="240" w:after="0"/>
        <w:jc w:val="left"/>
        <w:rPr/>
      </w:pPr>
      <w:r>
        <w:rPr/>
        <w:t>“</w:t>
      </w:r>
      <w:r>
        <w:rPr>
          <w:rFonts w:ascii="Times New Roman" w:hAnsi="Times New Roman"/>
          <w:i/>
          <w:sz w:val="20"/>
        </w:rPr>
        <w:t>Series B Current Criteria</w:t>
      </w:r>
      <w:r>
        <w:rPr>
          <w:rFonts w:ascii="Times New Roman" w:hAnsi="Times New Roman"/>
          <w:sz w:val="20"/>
        </w:rPr>
        <w:t xml:space="preserve">” means the Equity Credit criteria of a Rating Agency for securities such as the Series B Preferred Units, as such criteria were in effect as of the Series B Original Issue Date. </w:t>
      </w:r>
    </w:p>
    <w:p>
      <w:pPr>
        <w:pStyle w:val="TextBody"/>
        <w:bidi w:val="0"/>
        <w:spacing w:before="240" w:after="0"/>
        <w:jc w:val="left"/>
        <w:rPr/>
      </w:pPr>
      <w:r>
        <w:rPr/>
        <w:t>“</w:t>
      </w:r>
      <w:r>
        <w:rPr>
          <w:rFonts w:ascii="Times New Roman" w:hAnsi="Times New Roman"/>
          <w:i/>
          <w:sz w:val="20"/>
        </w:rPr>
        <w:t>Series B Distribution Payment Date</w:t>
      </w:r>
      <w:r>
        <w:rPr>
          <w:rFonts w:ascii="Times New Roman" w:hAnsi="Times New Roman"/>
          <w:sz w:val="20"/>
        </w:rPr>
        <w:t xml:space="preserve">” means (a) during the Series B Fixed Rate Period, the 15th day of each February and August of each year and (b) during the Series B Floating Rate Period, the 15th day of each February, May, August and November of each year;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if any Series B Distribution Payment Date would otherwise occur on a day that is not a Business Day, such Series B Distribution Payment Date shall instead be on the immediately succeeding Business Day. </w:t>
      </w:r>
    </w:p>
    <w:p>
      <w:pPr>
        <w:pStyle w:val="TextBody"/>
        <w:bidi w:val="0"/>
        <w:spacing w:before="240" w:after="0"/>
        <w:jc w:val="left"/>
        <w:rPr/>
      </w:pPr>
      <w:r>
        <w:rPr/>
        <w:t>“</w:t>
      </w:r>
      <w:r>
        <w:rPr>
          <w:rFonts w:ascii="Times New Roman" w:hAnsi="Times New Roman"/>
          <w:i/>
          <w:sz w:val="20"/>
        </w:rPr>
        <w:t>Series B Distribution Period</w:t>
      </w:r>
      <w:r>
        <w:rPr>
          <w:rFonts w:ascii="Times New Roman" w:hAnsi="Times New Roman"/>
          <w:sz w:val="20"/>
        </w:rPr>
        <w:t xml:space="preserve">” means a period of time from and including the preceding Series B Distribution Payment Date, to, but excluding, the next Series B Distribution Payment Date for such Series B Distribution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Series B Distribution Rate</w:t>
      </w:r>
      <w:r>
        <w:rPr>
          <w:rFonts w:ascii="Times New Roman" w:hAnsi="Times New Roman"/>
          <w:sz w:val="20"/>
        </w:rPr>
        <w:t xml:space="preserve">” means an annual rate equal to (a) during the Series B Fixed Rate Period, 6.625% of the Series B Liquidation Preference and (b) during the Series B Floating Rate Period, a percentage of the Series B Liquidation Preference equal to the sum of (i) the Three-Month LIBOR, as calculated on each applicable Series B LIBOR Determination Date, and (ii) 4.155%. </w:t>
      </w:r>
    </w:p>
    <w:p>
      <w:pPr>
        <w:pStyle w:val="TextBody"/>
        <w:bidi w:val="0"/>
        <w:spacing w:before="240" w:after="0"/>
        <w:jc w:val="left"/>
        <w:rPr/>
      </w:pPr>
      <w:r>
        <w:rPr/>
        <w:t>“</w:t>
      </w:r>
      <w:r>
        <w:rPr>
          <w:rFonts w:ascii="Times New Roman" w:hAnsi="Times New Roman"/>
          <w:i/>
          <w:sz w:val="20"/>
        </w:rPr>
        <w:t>Series B Distribution Record Date</w:t>
      </w:r>
      <w:r>
        <w:rPr>
          <w:rFonts w:ascii="Times New Roman" w:hAnsi="Times New Roman"/>
          <w:sz w:val="20"/>
        </w:rPr>
        <w:t xml:space="preserve">” has the meaning given such term in </w:t>
      </w:r>
      <w:r>
        <w:rPr>
          <w:rFonts w:ascii="Times New Roman" w:hAnsi="Times New Roman"/>
          <w:sz w:val="20"/>
          <w:u w:val="single"/>
        </w:rPr>
        <w:t>Section 5.11(b)(ii)(B)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B Distributions</w:t>
      </w:r>
      <w:r>
        <w:rPr>
          <w:rFonts w:ascii="Times New Roman" w:hAnsi="Times New Roman"/>
          <w:sz w:val="20"/>
        </w:rPr>
        <w:t xml:space="preserve">” means distributions with respect to Series B Preferred Units pursuant to </w:t>
      </w:r>
      <w:r>
        <w:rPr>
          <w:rFonts w:ascii="Times New Roman" w:hAnsi="Times New Roman"/>
          <w:sz w:val="20"/>
          <w:u w:val="single"/>
        </w:rPr>
        <w:t>Section 5.11(b)(ii)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B Fixed Rate Period</w:t>
      </w:r>
      <w:r>
        <w:rPr>
          <w:rFonts w:ascii="Times New Roman" w:hAnsi="Times New Roman"/>
          <w:sz w:val="20"/>
        </w:rPr>
        <w:t xml:space="preserve">” means the period from and including April 1, 2021 to, but excluding, February 15, 2028. </w:t>
      </w:r>
    </w:p>
    <w:p>
      <w:pPr>
        <w:pStyle w:val="TextBody"/>
        <w:bidi w:val="0"/>
        <w:spacing w:before="240" w:after="0"/>
        <w:jc w:val="left"/>
        <w:rPr/>
      </w:pPr>
      <w:r>
        <w:rPr/>
        <w:t>“</w:t>
      </w:r>
      <w:r>
        <w:rPr>
          <w:rFonts w:ascii="Times New Roman" w:hAnsi="Times New Roman"/>
          <w:i/>
          <w:sz w:val="20"/>
        </w:rPr>
        <w:t>Series B Floating Rate Period</w:t>
      </w:r>
      <w:r>
        <w:rPr>
          <w:rFonts w:ascii="Times New Roman" w:hAnsi="Times New Roman"/>
          <w:sz w:val="20"/>
        </w:rPr>
        <w:t xml:space="preserve">” means the period from and including February 15, 2028 and thereafter until such time as all of the Outstanding Series B Preferred Units are redeemed in accordance with </w:t>
      </w:r>
      <w:r>
        <w:rPr>
          <w:rFonts w:ascii="Times New Roman" w:hAnsi="Times New Roman"/>
          <w:sz w:val="20"/>
          <w:u w:val="single"/>
        </w:rPr>
        <w:t>Section 5.11(b)(iv)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B Holder</w:t>
      </w:r>
      <w:r>
        <w:rPr>
          <w:rFonts w:ascii="Times New Roman" w:hAnsi="Times New Roman"/>
          <w:sz w:val="20"/>
        </w:rPr>
        <w:t xml:space="preserve">” means a Record Holder of Series B Preferred Units. </w:t>
      </w:r>
    </w:p>
    <w:p>
      <w:pPr>
        <w:pStyle w:val="TextBody"/>
        <w:bidi w:val="0"/>
        <w:spacing w:before="240" w:after="0"/>
        <w:jc w:val="left"/>
        <w:rPr/>
      </w:pPr>
      <w:r>
        <w:rPr/>
        <w:t>“</w:t>
      </w:r>
      <w:r>
        <w:rPr>
          <w:rFonts w:ascii="Times New Roman" w:hAnsi="Times New Roman"/>
          <w:i/>
          <w:sz w:val="20"/>
        </w:rPr>
        <w:t>Series B Junior Securities</w:t>
      </w:r>
      <w:r>
        <w:rPr>
          <w:rFonts w:ascii="Times New Roman" w:hAnsi="Times New Roman"/>
          <w:sz w:val="20"/>
        </w:rPr>
        <w:t xml:space="preserve">” means any class or series of Partnership Securities that, with respect to distributions on such Partnership Securities and distributions upon liquidation of the Partnership, ranks junior to the Series B Preferred Units, including but not limited to Common Units, Class A Units, Class B Units and the General Partner Interest, but excluding any Series B Parity Securities and Series B Senior Securities. </w:t>
      </w:r>
    </w:p>
    <w:p>
      <w:pPr>
        <w:pStyle w:val="TextBody"/>
        <w:bidi w:val="0"/>
        <w:spacing w:before="240" w:after="0"/>
        <w:jc w:val="left"/>
        <w:rPr/>
      </w:pPr>
      <w:r>
        <w:rPr/>
        <w:t>“</w:t>
      </w:r>
      <w:r>
        <w:rPr>
          <w:rFonts w:ascii="Times New Roman" w:hAnsi="Times New Roman"/>
          <w:i/>
          <w:sz w:val="20"/>
        </w:rPr>
        <w:t>Series B LIBOR Determination Date</w:t>
      </w:r>
      <w:r>
        <w:rPr>
          <w:rFonts w:ascii="Times New Roman" w:hAnsi="Times New Roman"/>
          <w:sz w:val="20"/>
        </w:rPr>
        <w:t xml:space="preserve">” means the London Business Day immediately preceding the first day in each relevant Series B Distribution Period. </w:t>
      </w:r>
    </w:p>
    <w:p>
      <w:pPr>
        <w:pStyle w:val="TextBody"/>
        <w:bidi w:val="0"/>
        <w:spacing w:before="240" w:after="0"/>
        <w:jc w:val="left"/>
        <w:rPr/>
      </w:pPr>
      <w:r>
        <w:rPr/>
        <w:t>“</w:t>
      </w:r>
      <w:r>
        <w:rPr>
          <w:rFonts w:ascii="Times New Roman" w:hAnsi="Times New Roman"/>
          <w:i/>
          <w:sz w:val="20"/>
        </w:rPr>
        <w:t>Series B Liquidation Preference</w:t>
      </w:r>
      <w:r>
        <w:rPr>
          <w:rFonts w:ascii="Times New Roman" w:hAnsi="Times New Roman"/>
          <w:sz w:val="20"/>
        </w:rPr>
        <w:t xml:space="preserve">” means a liquidation preference for each Series B Preferred Unit initially equal to $1,000 per unit (subject to adjustment for any splits, combinations or similar adjustments to the Series B Preferred Units), which liquidation preference shall be subject to increase by the per Series B Preferred Unit amount of any accumulated and unpaid Series B Distributions (whether or not such distributions shall have been declared). </w:t>
      </w:r>
    </w:p>
    <w:p>
      <w:pPr>
        <w:pStyle w:val="TextBody"/>
        <w:bidi w:val="0"/>
        <w:spacing w:before="240" w:after="0"/>
        <w:jc w:val="left"/>
        <w:rPr/>
      </w:pPr>
      <w:r>
        <w:rPr/>
        <w:t>“</w:t>
      </w:r>
      <w:r>
        <w:rPr>
          <w:rFonts w:ascii="Times New Roman" w:hAnsi="Times New Roman"/>
          <w:i/>
          <w:sz w:val="20"/>
        </w:rPr>
        <w:t>Series B Original Issue Date</w:t>
      </w:r>
      <w:r>
        <w:rPr>
          <w:rFonts w:ascii="Times New Roman" w:hAnsi="Times New Roman"/>
          <w:sz w:val="20"/>
        </w:rPr>
        <w:t xml:space="preserve">” means November 16, 2017. </w:t>
      </w:r>
    </w:p>
    <w:p>
      <w:pPr>
        <w:pStyle w:val="TextBody"/>
        <w:bidi w:val="0"/>
        <w:spacing w:before="240" w:after="0"/>
        <w:jc w:val="left"/>
        <w:rPr/>
      </w:pPr>
      <w:r>
        <w:rPr/>
        <w:t>“</w:t>
      </w:r>
      <w:r>
        <w:rPr>
          <w:rFonts w:ascii="Times New Roman" w:hAnsi="Times New Roman"/>
          <w:i/>
          <w:sz w:val="20"/>
        </w:rPr>
        <w:t>Series B Parity Securities</w:t>
      </w:r>
      <w:r>
        <w:rPr>
          <w:rFonts w:ascii="Times New Roman" w:hAnsi="Times New Roman"/>
          <w:sz w:val="20"/>
        </w:rPr>
        <w:t xml:space="preserve">” means the Series G Preferred Units, Series H Preferred Units, Series I Preferred Units and any other class or series of Partnership Interests established after April 1, 2021 by the General Partner, the terms of which class or series expressly provide that it ranks on parity with the Series B Preferred Units as to distributions and amounts payable upon a dissolution or liquidation pursuant to </w:t>
      </w:r>
      <w:r>
        <w:rPr>
          <w:rFonts w:ascii="Times New Roman" w:hAnsi="Times New Roman"/>
          <w:sz w:val="20"/>
          <w:u w:val="single"/>
        </w:rPr>
        <w:t>Article XII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B Preferred Units</w:t>
      </w:r>
      <w:r>
        <w:rPr>
          <w:rFonts w:ascii="Times New Roman" w:hAnsi="Times New Roman"/>
          <w:sz w:val="20"/>
        </w:rPr>
        <w:t xml:space="preserve">” has the meaning given such term in </w:t>
      </w:r>
      <w:r>
        <w:rPr>
          <w:rFonts w:ascii="Times New Roman" w:hAnsi="Times New Roman"/>
          <w:sz w:val="20"/>
          <w:u w:val="single"/>
        </w:rPr>
        <w:t>Section 5.11(a)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Series B Rating Event</w:t>
      </w:r>
      <w:r>
        <w:rPr>
          <w:rFonts w:ascii="Times New Roman" w:hAnsi="Times New Roman"/>
          <w:sz w:val="20"/>
        </w:rPr>
        <w:t xml:space="preserve">” means a change by any Rating Agency to the Series B Current Criteria, which change results in (a) any shortening of the length of time for which the Series B Current Criteria are scheduled to be in effect with respect to the Series B Preferred Units or (b) a lower Equity Credit being given to the Series B Preferred Units than the Equity Credit that would have been assigned to the Series B Preferred Units by such Rating Agency pursuant to its Series B Current Criteria. </w:t>
      </w:r>
    </w:p>
    <w:p>
      <w:pPr>
        <w:pStyle w:val="TextBody"/>
        <w:bidi w:val="0"/>
        <w:spacing w:before="240" w:after="0"/>
        <w:jc w:val="left"/>
        <w:rPr/>
      </w:pPr>
      <w:r>
        <w:rPr/>
        <w:t>“</w:t>
      </w:r>
      <w:r>
        <w:rPr>
          <w:rFonts w:ascii="Times New Roman" w:hAnsi="Times New Roman"/>
          <w:i/>
          <w:sz w:val="20"/>
        </w:rPr>
        <w:t>Series B Redemption Date</w:t>
      </w:r>
      <w:r>
        <w:rPr>
          <w:rFonts w:ascii="Times New Roman" w:hAnsi="Times New Roman"/>
          <w:sz w:val="20"/>
        </w:rPr>
        <w:t xml:space="preserve">” has the meaning given such term in </w:t>
      </w:r>
      <w:r>
        <w:rPr>
          <w:rFonts w:ascii="Times New Roman" w:hAnsi="Times New Roman"/>
          <w:sz w:val="20"/>
          <w:u w:val="single"/>
        </w:rPr>
        <w:t>Section 5.11(b)(iv)(A)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B Redemption Notice</w:t>
      </w:r>
      <w:r>
        <w:rPr>
          <w:rFonts w:ascii="Times New Roman" w:hAnsi="Times New Roman"/>
          <w:sz w:val="20"/>
        </w:rPr>
        <w:t xml:space="preserve">” has the meaning given such term in </w:t>
      </w:r>
      <w:r>
        <w:rPr>
          <w:rFonts w:ascii="Times New Roman" w:hAnsi="Times New Roman"/>
          <w:sz w:val="20"/>
          <w:u w:val="single"/>
        </w:rPr>
        <w:t>Section 5.11(b)(iv)(B)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B Redemption Price</w:t>
      </w:r>
      <w:r>
        <w:rPr>
          <w:rFonts w:ascii="Times New Roman" w:hAnsi="Times New Roman"/>
          <w:sz w:val="20"/>
        </w:rPr>
        <w:t xml:space="preserve">” has the meaning given such term in </w:t>
      </w:r>
      <w:r>
        <w:rPr>
          <w:rFonts w:ascii="Times New Roman" w:hAnsi="Times New Roman"/>
          <w:sz w:val="20"/>
          <w:u w:val="single"/>
        </w:rPr>
        <w:t>Section 5.11(b)(iv)(A)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B Senior Securities</w:t>
      </w:r>
      <w:r>
        <w:rPr>
          <w:rFonts w:ascii="Times New Roman" w:hAnsi="Times New Roman"/>
          <w:sz w:val="20"/>
        </w:rPr>
        <w:t xml:space="preserve">” means any class or series of Partnership Interests established after April 1, 2021 by the General Partner, the terms of which class or series expressly provide that it ranks senior to the Series B Preferred Units as to distributions and amounts payable upon a dissolution or liquidation pursuant to </w:t>
      </w:r>
      <w:r>
        <w:rPr>
          <w:rFonts w:ascii="Times New Roman" w:hAnsi="Times New Roman"/>
          <w:sz w:val="20"/>
          <w:u w:val="single"/>
        </w:rPr>
        <w:t>Article XII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G Base Liquidation Preference</w:t>
      </w:r>
      <w:r>
        <w:rPr>
          <w:rFonts w:ascii="Times New Roman" w:hAnsi="Times New Roman"/>
          <w:sz w:val="20"/>
        </w:rPr>
        <w:t xml:space="preserve">” means a liquidation preference for each Series G Preferred Unit initially equal to $1,000.00 per Series G Preferred Unit. </w:t>
      </w:r>
    </w:p>
    <w:p>
      <w:pPr>
        <w:pStyle w:val="TextBody"/>
        <w:bidi w:val="0"/>
        <w:spacing w:before="240" w:after="0"/>
        <w:jc w:val="left"/>
        <w:rPr/>
      </w:pPr>
      <w:r>
        <w:rPr/>
        <w:t>“</w:t>
      </w:r>
      <w:r>
        <w:rPr>
          <w:rFonts w:ascii="Times New Roman" w:hAnsi="Times New Roman"/>
          <w:i/>
          <w:sz w:val="20"/>
        </w:rPr>
        <w:t>Series G Current Criteria</w:t>
      </w:r>
      <w:r>
        <w:rPr>
          <w:rFonts w:ascii="Times New Roman" w:hAnsi="Times New Roman"/>
          <w:sz w:val="20"/>
        </w:rPr>
        <w:t xml:space="preserve">” means the Equity Credit criteria of a Rating Agency for securities such as the Series G Preferred Units, as such criteria were in effect as of the Series G Original Issue Date. </w:t>
      </w:r>
    </w:p>
    <w:p>
      <w:pPr>
        <w:pStyle w:val="TextBody"/>
        <w:bidi w:val="0"/>
        <w:spacing w:before="240" w:after="0"/>
        <w:jc w:val="left"/>
        <w:rPr/>
      </w:pPr>
      <w:r>
        <w:rPr/>
        <w:t>“</w:t>
      </w:r>
      <w:r>
        <w:rPr>
          <w:rFonts w:ascii="Times New Roman" w:hAnsi="Times New Roman"/>
          <w:i/>
          <w:sz w:val="20"/>
        </w:rPr>
        <w:t>Series G Distribution Payment Date</w:t>
      </w:r>
      <w:r>
        <w:rPr>
          <w:rFonts w:ascii="Times New Roman" w:hAnsi="Times New Roman"/>
          <w:sz w:val="20"/>
        </w:rPr>
        <w:t xml:space="preserve">” means the 15th day of each May and November of each year;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if any Series G Distribution Payment Date would otherwise occur on a day that is not a Business Day, such Series G Distribution Payment Date shall instead be on the immediately succeeding Business Day. </w:t>
      </w:r>
    </w:p>
    <w:p>
      <w:pPr>
        <w:pStyle w:val="TextBody"/>
        <w:bidi w:val="0"/>
        <w:spacing w:before="240" w:after="0"/>
        <w:jc w:val="left"/>
        <w:rPr/>
      </w:pPr>
      <w:r>
        <w:rPr/>
        <w:t>“</w:t>
      </w:r>
      <w:r>
        <w:rPr>
          <w:rFonts w:ascii="Times New Roman" w:hAnsi="Times New Roman"/>
          <w:i/>
          <w:sz w:val="20"/>
        </w:rPr>
        <w:t>Series G Distribution Period</w:t>
      </w:r>
      <w:r>
        <w:rPr>
          <w:rFonts w:ascii="Times New Roman" w:hAnsi="Times New Roman"/>
          <w:sz w:val="20"/>
        </w:rPr>
        <w:t xml:space="preserve">” means a period of time from and including the preceding Series G Distribution Payment Date, to, but excluding, the next Series G Distribution Payment Date for such Series G Distribution Period. </w:t>
      </w:r>
    </w:p>
    <w:p>
      <w:pPr>
        <w:pStyle w:val="TextBody"/>
        <w:bidi w:val="0"/>
        <w:spacing w:before="240" w:after="0"/>
        <w:jc w:val="left"/>
        <w:rPr/>
      </w:pPr>
      <w:r>
        <w:rPr/>
        <w:t>“</w:t>
      </w:r>
      <w:r>
        <w:rPr>
          <w:rFonts w:ascii="Times New Roman" w:hAnsi="Times New Roman"/>
          <w:i/>
          <w:sz w:val="20"/>
        </w:rPr>
        <w:t>Series G Distribution Rate</w:t>
      </w:r>
      <w:r>
        <w:rPr>
          <w:rFonts w:ascii="Times New Roman" w:hAnsi="Times New Roman"/>
          <w:sz w:val="20"/>
        </w:rPr>
        <w:t xml:space="preserve">” means an initial distribution rate for the Series G Preferred Units from and including the Series G Original Issue Date to, but excluding, the Series G First Call Date equal to 7.125% per annum of the $1,000.00 liquidation preference per Series G Preferred Unit (equal to $71.25 per Series G Preferred Unit per annum). On and after the Series G First Call Date, the distribution rate on the Series G Preferred Units for each Series G Reset Period will equal for each Series G Preferred Unit a percentage of the $1,000.00 liquidation preference for such Series G Preferred Unit equal to the Series G Five-year U.S. Treasury Rate as of the most recent Series G Reset Distribution Determination Date plus a spread of 5.306% per annum. </w:t>
      </w:r>
    </w:p>
    <w:p>
      <w:pPr>
        <w:pStyle w:val="TextBody"/>
        <w:bidi w:val="0"/>
        <w:spacing w:before="240" w:after="0"/>
        <w:jc w:val="left"/>
        <w:rPr/>
      </w:pPr>
      <w:r>
        <w:rPr/>
        <w:t>“</w:t>
      </w:r>
      <w:r>
        <w:rPr>
          <w:rFonts w:ascii="Times New Roman" w:hAnsi="Times New Roman"/>
          <w:i/>
          <w:sz w:val="20"/>
        </w:rPr>
        <w:t>Series G Distribution Record Date</w:t>
      </w:r>
      <w:r>
        <w:rPr>
          <w:rFonts w:ascii="Times New Roman" w:hAnsi="Times New Roman"/>
          <w:sz w:val="20"/>
        </w:rPr>
        <w:t xml:space="preserve">” has the meaning given such term in </w:t>
      </w:r>
      <w:r>
        <w:rPr>
          <w:rFonts w:ascii="Times New Roman" w:hAnsi="Times New Roman"/>
          <w:sz w:val="20"/>
          <w:u w:val="single"/>
        </w:rPr>
        <w:t>Section 5.12(b)(ii)(B)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G Distributions</w:t>
      </w:r>
      <w:r>
        <w:rPr>
          <w:rFonts w:ascii="Times New Roman" w:hAnsi="Times New Roman"/>
          <w:sz w:val="20"/>
        </w:rPr>
        <w:t xml:space="preserve">” means distributions with respect to Series G Preferred Units pursuant to </w:t>
      </w:r>
      <w:r>
        <w:rPr>
          <w:rFonts w:ascii="Times New Roman" w:hAnsi="Times New Roman"/>
          <w:sz w:val="20"/>
          <w:u w:val="single"/>
        </w:rPr>
        <w:t>Section 5.12(b)(ii)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G First Call Date</w:t>
      </w:r>
      <w:r>
        <w:rPr>
          <w:rFonts w:ascii="Times New Roman" w:hAnsi="Times New Roman"/>
          <w:sz w:val="20"/>
        </w:rPr>
        <w:t xml:space="preserve">” means May 15, 2030.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Series G Five-year U.S. Treasury Rate</w:t>
      </w:r>
      <w:r>
        <w:rPr>
          <w:rFonts w:ascii="Times New Roman" w:hAnsi="Times New Roman"/>
          <w:sz w:val="20"/>
        </w:rPr>
        <w:t>” means, as of any Series G Reset Distribution Determination Date, as applicable, (i) an interest rate (expressed as a decimal) determined to be the per annum rate equal to the arithmetic mean, for the immediately preceding week, of the daily yields to maturity for U.S. Treasury securities with a maturity of five years from the next Series G Reset Date and trading in the public securities markets or (ii) if the H.15(519) is not published during the week preceding the Series G Reset Distribution Determination Date, or does not contain such yields, then the rate will be determined by interpolation between the arithmetic mean, for the immediately preceding week, of the daily yields to maturity for each of the two series of U.S. Treasury securities trading in the public securities markets, (A) one maturing as close as possible to, but earlier than, the Series G Reset Date following the next succeeding Series G Reset Distribution Determination Date, and (B) the other maturity as close as possible to, but later than, the Series G Reset Date following the next succeeding Series G Reset Distribution Determination Date, in each case as published in the most recent H.15(519) under the caption “</w:t>
      </w:r>
      <w:r>
        <w:rPr>
          <w:rFonts w:ascii="Times New Roman" w:hAnsi="Times New Roman"/>
          <w:i/>
          <w:sz w:val="20"/>
        </w:rPr>
        <w:t>Treasury Constant Maturities</w:t>
      </w:r>
      <w:r>
        <w:rPr>
          <w:rFonts w:ascii="Times New Roman" w:hAnsi="Times New Roman"/>
          <w:sz w:val="20"/>
        </w:rPr>
        <w:t xml:space="preserve">” as the yield on actively traded U.S. Treasury securities adjusted to constant maturity. If the Series G Five-year U.S. Treasury Rate cannot be determined pursuant to the methods described in clauses (i) or (ii) above, then the Series G Five-year U.S. Treasury Rate will be the same interest rate determined for the immediately preceding Series G Reset Distribution Determination Date, or if this sentence is applicable with respect to the first Series G Reset Distribution Determination Date, 7.125%. </w:t>
      </w:r>
    </w:p>
    <w:p>
      <w:pPr>
        <w:pStyle w:val="TextBody"/>
        <w:bidi w:val="0"/>
        <w:spacing w:before="240" w:after="0"/>
        <w:jc w:val="left"/>
        <w:rPr/>
      </w:pPr>
      <w:r>
        <w:rPr/>
        <w:t>“</w:t>
      </w:r>
      <w:r>
        <w:rPr>
          <w:rFonts w:ascii="Times New Roman" w:hAnsi="Times New Roman"/>
          <w:i/>
          <w:sz w:val="20"/>
        </w:rPr>
        <w:t>Series G Holder</w:t>
      </w:r>
      <w:r>
        <w:rPr>
          <w:rFonts w:ascii="Times New Roman" w:hAnsi="Times New Roman"/>
          <w:sz w:val="20"/>
        </w:rPr>
        <w:t xml:space="preserve">” means a Record Holder of Series G Preferred Units. </w:t>
      </w:r>
    </w:p>
    <w:p>
      <w:pPr>
        <w:pStyle w:val="TextBody"/>
        <w:bidi w:val="0"/>
        <w:spacing w:before="240" w:after="0"/>
        <w:jc w:val="left"/>
        <w:rPr/>
      </w:pPr>
      <w:r>
        <w:rPr/>
        <w:t>“</w:t>
      </w:r>
      <w:r>
        <w:rPr>
          <w:rFonts w:ascii="Times New Roman" w:hAnsi="Times New Roman"/>
          <w:i/>
          <w:sz w:val="20"/>
        </w:rPr>
        <w:t>Series G Junior Securities</w:t>
      </w:r>
      <w:r>
        <w:rPr>
          <w:rFonts w:ascii="Times New Roman" w:hAnsi="Times New Roman"/>
          <w:sz w:val="20"/>
        </w:rPr>
        <w:t xml:space="preserve">” means any class or series of Partnership Securities that, with respect to distributions on such Partnership Securities and distributions upon liquidation of the Partnership, ranks junior to the Series G Preferred Units, including but not limited to Common Units, Class A Units, Class B Units and the General Partner Interest, but excluding any Series G Parity Securities and Series G Senior Securities. </w:t>
      </w:r>
    </w:p>
    <w:p>
      <w:pPr>
        <w:pStyle w:val="TextBody"/>
        <w:bidi w:val="0"/>
        <w:spacing w:before="240" w:after="0"/>
        <w:jc w:val="left"/>
        <w:rPr/>
      </w:pPr>
      <w:r>
        <w:rPr/>
        <w:t>“</w:t>
      </w:r>
      <w:r>
        <w:rPr>
          <w:rFonts w:ascii="Times New Roman" w:hAnsi="Times New Roman"/>
          <w:i/>
          <w:sz w:val="20"/>
        </w:rPr>
        <w:t>Series G Liquidation Preference</w:t>
      </w:r>
      <w:r>
        <w:rPr>
          <w:rFonts w:ascii="Times New Roman" w:hAnsi="Times New Roman"/>
          <w:sz w:val="20"/>
        </w:rPr>
        <w:t xml:space="preserve">” means a liquidation preference for each Series G Preferred Unit initially equal to $1,000.00 per Series G Preferred Unit (subject to adjustment for any splits, combinations or similar adjustments to the Series G Preferred Units), which liquidation preference shall be subject to increase by the per Series G Preferred Unit amount of any accumulated and unpaid Series G Distributions (whether or not such distributions shall have been declared). </w:t>
      </w:r>
    </w:p>
    <w:p>
      <w:pPr>
        <w:pStyle w:val="TextBody"/>
        <w:bidi w:val="0"/>
        <w:spacing w:before="240" w:after="0"/>
        <w:jc w:val="left"/>
        <w:rPr/>
      </w:pPr>
      <w:r>
        <w:rPr/>
        <w:t>“</w:t>
      </w:r>
      <w:r>
        <w:rPr>
          <w:rFonts w:ascii="Times New Roman" w:hAnsi="Times New Roman"/>
          <w:i/>
          <w:sz w:val="20"/>
        </w:rPr>
        <w:t>Series G Original Issue Date</w:t>
      </w:r>
      <w:r>
        <w:rPr>
          <w:rFonts w:ascii="Times New Roman" w:hAnsi="Times New Roman"/>
          <w:sz w:val="20"/>
        </w:rPr>
        <w:t xml:space="preserve">” means January 22, 2020. </w:t>
      </w:r>
    </w:p>
    <w:p>
      <w:pPr>
        <w:pStyle w:val="TextBody"/>
        <w:bidi w:val="0"/>
        <w:spacing w:before="240" w:after="0"/>
        <w:jc w:val="left"/>
        <w:rPr/>
      </w:pPr>
      <w:r>
        <w:rPr/>
        <w:t>“</w:t>
      </w:r>
      <w:r>
        <w:rPr>
          <w:rFonts w:ascii="Times New Roman" w:hAnsi="Times New Roman"/>
          <w:i/>
          <w:sz w:val="20"/>
        </w:rPr>
        <w:t>Series G Parity Securities</w:t>
      </w:r>
      <w:r>
        <w:rPr>
          <w:rFonts w:ascii="Times New Roman" w:hAnsi="Times New Roman"/>
          <w:sz w:val="20"/>
        </w:rPr>
        <w:t xml:space="preserve">” means the Series B Preferred Units, Series H Preferred Units, Series I Preferred Units and any other class or series of Partnership Interests established after April 1, 2021 by the General Partner, the terms of which class or series expressly provide that it ranks on parity with the Series G Preferred Units as to distributions and amounts payable upon a dissolution or liquidation pursuant to </w:t>
      </w:r>
      <w:r>
        <w:rPr>
          <w:rFonts w:ascii="Times New Roman" w:hAnsi="Times New Roman"/>
          <w:sz w:val="20"/>
          <w:u w:val="single"/>
        </w:rPr>
        <w:t>Article XII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G Preferred Units</w:t>
      </w:r>
      <w:r>
        <w:rPr>
          <w:rFonts w:ascii="Times New Roman" w:hAnsi="Times New Roman"/>
          <w:sz w:val="20"/>
        </w:rPr>
        <w:t xml:space="preserve">” has the meaning given such term in </w:t>
      </w:r>
      <w:r>
        <w:rPr>
          <w:rFonts w:ascii="Times New Roman" w:hAnsi="Times New Roman"/>
          <w:sz w:val="20"/>
          <w:u w:val="single"/>
        </w:rPr>
        <w:t>Section 5.12(a)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Series G Rating Event</w:t>
      </w:r>
      <w:r>
        <w:rPr>
          <w:rFonts w:ascii="Times New Roman" w:hAnsi="Times New Roman"/>
          <w:sz w:val="20"/>
        </w:rPr>
        <w:t xml:space="preserve">” means a change by any Rating Agency to the Series G Current Criteria, which change results in (a) any shortening of the length of time for which the Series G Current Criteria are scheduled to be in effect with respect to the Series G Preferred Units or (b) a lower Equity Credit being given to the Series G Preferred Units than the Equity Credit that would have been assigned to the Series G Preferred Units by such Rating Agency pursuant to its Series G Current Criteria. </w:t>
      </w:r>
    </w:p>
    <w:p>
      <w:pPr>
        <w:pStyle w:val="TextBody"/>
        <w:bidi w:val="0"/>
        <w:spacing w:before="240" w:after="0"/>
        <w:jc w:val="left"/>
        <w:rPr/>
      </w:pPr>
      <w:r>
        <w:rPr/>
        <w:t>“</w:t>
      </w:r>
      <w:r>
        <w:rPr>
          <w:rFonts w:ascii="Times New Roman" w:hAnsi="Times New Roman"/>
          <w:i/>
          <w:sz w:val="20"/>
        </w:rPr>
        <w:t>Series G Redemption Date</w:t>
      </w:r>
      <w:r>
        <w:rPr>
          <w:rFonts w:ascii="Times New Roman" w:hAnsi="Times New Roman"/>
          <w:sz w:val="20"/>
        </w:rPr>
        <w:t xml:space="preserve">” has the meaning given such term in </w:t>
      </w:r>
      <w:r>
        <w:rPr>
          <w:rFonts w:ascii="Times New Roman" w:hAnsi="Times New Roman"/>
          <w:sz w:val="20"/>
          <w:u w:val="single"/>
        </w:rPr>
        <w:t>Section 5.12(b)(iv)(A)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G Redemption Notice</w:t>
      </w:r>
      <w:r>
        <w:rPr>
          <w:rFonts w:ascii="Times New Roman" w:hAnsi="Times New Roman"/>
          <w:sz w:val="20"/>
        </w:rPr>
        <w:t xml:space="preserve">” has the meaning given such term in </w:t>
      </w:r>
      <w:r>
        <w:rPr>
          <w:rFonts w:ascii="Times New Roman" w:hAnsi="Times New Roman"/>
          <w:sz w:val="20"/>
          <w:u w:val="single"/>
        </w:rPr>
        <w:t>Section 5.12(b)(iv)(B)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G Redemption Price</w:t>
      </w:r>
      <w:r>
        <w:rPr>
          <w:rFonts w:ascii="Times New Roman" w:hAnsi="Times New Roman"/>
          <w:sz w:val="20"/>
        </w:rPr>
        <w:t xml:space="preserve">” has the meaning given such term in </w:t>
      </w:r>
      <w:r>
        <w:rPr>
          <w:rFonts w:ascii="Times New Roman" w:hAnsi="Times New Roman"/>
          <w:sz w:val="20"/>
          <w:u w:val="single"/>
        </w:rPr>
        <w:t>Section 5.12(b)(iv)(A)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G Reset Date</w:t>
      </w:r>
      <w:r>
        <w:rPr>
          <w:rFonts w:ascii="Times New Roman" w:hAnsi="Times New Roman"/>
          <w:sz w:val="20"/>
        </w:rPr>
        <w:t xml:space="preserve">” means the Series G First Call Date and each date falling on the fifth anniversary of the preceding Series G Reset Date. </w:t>
      </w:r>
    </w:p>
    <w:p>
      <w:pPr>
        <w:pStyle w:val="TextBody"/>
        <w:bidi w:val="0"/>
        <w:spacing w:before="240" w:after="0"/>
        <w:jc w:val="left"/>
        <w:rPr/>
      </w:pPr>
      <w:r>
        <w:rPr/>
        <w:t>“</w:t>
      </w:r>
      <w:r>
        <w:rPr>
          <w:rFonts w:ascii="Times New Roman" w:hAnsi="Times New Roman"/>
          <w:i/>
          <w:sz w:val="20"/>
        </w:rPr>
        <w:t>Series G Reset Distribution Determination Date</w:t>
      </w:r>
      <w:r>
        <w:rPr>
          <w:rFonts w:ascii="Times New Roman" w:hAnsi="Times New Roman"/>
          <w:sz w:val="20"/>
        </w:rPr>
        <w:t xml:space="preserve">” means, in respect of any Series G Reset Period, the day falling two Business Days prior to the beginning of such Series G Reset Period. </w:t>
      </w:r>
    </w:p>
    <w:p>
      <w:pPr>
        <w:pStyle w:val="TextBody"/>
        <w:bidi w:val="0"/>
        <w:spacing w:before="240" w:after="0"/>
        <w:jc w:val="left"/>
        <w:rPr/>
      </w:pPr>
      <w:r>
        <w:rPr/>
        <w:t>“</w:t>
      </w:r>
      <w:r>
        <w:rPr>
          <w:rFonts w:ascii="Times New Roman" w:hAnsi="Times New Roman"/>
          <w:i/>
          <w:sz w:val="20"/>
        </w:rPr>
        <w:t>Series G Reset Period</w:t>
      </w:r>
      <w:r>
        <w:rPr>
          <w:rFonts w:ascii="Times New Roman" w:hAnsi="Times New Roman"/>
          <w:sz w:val="20"/>
        </w:rPr>
        <w:t xml:space="preserve">” means the period from and including the Series G First Call Date to, but excluding, the next following Series G Reset Date and thereafter each period from and including each Series G Reset Date to, but excluding, the next following Series G Reset Date, until such time as all of the Outstanding Series G Preferred Units are redeemed in accordance with </w:t>
      </w:r>
      <w:r>
        <w:rPr>
          <w:rFonts w:ascii="Times New Roman" w:hAnsi="Times New Roman"/>
          <w:sz w:val="20"/>
          <w:u w:val="single"/>
        </w:rPr>
        <w:t>Section 5.12(b)(iv)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G Senior Securities</w:t>
      </w:r>
      <w:r>
        <w:rPr>
          <w:rFonts w:ascii="Times New Roman" w:hAnsi="Times New Roman"/>
          <w:sz w:val="20"/>
        </w:rPr>
        <w:t xml:space="preserve">” means any class or series of Partnership Interests established after April 1, 2021 by the General Partner, the terms of which class or series expressly provide that it ranks senior to the Series G Preferred Units as to distributions and amounts payable upon a dissolution or liquidation pursuant to </w:t>
      </w:r>
      <w:r>
        <w:rPr>
          <w:rFonts w:ascii="Times New Roman" w:hAnsi="Times New Roman"/>
          <w:sz w:val="20"/>
          <w:u w:val="single"/>
        </w:rPr>
        <w:t>Article XII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H Base Liquidation Preference</w:t>
      </w:r>
      <w:r>
        <w:rPr>
          <w:rFonts w:ascii="Times New Roman" w:hAnsi="Times New Roman"/>
          <w:sz w:val="20"/>
        </w:rPr>
        <w:t xml:space="preserve">” means a liquidation preference for each Series H Preferred Unit initially equal to $1,000.00 per Series H Preferred Unit. </w:t>
      </w:r>
    </w:p>
    <w:p>
      <w:pPr>
        <w:pStyle w:val="TextBody"/>
        <w:bidi w:val="0"/>
        <w:spacing w:before="240" w:after="0"/>
        <w:jc w:val="left"/>
        <w:rPr/>
      </w:pPr>
      <w:r>
        <w:rPr/>
        <w:t>“</w:t>
      </w:r>
      <w:r>
        <w:rPr>
          <w:rFonts w:ascii="Times New Roman" w:hAnsi="Times New Roman"/>
          <w:i/>
          <w:sz w:val="20"/>
        </w:rPr>
        <w:t>Series H Current Criteria</w:t>
      </w:r>
      <w:r>
        <w:rPr>
          <w:rFonts w:ascii="Times New Roman" w:hAnsi="Times New Roman"/>
          <w:sz w:val="20"/>
        </w:rPr>
        <w:t xml:space="preserve">” means the Equity Credit criteria of a Rating Agency for securities such as the Series H Preferred Units, as such criteria were in effect as of the Series H Original Issue Date. </w:t>
      </w:r>
    </w:p>
    <w:p>
      <w:pPr>
        <w:pStyle w:val="TextBody"/>
        <w:bidi w:val="0"/>
        <w:spacing w:before="240" w:after="0"/>
        <w:jc w:val="left"/>
        <w:rPr/>
      </w:pPr>
      <w:r>
        <w:rPr/>
        <w:t>“</w:t>
      </w:r>
      <w:r>
        <w:rPr>
          <w:rFonts w:ascii="Times New Roman" w:hAnsi="Times New Roman"/>
          <w:i/>
          <w:sz w:val="20"/>
        </w:rPr>
        <w:t>Series H Distribution Payment Date</w:t>
      </w:r>
      <w:r>
        <w:rPr>
          <w:rFonts w:ascii="Times New Roman" w:hAnsi="Times New Roman"/>
          <w:sz w:val="20"/>
        </w:rPr>
        <w:t xml:space="preserve">” means the 15th day of each May and November of each year (except that the Series H Distribution Payment Date for the initial Series H Distribution Period shall be November 15, 2021);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if any Series H Distribution Payment Date would otherwise occur on a day that is not a Business Day, such Series H Distribution Payment Date shall instead be on the immediately succeeding Business Day. </w:t>
      </w:r>
    </w:p>
    <w:p>
      <w:pPr>
        <w:pStyle w:val="TextBody"/>
        <w:bidi w:val="0"/>
        <w:spacing w:before="240" w:after="0"/>
        <w:jc w:val="left"/>
        <w:rPr/>
      </w:pPr>
      <w:r>
        <w:rPr/>
        <w:t>“</w:t>
      </w:r>
      <w:r>
        <w:rPr>
          <w:rFonts w:ascii="Times New Roman" w:hAnsi="Times New Roman"/>
          <w:i/>
          <w:sz w:val="20"/>
        </w:rPr>
        <w:t>Series H Distribution Period</w:t>
      </w:r>
      <w:r>
        <w:rPr>
          <w:rFonts w:ascii="Times New Roman" w:hAnsi="Times New Roman"/>
          <w:sz w:val="20"/>
        </w:rPr>
        <w:t xml:space="preserve">” means a period of time from and including the preceding Series H Distribution Payment Date (other than the initial Series H Distribution Period, which shall commence on and include the Series H Original Issue Date), to, but excluding, the next Series H Distribution Payment Date for such Series H Distribution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Series H Distribution Rate</w:t>
      </w:r>
      <w:r>
        <w:rPr>
          <w:rFonts w:ascii="Times New Roman" w:hAnsi="Times New Roman"/>
          <w:sz w:val="20"/>
        </w:rPr>
        <w:t xml:space="preserve">” means an initial distribution rate for the Series H Preferred Units from and including the Series H Original Issue Date to, but excluding, the Series H First Reset Date equal to 6.500% per annum of the $1,000.00 liquidation preference per Series H Preferred Unit (equal to $65.00 per Series H Preferred Unit per annum). On and after the Series H First Reset Date, the distribution rate on the Series H Preferred Units for each Series H Reset Period will equal for each Series H Preferred Unit a percentage of the $1,000.00 liquidation preference for such Series H Preferred Unit equal to the Series H Five-year U.S. Treasury Rate as of the most recent Series H Reset Distribution Determination Date plus a spread of 5.694% per annum. </w:t>
      </w:r>
    </w:p>
    <w:p>
      <w:pPr>
        <w:pStyle w:val="TextBody"/>
        <w:bidi w:val="0"/>
        <w:spacing w:before="240" w:after="0"/>
        <w:jc w:val="left"/>
        <w:rPr/>
      </w:pPr>
      <w:r>
        <w:rPr/>
        <w:t>“</w:t>
      </w:r>
      <w:r>
        <w:rPr>
          <w:rFonts w:ascii="Times New Roman" w:hAnsi="Times New Roman"/>
          <w:i/>
          <w:sz w:val="20"/>
        </w:rPr>
        <w:t>Series H Distribution Record Date</w:t>
      </w:r>
      <w:r>
        <w:rPr>
          <w:rFonts w:ascii="Times New Roman" w:hAnsi="Times New Roman"/>
          <w:sz w:val="20"/>
        </w:rPr>
        <w:t xml:space="preserve">” has the meaning given such term in </w:t>
      </w:r>
      <w:r>
        <w:rPr>
          <w:rFonts w:ascii="Times New Roman" w:hAnsi="Times New Roman"/>
          <w:sz w:val="20"/>
          <w:u w:val="single"/>
        </w:rPr>
        <w:t>Section 5.14(b)(ii)(B)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H Distributions</w:t>
      </w:r>
      <w:r>
        <w:rPr>
          <w:rFonts w:ascii="Times New Roman" w:hAnsi="Times New Roman"/>
          <w:sz w:val="20"/>
        </w:rPr>
        <w:t xml:space="preserve">” means distributions with respect to Series H Preferred Units pursuant to </w:t>
      </w:r>
      <w:r>
        <w:rPr>
          <w:rFonts w:ascii="Times New Roman" w:hAnsi="Times New Roman"/>
          <w:sz w:val="20"/>
          <w:u w:val="single"/>
        </w:rPr>
        <w:t>Section 5.14(b)(ii)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H First Reset Date</w:t>
      </w:r>
      <w:r>
        <w:rPr>
          <w:rFonts w:ascii="Times New Roman" w:hAnsi="Times New Roman"/>
          <w:sz w:val="20"/>
        </w:rPr>
        <w:t xml:space="preserve">” means November 15, 2026. </w:t>
      </w:r>
    </w:p>
    <w:p>
      <w:pPr>
        <w:pStyle w:val="TextBody"/>
        <w:bidi w:val="0"/>
        <w:spacing w:before="240" w:after="0"/>
        <w:jc w:val="left"/>
        <w:rPr/>
      </w:pPr>
      <w:r>
        <w:rPr/>
        <w:t>“</w:t>
      </w:r>
      <w:r>
        <w:rPr>
          <w:rFonts w:ascii="Times New Roman" w:hAnsi="Times New Roman"/>
          <w:i/>
          <w:sz w:val="20"/>
        </w:rPr>
        <w:t>Series H Five-year U.S. Treasury Rate</w:t>
      </w:r>
      <w:r>
        <w:rPr>
          <w:rFonts w:ascii="Times New Roman" w:hAnsi="Times New Roman"/>
          <w:sz w:val="20"/>
        </w:rPr>
        <w:t>” means, as of any Series H Reset Distribution Determination Date, the average of the yields on actively traded United States Treasury securities adjusted to constant maturity, for five-year maturities, for the most recent five business days appearing under the caption “</w:t>
      </w:r>
      <w:r>
        <w:rPr>
          <w:rFonts w:ascii="Times New Roman" w:hAnsi="Times New Roman"/>
          <w:i/>
          <w:sz w:val="20"/>
        </w:rPr>
        <w:t>Treasury Constant Maturities</w:t>
      </w:r>
      <w:r>
        <w:rPr>
          <w:rFonts w:ascii="Times New Roman" w:hAnsi="Times New Roman"/>
          <w:sz w:val="20"/>
        </w:rPr>
        <w:t xml:space="preserve">” in the most recent H.15. If the Series H Five-year U.S. Treasury Rate cannot be determined pursuant to the method described above, the Calculation Agent, after consulting such sources as it deems comparable to any of the foregoing calculations, or any such source as it deems reasonable from which to estimate the Series H Five-year U.S. Treasury Rate, will determine the Series H Five-year U.S. Treasury Rate in its sole discretion, </w:t>
      </w:r>
      <w:r>
        <w:rPr>
          <w:rFonts w:ascii="Times New Roman" w:hAnsi="Times New Roman"/>
          <w:sz w:val="20"/>
          <w:u w:val="single"/>
        </w:rPr>
        <w:t xml:space="preserve">provided </w:t>
      </w:r>
      <w:r>
        <w:rPr>
          <w:rFonts w:ascii="Times New Roman" w:hAnsi="Times New Roman"/>
          <w:sz w:val="20"/>
        </w:rPr>
        <w:t xml:space="preserve">that if the Calculation Agent determines there is an industry-accepted successor Series H Five-year U.S. Treasury Rate, then the Calculation Agent will use such successor rate. If the Calculation Agent has determined a substitute or successor base rate in accordance with the foregoing, the Calculation Agent in its sole discretion may determine the business day convention and the Series H Reset Distribution Determination Date to be used and any other relevant methodology for calculating such substitute or successor base rate, including any adjustment factor needed to make such substitute or successor base rate comparable to the Series H Five-year U.S. Treasury Rate, in a manner that is consistent with industry-accepted practices for such substitute or successor base rate. </w:t>
      </w:r>
    </w:p>
    <w:p>
      <w:pPr>
        <w:pStyle w:val="TextBody"/>
        <w:bidi w:val="0"/>
        <w:spacing w:before="240" w:after="0"/>
        <w:jc w:val="left"/>
        <w:rPr/>
      </w:pPr>
      <w:r>
        <w:rPr/>
        <w:t>“</w:t>
      </w:r>
      <w:r>
        <w:rPr>
          <w:rFonts w:ascii="Times New Roman" w:hAnsi="Times New Roman"/>
          <w:i/>
          <w:sz w:val="20"/>
        </w:rPr>
        <w:t>Series H Holder</w:t>
      </w:r>
      <w:r>
        <w:rPr>
          <w:rFonts w:ascii="Times New Roman" w:hAnsi="Times New Roman"/>
          <w:sz w:val="20"/>
        </w:rPr>
        <w:t xml:space="preserve">” means a Record Holder of Series H Preferred Units. </w:t>
      </w:r>
    </w:p>
    <w:p>
      <w:pPr>
        <w:pStyle w:val="TextBody"/>
        <w:bidi w:val="0"/>
        <w:spacing w:before="240" w:after="0"/>
        <w:jc w:val="left"/>
        <w:rPr/>
      </w:pPr>
      <w:r>
        <w:rPr/>
        <w:t>“</w:t>
      </w:r>
      <w:r>
        <w:rPr>
          <w:rFonts w:ascii="Times New Roman" w:hAnsi="Times New Roman"/>
          <w:i/>
          <w:sz w:val="20"/>
        </w:rPr>
        <w:t>Series H Junior Securities</w:t>
      </w:r>
      <w:r>
        <w:rPr>
          <w:rFonts w:ascii="Times New Roman" w:hAnsi="Times New Roman"/>
          <w:sz w:val="20"/>
        </w:rPr>
        <w:t xml:space="preserve">” means any class or series of Partnership Securities that, with respect to distributions on such Partnership Securities and distributions upon liquidation of the Partnership, ranks junior to the Series H Preferred Units, including but not limited to Common Units, Class A Units, Class B Units and the General Partner Interest, but excluding any Series H Parity Securities and Series H Senior Securities. </w:t>
      </w:r>
    </w:p>
    <w:p>
      <w:pPr>
        <w:pStyle w:val="TextBody"/>
        <w:bidi w:val="0"/>
        <w:spacing w:before="240" w:after="0"/>
        <w:jc w:val="left"/>
        <w:rPr/>
      </w:pPr>
      <w:r>
        <w:rPr/>
        <w:t>“</w:t>
      </w:r>
      <w:r>
        <w:rPr>
          <w:rFonts w:ascii="Times New Roman" w:hAnsi="Times New Roman"/>
          <w:i/>
          <w:sz w:val="20"/>
        </w:rPr>
        <w:t>Series H Liquidation Preference</w:t>
      </w:r>
      <w:r>
        <w:rPr>
          <w:rFonts w:ascii="Times New Roman" w:hAnsi="Times New Roman"/>
          <w:sz w:val="20"/>
        </w:rPr>
        <w:t xml:space="preserve">” means a liquidation preference for each Series H Preferred Unit initially equal to $1,000.00 per Series H Preferred Unit (subject to adjustment for any splits, combinations or similar adjustments to the Series H Preferred Units), which liquidation preference shall be subject to increase by the per Series H Preferred Unit amount of any accumulated and unpaid Series H Distributions (whether or not such distributions shall have been declared).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Series H Original Issue Date</w:t>
      </w:r>
      <w:r>
        <w:rPr>
          <w:rFonts w:ascii="Times New Roman" w:hAnsi="Times New Roman"/>
          <w:sz w:val="20"/>
        </w:rPr>
        <w:t xml:space="preserve">” means June 15, 2021. </w:t>
      </w:r>
    </w:p>
    <w:p>
      <w:pPr>
        <w:pStyle w:val="TextBody"/>
        <w:bidi w:val="0"/>
        <w:spacing w:before="240" w:after="0"/>
        <w:jc w:val="left"/>
        <w:rPr/>
      </w:pPr>
      <w:r>
        <w:rPr/>
        <w:t>“</w:t>
      </w:r>
      <w:r>
        <w:rPr>
          <w:rFonts w:ascii="Times New Roman" w:hAnsi="Times New Roman"/>
          <w:i/>
          <w:sz w:val="20"/>
        </w:rPr>
        <w:t>Series H Parity Securities</w:t>
      </w:r>
      <w:r>
        <w:rPr>
          <w:rFonts w:ascii="Times New Roman" w:hAnsi="Times New Roman"/>
          <w:sz w:val="20"/>
        </w:rPr>
        <w:t xml:space="preserve">” means the Series B Preferred Units, Series G Preferred Units and any other class or series of Partnership Interests established after the Series H Original Issue Date by the General Partner, the terms of which class or series expressly provide that it ranks on parity with the Series H Preferred Units as to distributions and amounts payable upon a dissolution or liquidation pursuant to </w:t>
      </w:r>
      <w:r>
        <w:rPr>
          <w:rFonts w:ascii="Times New Roman" w:hAnsi="Times New Roman"/>
          <w:sz w:val="20"/>
          <w:u w:val="single"/>
        </w:rPr>
        <w:t>Article XII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H Preferred Units</w:t>
      </w:r>
      <w:r>
        <w:rPr>
          <w:rFonts w:ascii="Times New Roman" w:hAnsi="Times New Roman"/>
          <w:sz w:val="20"/>
        </w:rPr>
        <w:t xml:space="preserve">” has the meaning given such term in </w:t>
      </w:r>
      <w:r>
        <w:rPr>
          <w:rFonts w:ascii="Times New Roman" w:hAnsi="Times New Roman"/>
          <w:sz w:val="20"/>
          <w:u w:val="single"/>
        </w:rPr>
        <w:t>Section 5.14(a)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H Rating Event</w:t>
      </w:r>
      <w:r>
        <w:rPr>
          <w:rFonts w:ascii="Times New Roman" w:hAnsi="Times New Roman"/>
          <w:sz w:val="20"/>
        </w:rPr>
        <w:t xml:space="preserve">” means a change by any Rating Agency to the Series H Current Criteria, which change results in (a) any shortening of the length of time for which the Series H Current Criteria are scheduled to be in effect with respect to the Series H Preferred Units or (b) a lower Equity Credit being given to the Series H Preferred Units than the Equity Credit that would have been assigned to the Series H Preferred Units by such Rating Agency pursuant to its Series H Current Criteria. </w:t>
      </w:r>
    </w:p>
    <w:p>
      <w:pPr>
        <w:pStyle w:val="TextBody"/>
        <w:bidi w:val="0"/>
        <w:spacing w:before="240" w:after="0"/>
        <w:jc w:val="left"/>
        <w:rPr/>
      </w:pPr>
      <w:r>
        <w:rPr/>
        <w:t>“</w:t>
      </w:r>
      <w:r>
        <w:rPr>
          <w:rFonts w:ascii="Times New Roman" w:hAnsi="Times New Roman"/>
          <w:i/>
          <w:sz w:val="20"/>
        </w:rPr>
        <w:t>Series H Redemption Date</w:t>
      </w:r>
      <w:r>
        <w:rPr>
          <w:rFonts w:ascii="Times New Roman" w:hAnsi="Times New Roman"/>
          <w:sz w:val="20"/>
        </w:rPr>
        <w:t xml:space="preserve">” has the meaning given such term in </w:t>
      </w:r>
      <w:r>
        <w:rPr>
          <w:rFonts w:ascii="Times New Roman" w:hAnsi="Times New Roman"/>
          <w:sz w:val="20"/>
          <w:u w:val="single"/>
        </w:rPr>
        <w:t>Section 5.14(b)(iv)(A)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H Redemption Notice</w:t>
      </w:r>
      <w:r>
        <w:rPr>
          <w:rFonts w:ascii="Times New Roman" w:hAnsi="Times New Roman"/>
          <w:sz w:val="20"/>
        </w:rPr>
        <w:t xml:space="preserve">” has the meaning given such term in </w:t>
      </w:r>
      <w:r>
        <w:rPr>
          <w:rFonts w:ascii="Times New Roman" w:hAnsi="Times New Roman"/>
          <w:sz w:val="20"/>
          <w:u w:val="single"/>
        </w:rPr>
        <w:t>Section 5.14(b)(iv)(B)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H Redemption Period</w:t>
      </w:r>
      <w:r>
        <w:rPr>
          <w:rFonts w:ascii="Times New Roman" w:hAnsi="Times New Roman"/>
          <w:sz w:val="20"/>
        </w:rPr>
        <w:t xml:space="preserve">” means any period from and including the August 15 immediately preceding a Series H Reset Date through and including such Series H Reset Date. </w:t>
      </w:r>
    </w:p>
    <w:p>
      <w:pPr>
        <w:pStyle w:val="TextBody"/>
        <w:bidi w:val="0"/>
        <w:spacing w:before="240" w:after="0"/>
        <w:jc w:val="left"/>
        <w:rPr/>
      </w:pPr>
      <w:r>
        <w:rPr/>
        <w:t>“</w:t>
      </w:r>
      <w:r>
        <w:rPr>
          <w:rFonts w:ascii="Times New Roman" w:hAnsi="Times New Roman"/>
          <w:i/>
          <w:sz w:val="20"/>
        </w:rPr>
        <w:t>Series H Redemption Price</w:t>
      </w:r>
      <w:r>
        <w:rPr>
          <w:rFonts w:ascii="Times New Roman" w:hAnsi="Times New Roman"/>
          <w:sz w:val="20"/>
        </w:rPr>
        <w:t xml:space="preserve">” has the meaning given such term in </w:t>
      </w:r>
      <w:r>
        <w:rPr>
          <w:rFonts w:ascii="Times New Roman" w:hAnsi="Times New Roman"/>
          <w:sz w:val="20"/>
          <w:u w:val="single"/>
        </w:rPr>
        <w:t>Section 5.14(b)(iv)(A)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H Reset Date</w:t>
      </w:r>
      <w:r>
        <w:rPr>
          <w:rFonts w:ascii="Times New Roman" w:hAnsi="Times New Roman"/>
          <w:sz w:val="20"/>
        </w:rPr>
        <w:t xml:space="preserve">” means the Series H First Reset Date and each date falling on the fifth anniversary of the preceding Series H Reset Date. </w:t>
      </w:r>
    </w:p>
    <w:p>
      <w:pPr>
        <w:pStyle w:val="TextBody"/>
        <w:bidi w:val="0"/>
        <w:spacing w:before="240" w:after="0"/>
        <w:jc w:val="left"/>
        <w:rPr/>
      </w:pPr>
      <w:r>
        <w:rPr/>
        <w:t>“</w:t>
      </w:r>
      <w:r>
        <w:rPr>
          <w:rFonts w:ascii="Times New Roman" w:hAnsi="Times New Roman"/>
          <w:i/>
          <w:sz w:val="20"/>
        </w:rPr>
        <w:t>Series H Reset Distribution Determination Date</w:t>
      </w:r>
      <w:r>
        <w:rPr>
          <w:rFonts w:ascii="Times New Roman" w:hAnsi="Times New Roman"/>
          <w:sz w:val="20"/>
        </w:rPr>
        <w:t xml:space="preserve">” means, in respect of any Series H Reset Period, the day falling two Business Days prior to the beginning of such Series H Reset Period. </w:t>
      </w:r>
    </w:p>
    <w:p>
      <w:pPr>
        <w:pStyle w:val="TextBody"/>
        <w:bidi w:val="0"/>
        <w:spacing w:before="240" w:after="0"/>
        <w:jc w:val="left"/>
        <w:rPr/>
      </w:pPr>
      <w:r>
        <w:rPr/>
        <w:t>“</w:t>
      </w:r>
      <w:r>
        <w:rPr>
          <w:rFonts w:ascii="Times New Roman" w:hAnsi="Times New Roman"/>
          <w:i/>
          <w:sz w:val="20"/>
        </w:rPr>
        <w:t>Series H Reset Period</w:t>
      </w:r>
      <w:r>
        <w:rPr>
          <w:rFonts w:ascii="Times New Roman" w:hAnsi="Times New Roman"/>
          <w:sz w:val="20"/>
        </w:rPr>
        <w:t xml:space="preserve">” means the period from and including the Series H First Reset Date to, but excluding, the next following Series H Reset Date and thereafter each period from and including each Series H Reset Date to, but excluding, the next following Series H Reset Date, until such time as all of the Outstanding Series H Preferred Units are redeemed in accordance with </w:t>
      </w:r>
      <w:r>
        <w:rPr>
          <w:rFonts w:ascii="Times New Roman" w:hAnsi="Times New Roman"/>
          <w:sz w:val="20"/>
          <w:u w:val="single"/>
        </w:rPr>
        <w:t>Section 5.14(b)(iv)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H Senior Securities</w:t>
      </w:r>
      <w:r>
        <w:rPr>
          <w:rFonts w:ascii="Times New Roman" w:hAnsi="Times New Roman"/>
          <w:sz w:val="20"/>
        </w:rPr>
        <w:t xml:space="preserve">” means any class or series of Partnership Interests established after the Series H Original Issue Date by the General Partner, the terms of which class or series expressly provide that it ranks senior to the Series H Preferred Units as to distributions and amounts payable upon a dissolution or liquidation pursuant to </w:t>
      </w:r>
      <w:r>
        <w:rPr>
          <w:rFonts w:ascii="Times New Roman" w:hAnsi="Times New Roman"/>
          <w:sz w:val="20"/>
          <w:u w:val="single"/>
        </w:rPr>
        <w:t>Article XII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I Base Liquidation Preference</w:t>
      </w:r>
      <w:r>
        <w:rPr>
          <w:rFonts w:ascii="Times New Roman" w:hAnsi="Times New Roman"/>
          <w:sz w:val="20"/>
        </w:rPr>
        <w:t xml:space="preserve">” means a liquidation preference for each Series I Preferred Unit initially equal to $9.1273 per Series I Preferred Unit.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Series I Cash COC Conversion Premium</w:t>
      </w:r>
      <w:r>
        <w:rPr>
          <w:rFonts w:ascii="Times New Roman" w:hAnsi="Times New Roman"/>
          <w:sz w:val="20"/>
        </w:rPr>
        <w:t xml:space="preserve">” means 101%. </w:t>
      </w:r>
    </w:p>
    <w:p>
      <w:pPr>
        <w:pStyle w:val="TextBody"/>
        <w:bidi w:val="0"/>
        <w:spacing w:before="240" w:after="0"/>
        <w:jc w:val="left"/>
        <w:rPr/>
      </w:pPr>
      <w:r>
        <w:rPr/>
        <w:t>“</w:t>
      </w:r>
      <w:r>
        <w:rPr>
          <w:rFonts w:ascii="Times New Roman" w:hAnsi="Times New Roman"/>
          <w:i/>
          <w:sz w:val="20"/>
        </w:rPr>
        <w:t>Series I Cash COC Event</w:t>
      </w:r>
      <w:r>
        <w:rPr>
          <w:rFonts w:ascii="Times New Roman" w:hAnsi="Times New Roman"/>
          <w:sz w:val="20"/>
        </w:rPr>
        <w:t xml:space="preserve">” means any transaction pursuant to which (i) the General Partner or any Affiliate of the General Partner exercises its rights to purchase all of the Outstanding Common Units pursuant to </w:t>
      </w:r>
      <w:r>
        <w:rPr>
          <w:rFonts w:ascii="Times New Roman" w:hAnsi="Times New Roman"/>
          <w:sz w:val="20"/>
          <w:u w:val="single"/>
        </w:rPr>
        <w:t>Section 5.15(m)</w:t>
      </w:r>
      <w:r>
        <w:rPr>
          <w:rFonts w:ascii="Times New Roman" w:hAnsi="Times New Roman"/>
          <w:sz w:val="20"/>
        </w:rPr>
        <w:t xml:space="preserve"> of this Agreement or (ii) any Person or group of Persons acquires in one or more series of related transactions all of the Outstanding Common Units, in each case where the consideration received by the holders of Common Units is comprised of at least 90% cash. </w:t>
      </w:r>
    </w:p>
    <w:p>
      <w:pPr>
        <w:pStyle w:val="TextBody"/>
        <w:bidi w:val="0"/>
        <w:spacing w:before="240" w:after="0"/>
        <w:jc w:val="left"/>
        <w:rPr/>
      </w:pPr>
      <w:r>
        <w:rPr/>
        <w:t>“</w:t>
      </w:r>
      <w:r>
        <w:rPr>
          <w:rFonts w:ascii="Times New Roman" w:hAnsi="Times New Roman"/>
          <w:i/>
          <w:sz w:val="20"/>
        </w:rPr>
        <w:t>Series I Change of Control</w:t>
      </w:r>
      <w:r>
        <w:rPr>
          <w:rFonts w:ascii="Times New Roman" w:hAnsi="Times New Roman"/>
          <w:sz w:val="20"/>
        </w:rPr>
        <w:t xml:space="preserve">” means, with respect to the Series I Preferred Units only, the occurrence of any of the following events: (i) the Common Units are no longer listed or admitted for trading on a National Securities Exchange; (ii) a Series I Cash COC Event; (iii) any direct or indirect sale, lease, transfer, conveyance or other disposition, in one or more series of related transactions, of all or substantially all of the properties or assets of the Partnership to any Person; or (iv) any dissolution or liquidation of the Partnership (other than in connection with a bankruptcy proceeding or a statutory winding up). </w:t>
      </w:r>
    </w:p>
    <w:p>
      <w:pPr>
        <w:pStyle w:val="TextBody"/>
        <w:bidi w:val="0"/>
        <w:spacing w:before="240" w:after="0"/>
        <w:jc w:val="left"/>
        <w:rPr/>
      </w:pPr>
      <w:r>
        <w:rPr/>
        <w:t>“</w:t>
      </w:r>
      <w:r>
        <w:rPr>
          <w:rFonts w:ascii="Times New Roman" w:hAnsi="Times New Roman"/>
          <w:i/>
          <w:sz w:val="20"/>
        </w:rPr>
        <w:t>Series I COC Election</w:t>
      </w:r>
      <w:r>
        <w:rPr>
          <w:rFonts w:ascii="Times New Roman" w:hAnsi="Times New Roman"/>
          <w:sz w:val="20"/>
        </w:rPr>
        <w:t xml:space="preserve">” has the meaning set forth in </w:t>
      </w:r>
      <w:r>
        <w:rPr>
          <w:rFonts w:ascii="Times New Roman" w:hAnsi="Times New Roman"/>
          <w:sz w:val="20"/>
          <w:u w:val="single"/>
        </w:rPr>
        <w:t>Section 5.15(b)(i)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I Conversion Date</w:t>
      </w:r>
      <w:r>
        <w:rPr>
          <w:rFonts w:ascii="Times New Roman" w:hAnsi="Times New Roman"/>
          <w:sz w:val="20"/>
        </w:rPr>
        <w:t xml:space="preserve">” means, with respect to each Series I Preferred Unit, the date on which the Partnership has completed the conversion of such Series I Preferred Unit pursuant to </w:t>
      </w:r>
      <w:r>
        <w:rPr>
          <w:rFonts w:ascii="Times New Roman" w:hAnsi="Times New Roman"/>
          <w:sz w:val="20"/>
          <w:u w:val="single"/>
        </w:rPr>
        <w:t>Section 5.15(b)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I Conversion Ratio</w:t>
      </w:r>
      <w:r>
        <w:rPr>
          <w:rFonts w:ascii="Times New Roman" w:hAnsi="Times New Roman"/>
          <w:sz w:val="20"/>
        </w:rPr>
        <w:t xml:space="preserve">” means 2.07 Common Units for 10 Series I Preferred Units, as adjusted from time to time pursuant to </w:t>
      </w:r>
      <w:r>
        <w:rPr>
          <w:rFonts w:ascii="Times New Roman" w:hAnsi="Times New Roman"/>
          <w:sz w:val="20"/>
          <w:u w:val="single"/>
        </w:rPr>
        <w:t>Sections 5.15(b)(iv)</w:t>
      </w:r>
      <w:r>
        <w:rPr>
          <w:rFonts w:ascii="Times New Roman" w:hAnsi="Times New Roman"/>
          <w:sz w:val="20"/>
        </w:rPr>
        <w:t xml:space="preserve"> and </w:t>
      </w:r>
      <w:r>
        <w:rPr>
          <w:rFonts w:ascii="Times New Roman" w:hAnsi="Times New Roman"/>
          <w:sz w:val="20"/>
          <w:u w:val="single"/>
        </w:rPr>
        <w:t>(xi)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I Current Market Price</w:t>
      </w:r>
      <w:r>
        <w:rPr>
          <w:rFonts w:ascii="Times New Roman" w:hAnsi="Times New Roman"/>
          <w:sz w:val="20"/>
        </w:rPr>
        <w:t xml:space="preserve">” has the meaning set forth in </w:t>
      </w:r>
      <w:r>
        <w:rPr>
          <w:rFonts w:ascii="Times New Roman" w:hAnsi="Times New Roman"/>
          <w:sz w:val="20"/>
          <w:u w:val="single"/>
        </w:rPr>
        <w:t>Section 5.15(m)(i)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I Deficiency Rate</w:t>
      </w:r>
      <w:r>
        <w:rPr>
          <w:rFonts w:ascii="Times New Roman" w:hAnsi="Times New Roman"/>
          <w:sz w:val="20"/>
        </w:rPr>
        <w:t xml:space="preserve">” has the meaning ascribed to such term in </w:t>
      </w:r>
      <w:r>
        <w:rPr>
          <w:rFonts w:ascii="Times New Roman" w:hAnsi="Times New Roman"/>
          <w:sz w:val="20"/>
          <w:u w:val="single"/>
        </w:rPr>
        <w:t>Section 5.15(c)(i)(B)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I Distribution Payment Date</w:t>
      </w:r>
      <w:r>
        <w:rPr>
          <w:rFonts w:ascii="Times New Roman" w:hAnsi="Times New Roman"/>
          <w:sz w:val="20"/>
        </w:rPr>
        <w:t xml:space="preserve">” means the earlier of: (A) the date that distributions are made on the Common Units for such Quarter pursuant to </w:t>
      </w:r>
      <w:r>
        <w:rPr>
          <w:rFonts w:ascii="Times New Roman" w:hAnsi="Times New Roman"/>
          <w:sz w:val="20"/>
          <w:u w:val="single"/>
        </w:rPr>
        <w:t>Section 6.3</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the date that is forty-five (45) days after the end of such Quarter. </w:t>
      </w:r>
    </w:p>
    <w:p>
      <w:pPr>
        <w:pStyle w:val="TextBody"/>
        <w:bidi w:val="0"/>
        <w:spacing w:before="240" w:after="0"/>
        <w:jc w:val="left"/>
        <w:rPr/>
      </w:pPr>
      <w:r>
        <w:rPr/>
        <w:t>“</w:t>
      </w:r>
      <w:r>
        <w:rPr>
          <w:rFonts w:ascii="Times New Roman" w:hAnsi="Times New Roman"/>
          <w:i/>
          <w:sz w:val="20"/>
        </w:rPr>
        <w:t>Series I Distribution Record Date</w:t>
      </w:r>
      <w:r>
        <w:rPr>
          <w:rFonts w:ascii="Times New Roman" w:hAnsi="Times New Roman"/>
          <w:sz w:val="20"/>
        </w:rPr>
        <w:t xml:space="preserve">” has the meaning given such term in </w:t>
      </w:r>
      <w:r>
        <w:rPr>
          <w:rFonts w:ascii="Times New Roman" w:hAnsi="Times New Roman"/>
          <w:sz w:val="20"/>
          <w:u w:val="single"/>
        </w:rPr>
        <w:t>Section 5.15(c)(i)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I Distributions</w:t>
      </w:r>
      <w:r>
        <w:rPr>
          <w:rFonts w:ascii="Times New Roman" w:hAnsi="Times New Roman"/>
          <w:sz w:val="20"/>
        </w:rPr>
        <w:t>” or “</w:t>
      </w:r>
      <w:r>
        <w:rPr>
          <w:rFonts w:ascii="Times New Roman" w:hAnsi="Times New Roman"/>
          <w:i/>
          <w:sz w:val="20"/>
        </w:rPr>
        <w:t>Series I Distribution</w:t>
      </w:r>
      <w:r>
        <w:rPr>
          <w:rFonts w:ascii="Times New Roman" w:hAnsi="Times New Roman"/>
          <w:sz w:val="20"/>
        </w:rPr>
        <w:t xml:space="preserve">” means distributions with respect to Series I Preferred Units pursuant to </w:t>
      </w:r>
      <w:r>
        <w:rPr>
          <w:rFonts w:ascii="Times New Roman" w:hAnsi="Times New Roman"/>
          <w:sz w:val="20"/>
          <w:u w:val="single"/>
        </w:rPr>
        <w:t>Section 5.15(c)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I Holder</w:t>
      </w:r>
      <w:r>
        <w:rPr>
          <w:rFonts w:ascii="Times New Roman" w:hAnsi="Times New Roman"/>
          <w:sz w:val="20"/>
        </w:rPr>
        <w:t xml:space="preserve">” means a Record Holder of Series I Preferred Units. </w:t>
      </w:r>
    </w:p>
    <w:p>
      <w:pPr>
        <w:pStyle w:val="TextBody"/>
        <w:bidi w:val="0"/>
        <w:spacing w:before="240" w:after="0"/>
        <w:jc w:val="left"/>
        <w:rPr/>
      </w:pPr>
      <w:r>
        <w:rPr/>
        <w:t>“</w:t>
      </w:r>
      <w:r>
        <w:rPr>
          <w:rFonts w:ascii="Times New Roman" w:hAnsi="Times New Roman"/>
          <w:i/>
          <w:sz w:val="20"/>
        </w:rPr>
        <w:t>Series I Junior Securities</w:t>
      </w:r>
      <w:r>
        <w:rPr>
          <w:rFonts w:ascii="Times New Roman" w:hAnsi="Times New Roman"/>
          <w:sz w:val="20"/>
        </w:rPr>
        <w:t xml:space="preserve">” means any class or series of Partnership Securities that, with respect to distributions on such Partnership Securities and distributions upon liquidation of the Partnership, ranks junior to the Series I Preferred Units, including but not limited to Common Units, Class A Units, Class B Units and the General Partner Interest, but excluding any Series I Parity Securities and Series I Senior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Series I Liquidation Preference</w:t>
      </w:r>
      <w:r>
        <w:rPr>
          <w:rFonts w:ascii="Times New Roman" w:hAnsi="Times New Roman"/>
          <w:sz w:val="20"/>
        </w:rPr>
        <w:t xml:space="preserve">” means, with respect to each Series I Preferred Unit, the sum of the Series I Preferred Unit Price plus all accrued and unpaid distributions on such Series I Preferred Unit to the Liquidation Date. </w:t>
      </w:r>
    </w:p>
    <w:p>
      <w:pPr>
        <w:pStyle w:val="TextBody"/>
        <w:bidi w:val="0"/>
        <w:spacing w:before="240" w:after="0"/>
        <w:jc w:val="left"/>
        <w:rPr/>
      </w:pPr>
      <w:r>
        <w:rPr/>
        <w:t>“</w:t>
      </w:r>
      <w:r>
        <w:rPr>
          <w:rFonts w:ascii="Times New Roman" w:hAnsi="Times New Roman"/>
          <w:i/>
          <w:sz w:val="20"/>
        </w:rPr>
        <w:t>Series I Original Issue Date</w:t>
      </w:r>
      <w:r>
        <w:rPr>
          <w:rFonts w:ascii="Times New Roman" w:hAnsi="Times New Roman"/>
          <w:sz w:val="20"/>
        </w:rPr>
        <w:t xml:space="preserve">” means November 3, 2023. </w:t>
      </w:r>
    </w:p>
    <w:p>
      <w:pPr>
        <w:pStyle w:val="TextBody"/>
        <w:bidi w:val="0"/>
        <w:spacing w:before="240" w:after="0"/>
        <w:jc w:val="left"/>
        <w:rPr/>
      </w:pPr>
      <w:r>
        <w:rPr/>
        <w:t>“</w:t>
      </w:r>
      <w:r>
        <w:rPr>
          <w:rFonts w:ascii="Times New Roman" w:hAnsi="Times New Roman"/>
          <w:i/>
          <w:sz w:val="20"/>
        </w:rPr>
        <w:t>Series I Parity Securities</w:t>
      </w:r>
      <w:r>
        <w:rPr>
          <w:rFonts w:ascii="Times New Roman" w:hAnsi="Times New Roman"/>
          <w:sz w:val="20"/>
        </w:rPr>
        <w:t xml:space="preserve">” means the Series B Preferred Units, Series G Preferred Units, Series H Preferred Units and any other class or series of Partnership Interests established after the Series I Original Issue Date by the General Partner, the terms of which class or series expressly provide that it ranks on parity with the Series I Preferred Units as to distributions and amounts payable upon a dissolution or liquidation pursuant to </w:t>
      </w:r>
      <w:r>
        <w:rPr>
          <w:rFonts w:ascii="Times New Roman" w:hAnsi="Times New Roman"/>
          <w:sz w:val="20"/>
          <w:u w:val="single"/>
        </w:rPr>
        <w:t>Article XII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I PIK Unit</w:t>
      </w:r>
      <w:r>
        <w:rPr>
          <w:rFonts w:ascii="Times New Roman" w:hAnsi="Times New Roman"/>
          <w:sz w:val="20"/>
        </w:rPr>
        <w:t xml:space="preserve">” means a Series I Preferred Unit issued pursuant to a Series I Distribution in accordance with </w:t>
      </w:r>
      <w:r>
        <w:rPr>
          <w:rFonts w:ascii="Times New Roman" w:hAnsi="Times New Roman"/>
          <w:sz w:val="20"/>
          <w:u w:val="single"/>
        </w:rPr>
        <w:t>Section 5.15(c)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I Preferred Unit Distribution Rate</w:t>
      </w:r>
      <w:r>
        <w:rPr>
          <w:rFonts w:ascii="Times New Roman" w:hAnsi="Times New Roman"/>
          <w:sz w:val="20"/>
        </w:rPr>
        <w:t xml:space="preserve">” has the meaning set forth in </w:t>
      </w:r>
      <w:r>
        <w:rPr>
          <w:rFonts w:ascii="Times New Roman" w:hAnsi="Times New Roman"/>
          <w:sz w:val="20"/>
          <w:u w:val="single"/>
        </w:rPr>
        <w:t>Section 5.15(c)(i)(A)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I Preferred Unit Price</w:t>
      </w:r>
      <w:r>
        <w:rPr>
          <w:rFonts w:ascii="Times New Roman" w:hAnsi="Times New Roman"/>
          <w:sz w:val="20"/>
        </w:rPr>
        <w:t xml:space="preserve">” means $9.1273 per Series I Preferred Unit. </w:t>
      </w:r>
    </w:p>
    <w:p>
      <w:pPr>
        <w:pStyle w:val="TextBody"/>
        <w:bidi w:val="0"/>
        <w:spacing w:before="240" w:after="0"/>
        <w:jc w:val="left"/>
        <w:rPr/>
      </w:pPr>
      <w:r>
        <w:rPr/>
        <w:t>“</w:t>
      </w:r>
      <w:r>
        <w:rPr>
          <w:rFonts w:ascii="Times New Roman" w:hAnsi="Times New Roman"/>
          <w:i/>
          <w:sz w:val="20"/>
        </w:rPr>
        <w:t>Series I Preferred Units</w:t>
      </w:r>
      <w:r>
        <w:rPr>
          <w:rFonts w:ascii="Times New Roman" w:hAnsi="Times New Roman"/>
          <w:sz w:val="20"/>
        </w:rPr>
        <w:t xml:space="preserve">” has the meaning given such term in </w:t>
      </w:r>
      <w:r>
        <w:rPr>
          <w:rFonts w:ascii="Times New Roman" w:hAnsi="Times New Roman"/>
          <w:sz w:val="20"/>
          <w:u w:val="single"/>
        </w:rPr>
        <w:t>Section 5.15(a)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I Senior Securities</w:t>
      </w:r>
      <w:r>
        <w:rPr>
          <w:rFonts w:ascii="Times New Roman" w:hAnsi="Times New Roman"/>
          <w:sz w:val="20"/>
        </w:rPr>
        <w:t xml:space="preserve">” means any class or series of Partnership Interests established after the Series I Original Issue Date by the General Partner, the terms of which class or series expressly provide that it ranks senior to the Series I Preferred Units as to distributions and amounts payable upon a dissolution or liquidation pursuant to </w:t>
      </w:r>
      <w:r>
        <w:rPr>
          <w:rFonts w:ascii="Times New Roman" w:hAnsi="Times New Roman"/>
          <w:sz w:val="20"/>
          <w:u w:val="single"/>
        </w:rPr>
        <w:t>Article XII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I Specified Distribution Amount</w:t>
      </w:r>
      <w:r>
        <w:rPr>
          <w:rFonts w:ascii="Times New Roman" w:hAnsi="Times New Roman"/>
          <w:sz w:val="20"/>
        </w:rPr>
        <w:t xml:space="preserve">” has the meaning given such term in </w:t>
      </w:r>
      <w:r>
        <w:rPr>
          <w:rFonts w:ascii="Times New Roman" w:hAnsi="Times New Roman"/>
          <w:sz w:val="20"/>
          <w:u w:val="single"/>
        </w:rPr>
        <w:t>Section 5.15(c)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I Super-Majority Interest</w:t>
      </w:r>
      <w:r>
        <w:rPr>
          <w:rFonts w:ascii="Times New Roman" w:hAnsi="Times New Roman"/>
          <w:sz w:val="20"/>
        </w:rPr>
        <w:t xml:space="preserve">” means at least two-thirds (2/3) of the Outstanding Series I Preferred Units. </w:t>
      </w:r>
    </w:p>
    <w:p>
      <w:pPr>
        <w:pStyle w:val="TextBody"/>
        <w:bidi w:val="0"/>
        <w:spacing w:before="240" w:after="0"/>
        <w:jc w:val="left"/>
        <w:rPr/>
      </w:pPr>
      <w:r>
        <w:rPr/>
        <w:t>“</w:t>
      </w:r>
      <w:r>
        <w:rPr>
          <w:rFonts w:ascii="Times New Roman" w:hAnsi="Times New Roman"/>
          <w:i/>
          <w:sz w:val="20"/>
        </w:rPr>
        <w:t>Series I Voting Threshold</w:t>
      </w:r>
      <w:r>
        <w:rPr>
          <w:rFonts w:ascii="Times New Roman" w:hAnsi="Times New Roman"/>
          <w:sz w:val="20"/>
        </w:rPr>
        <w:t xml:space="preserve">” has the meaning ascribed to such term in </w:t>
      </w:r>
      <w:r>
        <w:rPr>
          <w:rFonts w:ascii="Times New Roman" w:hAnsi="Times New Roman"/>
          <w:sz w:val="20"/>
          <w:u w:val="single"/>
        </w:rPr>
        <w:t>Section 5.15(d)(i)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Share of Additional Book Basis Derivative Items</w:t>
      </w:r>
      <w:r>
        <w:rPr>
          <w:rFonts w:ascii="Times New Roman" w:hAnsi="Times New Roman"/>
          <w:sz w:val="20"/>
        </w:rPr>
        <w:t xml:space="preserve">” means, in connection with any allocation of Additional Book Basis Derivative Items for any taxable period, (i) with respect to the Unitholders holding Common Units, the amount that bears the same ratio to such Additional Book Basis Derivative Items as the Unitholders’ Remaining Net Positive Adjustments as of the end of such period bears to the Aggregate Remaining Net Positive Adjustments as of that time and (ii) with respect to the General Partner (as the holder of the General Partner Interest), the amount that bears the same ratio to such Additional Book Basis Derivative Items as the General Partner’s Remaining Net Positive Adjustments as of the end of such period bears to the Aggregate Remaining Net Positive Adjustment as of that time. </w:t>
      </w:r>
    </w:p>
    <w:p>
      <w:pPr>
        <w:pStyle w:val="TextBody"/>
        <w:bidi w:val="0"/>
        <w:spacing w:before="240" w:after="0"/>
        <w:jc w:val="left"/>
        <w:rPr/>
      </w:pPr>
      <w:r>
        <w:rPr/>
        <w:t>“</w:t>
      </w:r>
      <w:r>
        <w:rPr>
          <w:rFonts w:ascii="Times New Roman" w:hAnsi="Times New Roman"/>
          <w:i/>
          <w:sz w:val="20"/>
        </w:rPr>
        <w:t>Special Approval</w:t>
      </w:r>
      <w:r>
        <w:rPr>
          <w:rFonts w:ascii="Times New Roman" w:hAnsi="Times New Roman"/>
          <w:sz w:val="20"/>
        </w:rPr>
        <w:t xml:space="preserve">” means approval by the sole member or by a majority of the members of the Conflicts Committee,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Subsidiary</w:t>
      </w:r>
      <w:r>
        <w:rPr>
          <w:rFonts w:ascii="Times New Roman" w:hAnsi="Times New Roman"/>
          <w:sz w:val="20"/>
        </w:rPr>
        <w:t xml:space="preserve">”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or limited partner of such partnership, but only if more than 50% of the partnership interests of such partnership (considering all of the partnership interests of the partnership as a single class) is owned, directly or indirectly, at the date of determination, by such Person, by one or more Subsidiaries of such Person, or a combination thereof, or (c) any other Person (other than a corporation or a partnership)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 </w:t>
      </w:r>
    </w:p>
    <w:p>
      <w:pPr>
        <w:pStyle w:val="TextBody"/>
        <w:bidi w:val="0"/>
        <w:spacing w:before="240" w:after="0"/>
        <w:jc w:val="left"/>
        <w:rPr/>
      </w:pPr>
      <w:r>
        <w:rPr/>
        <w:t>“</w:t>
      </w:r>
      <w:r>
        <w:rPr>
          <w:rFonts w:ascii="Times New Roman" w:hAnsi="Times New Roman"/>
          <w:i/>
          <w:sz w:val="20"/>
        </w:rPr>
        <w:t>Substantially Equivalent Security</w:t>
      </w:r>
      <w:r>
        <w:rPr>
          <w:rFonts w:ascii="Times New Roman" w:hAnsi="Times New Roman"/>
          <w:sz w:val="20"/>
        </w:rPr>
        <w:t xml:space="preserve">” has the meaning set forth in </w:t>
      </w:r>
      <w:r>
        <w:rPr>
          <w:rFonts w:ascii="Times New Roman" w:hAnsi="Times New Roman"/>
          <w:sz w:val="20"/>
          <w:u w:val="single"/>
        </w:rPr>
        <w:t>Section 5.15(e)(ii)(B)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Substituted Limited Partner</w:t>
      </w:r>
      <w:r>
        <w:rPr>
          <w:rFonts w:ascii="Times New Roman" w:hAnsi="Times New Roman"/>
          <w:sz w:val="20"/>
        </w:rPr>
        <w:t xml:space="preserve">” means a Person who is admitted as a Limited Partner to the Partnership pursuant to </w:t>
      </w:r>
      <w:r>
        <w:rPr>
          <w:rFonts w:ascii="Times New Roman" w:hAnsi="Times New Roman"/>
          <w:sz w:val="20"/>
          <w:u w:val="single"/>
        </w:rPr>
        <w:t>Section 10.1</w:t>
      </w:r>
      <w:r>
        <w:rPr>
          <w:rFonts w:ascii="Times New Roman" w:hAnsi="Times New Roman"/>
          <w:sz w:val="20"/>
        </w:rPr>
        <w:t xml:space="preserve"> in place of and with all the rights of a Limited Partner and who is shown as a Limited Partner on the books and records of the Partnership. </w:t>
      </w:r>
    </w:p>
    <w:p>
      <w:pPr>
        <w:pStyle w:val="TextBody"/>
        <w:bidi w:val="0"/>
        <w:spacing w:before="240" w:after="0"/>
        <w:jc w:val="left"/>
        <w:rPr/>
      </w:pPr>
      <w:r>
        <w:rPr/>
        <w:t>“</w:t>
      </w:r>
      <w:r>
        <w:rPr>
          <w:rFonts w:ascii="Times New Roman" w:hAnsi="Times New Roman"/>
          <w:i/>
          <w:sz w:val="20"/>
        </w:rPr>
        <w:t>Surviving Business Entity</w:t>
      </w:r>
      <w:r>
        <w:rPr>
          <w:rFonts w:ascii="Times New Roman" w:hAnsi="Times New Roman"/>
          <w:sz w:val="20"/>
        </w:rPr>
        <w:t xml:space="preserve">” has the meaning assigned to such term in </w:t>
      </w:r>
      <w:r>
        <w:rPr>
          <w:rFonts w:ascii="Times New Roman" w:hAnsi="Times New Roman"/>
          <w:sz w:val="20"/>
          <w:u w:val="single"/>
        </w:rPr>
        <w:t>Section 14.2(b)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Taxation Certification</w:t>
      </w:r>
      <w:r>
        <w:rPr>
          <w:rFonts w:ascii="Times New Roman" w:hAnsi="Times New Roman"/>
          <w:sz w:val="20"/>
        </w:rPr>
        <w:t xml:space="preserve">” means a properly completed certificate in such form or forms as may be specified by the General Partner by which a Limited Partner certifies that he (and if he is a nominee holding for the account of another Person, that to the best of his knowledge such other Person) is an Eligible Holder. A certification in the form specified in </w:t>
      </w:r>
      <w:r>
        <w:rPr>
          <w:rFonts w:ascii="Times New Roman" w:hAnsi="Times New Roman"/>
          <w:sz w:val="20"/>
          <w:u w:val="single"/>
        </w:rPr>
        <w:t>Annex A</w:t>
      </w:r>
      <w:r>
        <w:rPr>
          <w:rFonts w:ascii="Times New Roman" w:hAnsi="Times New Roman"/>
          <w:sz w:val="20"/>
        </w:rPr>
        <w:t xml:space="preserve"> to the Transfer Application shall be considered a Taxation Certification unless the General Partner amends the form thereof pursuant to </w:t>
      </w:r>
      <w:r>
        <w:rPr>
          <w:rFonts w:ascii="Times New Roman" w:hAnsi="Times New Roman"/>
          <w:sz w:val="20"/>
          <w:u w:val="single"/>
        </w:rPr>
        <w:t>Section 13.1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i/>
          <w:sz w:val="20"/>
        </w:rPr>
        <w:t>TBOC</w:t>
      </w:r>
      <w:r>
        <w:rPr>
          <w:rFonts w:ascii="Times New Roman" w:hAnsi="Times New Roman"/>
          <w:sz w:val="20"/>
        </w:rPr>
        <w:t xml:space="preserve">” means the provisions of the Texas Business Organizations Code, as amended, supplemented or restated from time to time, and any successor to such statute. </w:t>
      </w:r>
    </w:p>
    <w:p>
      <w:pPr>
        <w:pStyle w:val="TextBody"/>
        <w:bidi w:val="0"/>
        <w:spacing w:before="240" w:after="0"/>
        <w:jc w:val="left"/>
        <w:rPr/>
      </w:pPr>
      <w:r>
        <w:rPr/>
        <w:t>“</w:t>
      </w:r>
      <w:r>
        <w:rPr>
          <w:rFonts w:ascii="Times New Roman" w:hAnsi="Times New Roman"/>
          <w:i/>
          <w:sz w:val="20"/>
        </w:rPr>
        <w:t>Texas Governing Instruments</w:t>
      </w:r>
      <w:r>
        <w:rPr>
          <w:rFonts w:ascii="Times New Roman" w:hAnsi="Times New Roman"/>
          <w:sz w:val="20"/>
        </w:rPr>
        <w:t xml:space="preserve">” has the meaning assigned to such term in the recitals. </w:t>
      </w:r>
    </w:p>
    <w:p>
      <w:pPr>
        <w:pStyle w:val="TextBody"/>
        <w:bidi w:val="0"/>
        <w:spacing w:before="240" w:after="0"/>
        <w:jc w:val="left"/>
        <w:rPr/>
      </w:pPr>
      <w:r>
        <w:rPr/>
        <w:t>“</w:t>
      </w:r>
      <w:r>
        <w:rPr>
          <w:rFonts w:ascii="Times New Roman" w:hAnsi="Times New Roman"/>
          <w:i/>
          <w:sz w:val="20"/>
        </w:rPr>
        <w:t>Texas Limited Partnership Law</w:t>
      </w:r>
      <w:r>
        <w:rPr>
          <w:rFonts w:ascii="Times New Roman" w:hAnsi="Times New Roman"/>
          <w:sz w:val="20"/>
        </w:rPr>
        <w:t xml:space="preserve">” means the provisions of Chapters 151, 153 and 154 and the provisions of Title 1 and Chapter 152, to the extent applicable to limited partnerships, in each case of the TBOC. </w:t>
      </w:r>
    </w:p>
    <w:p>
      <w:pPr>
        <w:pStyle w:val="TextBody"/>
        <w:bidi w:val="0"/>
        <w:spacing w:before="240" w:after="0"/>
        <w:jc w:val="left"/>
        <w:rPr/>
      </w:pPr>
      <w:r>
        <w:rPr/>
        <w:t>“</w:t>
      </w:r>
      <w:r>
        <w:rPr>
          <w:rFonts w:ascii="Times New Roman" w:hAnsi="Times New Roman"/>
          <w:i/>
          <w:sz w:val="20"/>
        </w:rPr>
        <w:t>Trading Day</w:t>
      </w:r>
      <w:r>
        <w:rPr>
          <w:rFonts w:ascii="Times New Roman" w:hAnsi="Times New Roman"/>
          <w:sz w:val="20"/>
        </w:rPr>
        <w:t xml:space="preserve">” has the meaning assigned to such term in </w:t>
      </w:r>
      <w:r>
        <w:rPr>
          <w:rFonts w:ascii="Times New Roman" w:hAnsi="Times New Roman"/>
          <w:sz w:val="20"/>
          <w:u w:val="single"/>
        </w:rPr>
        <w:t>Section 15.1(a)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transfer</w:t>
      </w:r>
      <w:r>
        <w:rPr>
          <w:rFonts w:ascii="Times New Roman" w:hAnsi="Times New Roman"/>
          <w:sz w:val="20"/>
        </w:rPr>
        <w:t xml:space="preserve">” has the meaning assigned to such term in </w:t>
      </w:r>
      <w:r>
        <w:rPr>
          <w:rFonts w:ascii="Times New Roman" w:hAnsi="Times New Roman"/>
          <w:sz w:val="20"/>
          <w:u w:val="single"/>
        </w:rPr>
        <w:t>Section 4.4(a)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Transfer Agent</w:t>
      </w:r>
      <w:r>
        <w:rPr>
          <w:rFonts w:ascii="Times New Roman" w:hAnsi="Times New Roman"/>
          <w:sz w:val="20"/>
        </w:rPr>
        <w:t xml:space="preserve">” means such bank, trust company or other Person (including the General Partner or one of its Affiliates) as shall be appointed from time to time by the Partnership to act as registrar and transfer agent for the Common Units; </w:t>
      </w:r>
      <w:r>
        <w:rPr>
          <w:rFonts w:ascii="Times New Roman" w:hAnsi="Times New Roman"/>
          <w:sz w:val="20"/>
          <w:u w:val="single"/>
        </w:rPr>
        <w:t xml:space="preserve">provided </w:t>
      </w:r>
      <w:r>
        <w:rPr>
          <w:rFonts w:ascii="Times New Roman" w:hAnsi="Times New Roman"/>
          <w:sz w:val="20"/>
        </w:rPr>
        <w:t xml:space="preserve">that if no Transfer Agent is specifically designated for any other Partnership Securities, the General Partner shall act in such capacity. The Transfer Agent for the Series B Preferred Units, the Series G Preferred Units,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Series H Preferred Units and the Series I Preferred Units shall be American Stock Transfer &amp; Trust Company, LLC, and its successors and assigns, or any other transfer agent and registrar appointed by the General Partner for the Series B Preferred Units, the Series G Preferred Units, the Series H Preferred Units or the Series I Preferred Units, as applicable. </w:t>
      </w:r>
    </w:p>
    <w:p>
      <w:pPr>
        <w:pStyle w:val="TextBody"/>
        <w:bidi w:val="0"/>
        <w:spacing w:before="240" w:after="0"/>
        <w:jc w:val="left"/>
        <w:rPr/>
      </w:pPr>
      <w:r>
        <w:rPr/>
        <w:t>“</w:t>
      </w:r>
      <w:r>
        <w:rPr>
          <w:rFonts w:ascii="Times New Roman" w:hAnsi="Times New Roman"/>
          <w:i/>
          <w:sz w:val="20"/>
        </w:rPr>
        <w:t>Transfer Application</w:t>
      </w:r>
      <w:r>
        <w:rPr>
          <w:rFonts w:ascii="Times New Roman" w:hAnsi="Times New Roman"/>
          <w:sz w:val="20"/>
        </w:rPr>
        <w:t xml:space="preserve">” means the Transfer Application in the form attached hereto as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Underwriter</w:t>
      </w:r>
      <w:r>
        <w:rPr>
          <w:rFonts w:ascii="Times New Roman" w:hAnsi="Times New Roman"/>
          <w:sz w:val="20"/>
        </w:rPr>
        <w:t xml:space="preserve">” means each Person named as an underwriter in </w:t>
      </w:r>
      <w:r>
        <w:rPr>
          <w:rFonts w:ascii="Times New Roman" w:hAnsi="Times New Roman"/>
          <w:sz w:val="20"/>
          <w:u w:val="single"/>
        </w:rPr>
        <w:t>Schedule I</w:t>
      </w:r>
      <w:r>
        <w:rPr>
          <w:rFonts w:ascii="Times New Roman" w:hAnsi="Times New Roman"/>
          <w:sz w:val="20"/>
        </w:rPr>
        <w:t xml:space="preserve"> to the Underwriting Agreement who purchases Common Units pursuant thereto. </w:t>
      </w:r>
    </w:p>
    <w:p>
      <w:pPr>
        <w:pStyle w:val="TextBody"/>
        <w:bidi w:val="0"/>
        <w:spacing w:before="240" w:after="0"/>
        <w:jc w:val="left"/>
        <w:rPr/>
      </w:pPr>
      <w:r>
        <w:rPr/>
        <w:t>“</w:t>
      </w:r>
      <w:r>
        <w:rPr>
          <w:rFonts w:ascii="Times New Roman" w:hAnsi="Times New Roman"/>
          <w:i/>
          <w:sz w:val="20"/>
        </w:rPr>
        <w:t>Underwriting Agreement</w:t>
      </w:r>
      <w:r>
        <w:rPr>
          <w:rFonts w:ascii="Times New Roman" w:hAnsi="Times New Roman"/>
          <w:sz w:val="20"/>
        </w:rPr>
        <w:t xml:space="preserve">” means the Underwriting Agreement dated February 2, 2006 among the Underwriters, the Partnership and certain other parties, providing for the purchase of Common Units by such Underwriters. </w:t>
      </w:r>
    </w:p>
    <w:p>
      <w:pPr>
        <w:pStyle w:val="TextBody"/>
        <w:bidi w:val="0"/>
        <w:spacing w:before="240" w:after="0"/>
        <w:jc w:val="left"/>
        <w:rPr/>
      </w:pPr>
      <w:r>
        <w:rPr/>
        <w:t>“</w:t>
      </w:r>
      <w:r>
        <w:rPr>
          <w:rFonts w:ascii="Times New Roman" w:hAnsi="Times New Roman"/>
          <w:i/>
          <w:sz w:val="20"/>
        </w:rPr>
        <w:t>Unit</w:t>
      </w:r>
      <w:r>
        <w:rPr>
          <w:rFonts w:ascii="Times New Roman" w:hAnsi="Times New Roman"/>
          <w:sz w:val="20"/>
        </w:rPr>
        <w:t>” means a Partnership Security that is designated as a “</w:t>
      </w:r>
      <w:r>
        <w:rPr>
          <w:rFonts w:ascii="Times New Roman" w:hAnsi="Times New Roman"/>
          <w:i/>
          <w:sz w:val="20"/>
        </w:rPr>
        <w:t>Unit</w:t>
      </w:r>
      <w:r>
        <w:rPr>
          <w:rFonts w:ascii="Times New Roman" w:hAnsi="Times New Roman"/>
          <w:sz w:val="20"/>
        </w:rPr>
        <w:t xml:space="preserve">” and shall include Common Units, Series B Preferred Units, Series G Preferred Units, Series H Preferred Units or Series I Preferred Units and Class B Units, but shall not include the General Partner Units (or the General Partner Interest represented thereby) or Class A Units. </w:t>
      </w:r>
    </w:p>
    <w:p>
      <w:pPr>
        <w:pStyle w:val="TextBody"/>
        <w:bidi w:val="0"/>
        <w:spacing w:before="240" w:after="0"/>
        <w:jc w:val="left"/>
        <w:rPr/>
      </w:pPr>
      <w:r>
        <w:rPr/>
        <w:t>“</w:t>
      </w:r>
      <w:r>
        <w:rPr>
          <w:rFonts w:ascii="Times New Roman" w:hAnsi="Times New Roman"/>
          <w:i/>
          <w:sz w:val="20"/>
        </w:rPr>
        <w:t>Unit Majority</w:t>
      </w:r>
      <w:r>
        <w:rPr>
          <w:rFonts w:ascii="Times New Roman" w:hAnsi="Times New Roman"/>
          <w:sz w:val="20"/>
        </w:rPr>
        <w:t xml:space="preserve">” means at least a majority of the Outstanding Units (excluding the Series B Preferred Units, Series G Preferred Units, Series H Preferred Units, Series I Preferred Units and Class B Units in respect of matters in which the holders of the Series B Preferred Units, Series G Preferred Units, Series H Preferred Units, Series I Preferred Units and Class B Units are not entitled to a vote), voting together as a single class. </w:t>
      </w:r>
    </w:p>
    <w:p>
      <w:pPr>
        <w:pStyle w:val="TextBody"/>
        <w:bidi w:val="0"/>
        <w:spacing w:before="240" w:after="0"/>
        <w:jc w:val="left"/>
        <w:rPr/>
      </w:pPr>
      <w:r>
        <w:rPr/>
        <w:t>“</w:t>
      </w:r>
      <w:r>
        <w:rPr>
          <w:rFonts w:ascii="Times New Roman" w:hAnsi="Times New Roman"/>
          <w:i/>
          <w:sz w:val="20"/>
        </w:rPr>
        <w:t>Unitholders</w:t>
      </w:r>
      <w:r>
        <w:rPr>
          <w:rFonts w:ascii="Times New Roman" w:hAnsi="Times New Roman"/>
          <w:sz w:val="20"/>
        </w:rPr>
        <w:t xml:space="preserve">” means the holders of Units and shall not include the Class A Unitholders. </w:t>
      </w:r>
    </w:p>
    <w:p>
      <w:pPr>
        <w:pStyle w:val="TextBody"/>
        <w:bidi w:val="0"/>
        <w:spacing w:before="240" w:after="0"/>
        <w:jc w:val="left"/>
        <w:rPr/>
      </w:pPr>
      <w:r>
        <w:rPr/>
        <w:t>“</w:t>
      </w:r>
      <w:r>
        <w:rPr>
          <w:rFonts w:ascii="Times New Roman" w:hAnsi="Times New Roman"/>
          <w:i/>
          <w:sz w:val="20"/>
        </w:rPr>
        <w:t>Unrealized Gain</w:t>
      </w:r>
      <w:r>
        <w:rPr>
          <w:rFonts w:ascii="Times New Roman" w:hAnsi="Times New Roman"/>
          <w:sz w:val="20"/>
        </w:rPr>
        <w:t xml:space="preserve">” attributable to any item of Partnership property means, as of any date of determination, the excess, if any, of (a) the fair market value of such property as of such date (as determined under </w:t>
      </w:r>
      <w:r>
        <w:rPr>
          <w:rFonts w:ascii="Times New Roman" w:hAnsi="Times New Roman"/>
          <w:sz w:val="20"/>
          <w:u w:val="single"/>
        </w:rPr>
        <w:t>Section 5.5(d)</w:t>
      </w:r>
      <w:r>
        <w:rPr>
          <w:rFonts w:ascii="Times New Roman" w:hAnsi="Times New Roman"/>
          <w:sz w:val="20"/>
        </w:rPr>
        <w:t xml:space="preserve">) over (b) the Carrying Value of such property as of such date (prior to any adjustment to be made pursuant to </w:t>
      </w:r>
      <w:r>
        <w:rPr>
          <w:rFonts w:ascii="Times New Roman" w:hAnsi="Times New Roman"/>
          <w:sz w:val="20"/>
          <w:u w:val="single"/>
        </w:rPr>
        <w:t>Section 5.5(d)</w:t>
      </w:r>
      <w:r>
        <w:rPr>
          <w:rFonts w:ascii="Times New Roman" w:hAnsi="Times New Roman"/>
          <w:sz w:val="20"/>
        </w:rPr>
        <w:t xml:space="preserve"> as of such date). </w:t>
      </w:r>
    </w:p>
    <w:p>
      <w:pPr>
        <w:pStyle w:val="TextBody"/>
        <w:bidi w:val="0"/>
        <w:spacing w:before="240" w:after="0"/>
        <w:jc w:val="left"/>
        <w:rPr/>
      </w:pPr>
      <w:r>
        <w:rPr/>
        <w:t>“</w:t>
      </w:r>
      <w:r>
        <w:rPr>
          <w:rFonts w:ascii="Times New Roman" w:hAnsi="Times New Roman"/>
          <w:i/>
          <w:sz w:val="20"/>
        </w:rPr>
        <w:t>Unrealized Loss</w:t>
      </w:r>
      <w:r>
        <w:rPr>
          <w:rFonts w:ascii="Times New Roman" w:hAnsi="Times New Roman"/>
          <w:sz w:val="20"/>
        </w:rPr>
        <w:t xml:space="preserve">” attributable to any item of Partnership property means, as of any date of determination, the excess, if any, of (a) the Carrying Value of such property as of such date (prior to any adjustment to be made pursuant to </w:t>
      </w:r>
      <w:r>
        <w:rPr>
          <w:rFonts w:ascii="Times New Roman" w:hAnsi="Times New Roman"/>
          <w:sz w:val="20"/>
          <w:u w:val="single"/>
        </w:rPr>
        <w:t>Section 5.5(d)</w:t>
      </w:r>
      <w:r>
        <w:rPr>
          <w:rFonts w:ascii="Times New Roman" w:hAnsi="Times New Roman"/>
          <w:sz w:val="20"/>
        </w:rPr>
        <w:t xml:space="preserve"> as of such date) over (b) the fair market value of such property as of such date (as determined under </w:t>
      </w:r>
      <w:r>
        <w:rPr>
          <w:rFonts w:ascii="Times New Roman" w:hAnsi="Times New Roman"/>
          <w:sz w:val="20"/>
          <w:u w:val="single"/>
        </w:rPr>
        <w:t>Section 5.5(d)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U.S. GAAP</w:t>
      </w:r>
      <w:r>
        <w:rPr>
          <w:rFonts w:ascii="Times New Roman" w:hAnsi="Times New Roman"/>
          <w:sz w:val="20"/>
        </w:rPr>
        <w:t xml:space="preserve">” means United States generally accepted accounting principles consistently applied. </w:t>
      </w:r>
    </w:p>
    <w:p>
      <w:pPr>
        <w:pStyle w:val="TextBody"/>
        <w:bidi w:val="0"/>
        <w:spacing w:before="240" w:after="0"/>
        <w:jc w:val="left"/>
        <w:rPr/>
      </w:pPr>
      <w:r>
        <w:rPr/>
        <w:t>“</w:t>
      </w:r>
      <w:r>
        <w:rPr>
          <w:rFonts w:ascii="Times New Roman" w:hAnsi="Times New Roman"/>
          <w:i/>
          <w:sz w:val="20"/>
        </w:rPr>
        <w:t>VWAP Price</w:t>
      </w:r>
      <w:r>
        <w:rPr>
          <w:rFonts w:ascii="Times New Roman" w:hAnsi="Times New Roman"/>
          <w:sz w:val="20"/>
        </w:rPr>
        <w:t xml:space="preserve">” means, as of a particular date, the volume-weighted average trading price, as adjusted for splits, combinations and other similar transactions, of a Common Unit on the National Securities Exchange on which the Common Units are then listed or admitted to trading.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Construction</w:t>
      </w:r>
      <w:r>
        <w:rPr>
          <w:rFonts w:ascii="Times New Roman" w:hAnsi="Times New Roman"/>
          <w:sz w:val="20"/>
        </w:rPr>
        <w:t>. Unless the context requires otherwise: (a) any pronoun used in this Agreement shall include the corresponding masculine, feminine or neuter forms, and the singular form of nouns, pronouns and verbs shall include the plural and vice versa; (b) references to Articles and Sections refer to Articles and Sections of this Agreement; and (c) the terms “</w:t>
      </w:r>
      <w:r>
        <w:rPr>
          <w:rFonts w:ascii="Times New Roman" w:hAnsi="Times New Roman"/>
          <w:i/>
          <w:sz w:val="20"/>
        </w:rPr>
        <w:t>include</w:t>
      </w:r>
      <w:r>
        <w:rPr>
          <w:rFonts w:ascii="Times New Roman" w:hAnsi="Times New Roman"/>
          <w:sz w:val="20"/>
        </w:rPr>
        <w:t>,” “</w:t>
      </w:r>
      <w:r>
        <w:rPr>
          <w:rFonts w:ascii="Times New Roman" w:hAnsi="Times New Roman"/>
          <w:i/>
          <w:sz w:val="20"/>
        </w:rPr>
        <w:t>includes</w:t>
      </w:r>
      <w:r>
        <w:rPr>
          <w:rFonts w:ascii="Times New Roman" w:hAnsi="Times New Roman"/>
          <w:sz w:val="20"/>
        </w:rPr>
        <w:t>,” “</w:t>
      </w:r>
      <w:r>
        <w:rPr>
          <w:rFonts w:ascii="Times New Roman" w:hAnsi="Times New Roman"/>
          <w:i/>
          <w:sz w:val="20"/>
        </w:rPr>
        <w:t>including</w:t>
      </w:r>
      <w:r>
        <w:rPr>
          <w:rFonts w:ascii="Times New Roman" w:hAnsi="Times New Roman"/>
          <w:sz w:val="20"/>
        </w:rPr>
        <w:t>” or words of like import shall be deemed to be followed by the words “</w:t>
      </w:r>
      <w:r>
        <w:rPr>
          <w:rFonts w:ascii="Times New Roman" w:hAnsi="Times New Roman"/>
          <w:i/>
          <w:sz w:val="20"/>
        </w:rPr>
        <w:t>without limitation</w:t>
      </w:r>
      <w:r>
        <w:rPr>
          <w:rFonts w:ascii="Times New Roman" w:hAnsi="Times New Roman"/>
          <w:sz w:val="20"/>
        </w:rPr>
        <w:t>;” and the terms “</w:t>
      </w:r>
      <w:r>
        <w:rPr>
          <w:rFonts w:ascii="Times New Roman" w:hAnsi="Times New Roman"/>
          <w:i/>
          <w:sz w:val="20"/>
        </w:rPr>
        <w:t>hereof</w:t>
      </w:r>
      <w:r>
        <w:rPr>
          <w:rFonts w:ascii="Times New Roman" w:hAnsi="Times New Roman"/>
          <w:sz w:val="20"/>
        </w:rPr>
        <w:t>,” “</w:t>
      </w:r>
      <w:r>
        <w:rPr>
          <w:rFonts w:ascii="Times New Roman" w:hAnsi="Times New Roman"/>
          <w:i/>
          <w:sz w:val="20"/>
        </w:rPr>
        <w:t>herein</w:t>
      </w:r>
      <w:r>
        <w:rPr>
          <w:rFonts w:ascii="Times New Roman" w:hAnsi="Times New Roman"/>
          <w:sz w:val="20"/>
        </w:rPr>
        <w:t>” or “</w:t>
      </w:r>
      <w:r>
        <w:rPr>
          <w:rFonts w:ascii="Times New Roman" w:hAnsi="Times New Roman"/>
          <w:i/>
          <w:sz w:val="20"/>
        </w:rPr>
        <w:t>hereunder</w:t>
      </w:r>
      <w:r>
        <w:rPr>
          <w:rFonts w:ascii="Times New Roman" w:hAnsi="Times New Roman"/>
          <w:sz w:val="20"/>
        </w:rPr>
        <w:t xml:space="preserve">” refer to this Agreement as a whole and not to any particular provision of this Agreement. This Agreement shall be interpreted to include the implied contractual covenant of good faith and fair dealing, which as used herein means that (i) each party to this Agreement shall not exercise its discretion under this Agreement arbitrarily, capriciously, or unreasonably in a manner that would deprive any other Person bound by the terms of this Agreement of the benefit of such other Person’s contracted for rights and expectations under this Agreement and (ii) where the express terms of this Agreement (A) do not provide for a development that the parties to this Agreement could not have anticipated at the Time of Contracting or (B) omit a term that would obviously be necessary to give efficacy to the other express terms of this Agreement in a manner consistent with the parties’ shared expectations at the Time of Contracting, then in the case of either (A) or (B), this Agreement shall be interpreted to imply terms to the limited extent necessary to fill any gaps in this Agreement’s express terms so as to protect the parties’ shared expectations at the Time of Contracting. For purposes of this </w:t>
      </w:r>
      <w:r>
        <w:rPr>
          <w:rFonts w:ascii="Times New Roman" w:hAnsi="Times New Roman"/>
          <w:sz w:val="20"/>
          <w:u w:val="single"/>
        </w:rPr>
        <w:t>Section 1.2</w:t>
      </w:r>
      <w:r>
        <w:rPr>
          <w:rFonts w:ascii="Times New Roman" w:hAnsi="Times New Roman"/>
          <w:sz w:val="20"/>
        </w:rPr>
        <w:t xml:space="preserve">, “Time of Contracting” means (i) the date the Delaware Partnership first sold limited partnership interests in a public offering or (ii) solely with respect to any provisions in this Agreement (or prior to the Effective Time, the Delaware Partnership Agreement) that were not included in the Delaware Partnership Agreement as of the time in clause (i), the effective date of such provisions in this Agreement (or, prior to the Effective Time, the Delaware Partnership Agreement) setting forth or amending provisions that may be relevant to application of the preceding sentence. The table of contents and headings contained in this Agreement are for reference purposes only, and shall not affect in any way the meaning or interpretation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ORGANIZATION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Formation</w:t>
      </w:r>
      <w:r>
        <w:rPr>
          <w:rFonts w:ascii="Times New Roman" w:hAnsi="Times New Roman"/>
          <w:sz w:val="20"/>
        </w:rPr>
        <w:t xml:space="preserve">. The Partnership was formed as of the Effective Time pursuant to the Plan of Conversion, the Certificate of Conversion and the Certificate of Formation converting the Partnership from a Delaware limited partnership to a Texas limited partnership pursuant to the Plan of Conversion, the Certificate of Conversion, the Delaware Certificate of Conversion and the provisions of the Texas Limited Partnership Law and the Delaware Act. Except as expressly provided to the contrary in this Agreement, the rights, duties (including fiduciary duties), liabilities and obligations of the Partners and the administration, dissolution and termination of the Partnership shall be governed by the Texas Limited Partnership Law, and the Partnership shall constitute a continuation of the existence of the Delaware Partnership in the form of a Texas limited partnership and, for all purposes of the laws of the State of Texas, shall be deemed to be the same entity as the Delaware Partnership. All Partnership Interests shall constitute personal property of the owner thereof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Name</w:t>
      </w:r>
      <w:r>
        <w:rPr>
          <w:rFonts w:ascii="Times New Roman" w:hAnsi="Times New Roman"/>
          <w:sz w:val="20"/>
        </w:rPr>
        <w:t xml:space="preserve">. The name of the Partnership shall be “Energy Transfer LP”. The Partnership’s business may be conducted under any other name or names as determined by the General Partner, including the name of the General Partner. The words “Limited Partnership,” “LP,” “Ltd.” or similar words or letters shall be included in the Partnership’s name where necessary for the purpose of complying with the laws of any jurisdiction that so requires. The General Partner may change the name of the Partnership at any time and from time to time and shall notify the Limited Partners of such change in the next regular communication to the Limited Partners.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Registered Office; Registered Agent; Principal Office; Other Offices</w:t>
      </w:r>
      <w:r>
        <w:rPr>
          <w:rFonts w:ascii="Times New Roman" w:hAnsi="Times New Roman"/>
          <w:sz w:val="20"/>
        </w:rPr>
        <w:t xml:space="preserve">. Unless and until changed by the General Partner, the registered office of the Partnership in the State of Texas shall be located at 211 East 7th Street, Suite 620, Austin, Texas 78701, and the registered agent for service of process on the Partnership in the State of Texas at such registered office shall be Corporation Service Company d/b/a CSC-Lawyers Incorporating Service Company. The principal office of the Partnership shall be located at 8111 Westchester Drive, Dallas, Texas 75225 or such other place as the General Partner may from time to time designate by notice to the Limited Partners. The Partnership may maintain offices at such other place or places within or outside the State of Texas as the General Partner deems necessary or appropriate. The address of the General Partner shall be 8111 Westchester Drive, Dallas, Texas 75225 or such other place as the General Partner may from time to time designate by notice to the Limited Partners.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Purpose and Business</w:t>
      </w:r>
      <w:r>
        <w:rPr>
          <w:rFonts w:ascii="Times New Roman" w:hAnsi="Times New Roman"/>
          <w:sz w:val="20"/>
        </w:rPr>
        <w:t xml:space="preserve">. The purpose and nature of the business to be conducted by the Partnership shall be to (a) engage directly in, or enter into or form any corporation, partnership, joint venture, limited liability company or other arrangement to engage indirectly in, any business activity that is approved by the General Partner and that lawfully may be conducted by a limited partnership organized pursuant to the Texas Limited Partnership Law and, in connection therewith, to exercise all of the rights and powers conferred upon the Partnership pursuant to the agreements relating to such business activity; and (b) do anything necessary or appropriate to the foregoing, including the making of capital contributions or loans to a Group Member,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General Partner shall not cause the Partnership to engage, directly or indirectly, in any business activity that the General Partner determines would cause the Partnership to be treated as an association taxable as a corporation or otherwise taxable as an entity for federal income tax purposes. To the maximum extent permitted by law, the General Partner shall have no duty or obligation to propose or approve, and may decline to propose or approve, the conduct by the Partnership of any business, free of any fiduciary duty or obligation whatsoever to the Partnership or any Limited Partner and, in declining to so propose or approve, shall not be required to act in good faith or pursuant to any other standard imposed by this Agreement, any other agreement contemplated hereby or under the Texas Limited Partnership Law or any other law, rule or regulation or at equity.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Powers</w:t>
      </w:r>
      <w:r>
        <w:rPr>
          <w:rFonts w:ascii="Times New Roman" w:hAnsi="Times New Roman"/>
          <w:sz w:val="20"/>
        </w:rPr>
        <w:t xml:space="preserve">. The Partnership shall be empowered to do any and all acts and things necessary, appropriate, proper, advisable, incidental to or convenient for the furtherance and accomplishment of the purposes and business described in </w:t>
      </w:r>
      <w:r>
        <w:rPr>
          <w:rFonts w:ascii="Times New Roman" w:hAnsi="Times New Roman"/>
          <w:sz w:val="20"/>
          <w:u w:val="single"/>
        </w:rPr>
        <w:t>Section 2.4</w:t>
      </w:r>
      <w:r>
        <w:rPr>
          <w:rFonts w:ascii="Times New Roman" w:hAnsi="Times New Roman"/>
          <w:sz w:val="20"/>
        </w:rPr>
        <w:t xml:space="preserve"> and for the protection and benefit of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Power of Attorney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Limited Partner hereby constitutes and appoints the General Partner and, if a Liquidator (other than the General Partner) shall have been selected pursuant to </w:t>
      </w:r>
      <w:r>
        <w:rPr>
          <w:rFonts w:ascii="Times New Roman" w:hAnsi="Times New Roman"/>
          <w:sz w:val="20"/>
          <w:u w:val="single"/>
        </w:rPr>
        <w:t>Section 12.3</w:t>
      </w:r>
      <w:r>
        <w:rPr>
          <w:rFonts w:ascii="Times New Roman" w:hAnsi="Times New Roman"/>
          <w:sz w:val="20"/>
        </w:rPr>
        <w:t xml:space="preserve">, the Liquidator, severally (and any successor to either thereof by merger, transfer, assignment, election or otherwise) and each of their authorized officers and attorneys-in-fact, as the case may be, with full power of substitution, as his true and lawful agent and attorney-in-fact,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full power and authority in his name, place and stead, to: (i) execute, swear to, acknowledge, deliver, file and record in the appropriate public offices (A) all certificates, documents and other instruments (including this Agreement and the Certificate of Formation and all amendments or restatements hereof or thereof) that the General Partner or the Liquidator determines to be necessary or appropriate to form, qualify or continue the existence or qualification of the Partnership as a limited partnership (or a partnership in which the limited partners have limited liability) in the State of Texas and in all other jurisdictions in which the Partnership may conduct business or own property; (B) all certificates, documents and other instruments that the General Partner or the Liquidator determines to be necessary or appropriate to reflect, in accordance with its terms, any amendment, change, modification or restatement of this Agreement; (C) all certificates, documents and other instruments (including conveyances and a certificate of cancellation) that the General Partner or the Liquidator determines to be necessary or appropriate to reflect the dissolution and liquidation of the Partnership pursuant to the terms of this Agreement; (D) all certificates, documents and other instruments relating to the admission, withdrawal, removal or substitution of any Partner pursuant to, or other events described in, </w:t>
      </w:r>
      <w:r>
        <w:rPr>
          <w:rFonts w:ascii="Times New Roman" w:hAnsi="Times New Roman"/>
          <w:sz w:val="20"/>
          <w:u w:val="single"/>
        </w:rPr>
        <w:t>Articles IV</w:t>
      </w:r>
      <w:r>
        <w:rPr>
          <w:rFonts w:ascii="Times New Roman" w:hAnsi="Times New Roman"/>
          <w:sz w:val="20"/>
        </w:rPr>
        <w:t xml:space="preserve">, </w:t>
      </w:r>
      <w:r>
        <w:rPr>
          <w:rFonts w:ascii="Times New Roman" w:hAnsi="Times New Roman"/>
          <w:sz w:val="20"/>
          <w:u w:val="single"/>
        </w:rPr>
        <w:t>X</w:t>
      </w:r>
      <w:r>
        <w:rPr>
          <w:rFonts w:ascii="Times New Roman" w:hAnsi="Times New Roman"/>
          <w:sz w:val="20"/>
        </w:rPr>
        <w:t xml:space="preserve">, </w:t>
      </w:r>
      <w:r>
        <w:rPr>
          <w:rFonts w:ascii="Times New Roman" w:hAnsi="Times New Roman"/>
          <w:sz w:val="20"/>
          <w:u w:val="single"/>
        </w:rPr>
        <w:t>XI</w:t>
      </w:r>
      <w:r>
        <w:rPr>
          <w:rFonts w:ascii="Times New Roman" w:hAnsi="Times New Roman"/>
          <w:sz w:val="20"/>
        </w:rPr>
        <w:t xml:space="preserve"> or </w:t>
      </w:r>
      <w:r>
        <w:rPr>
          <w:rFonts w:ascii="Times New Roman" w:hAnsi="Times New Roman"/>
          <w:sz w:val="20"/>
          <w:u w:val="single"/>
        </w:rPr>
        <w:t>XII</w:t>
      </w:r>
      <w:r>
        <w:rPr>
          <w:rFonts w:ascii="Times New Roman" w:hAnsi="Times New Roman"/>
          <w:sz w:val="20"/>
        </w:rPr>
        <w:t xml:space="preserve">; (E) all certificates, documents and other instruments relating to the determination of the rights, preferences and privileges of any class or series of Partnership Securities issued pursuant to </w:t>
      </w:r>
      <w:r>
        <w:rPr>
          <w:rFonts w:ascii="Times New Roman" w:hAnsi="Times New Roman"/>
          <w:sz w:val="20"/>
          <w:u w:val="single"/>
        </w:rPr>
        <w:t>Section 5.6</w:t>
      </w:r>
      <w:r>
        <w:rPr>
          <w:rFonts w:ascii="Times New Roman" w:hAnsi="Times New Roman"/>
          <w:sz w:val="20"/>
        </w:rPr>
        <w:t xml:space="preserve">; and (F) all certificates, documents and other instruments (including agreements and a certificate of merger) relating to a merger, consolidation or conversion of the Partnership pursuant to </w:t>
      </w:r>
      <w:r>
        <w:rPr>
          <w:rFonts w:ascii="Times New Roman" w:hAnsi="Times New Roman"/>
          <w:sz w:val="20"/>
          <w:u w:val="single"/>
        </w:rPr>
        <w:t>Article XIV</w:t>
      </w:r>
      <w:r>
        <w:rPr>
          <w:rFonts w:ascii="Times New Roman" w:hAnsi="Times New Roman"/>
          <w:sz w:val="20"/>
        </w:rPr>
        <w:t xml:space="preserve">; and (ii) execute, swear to, acknowledge, deliver, file and record all ballots, consents, approvals, waivers, certificates, documents and other instruments that the General Partner or the Liquidator determines to be necessary or appropriate to (A) make, evidence, give, confirm or ratify any vote, consent, approval, agreement or other action that is made or given by the Partners hereunder or is consistent with the terms of this Agreement or (B) effectuate the terms or intent of this Agreement;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when required by </w:t>
      </w:r>
      <w:r>
        <w:rPr>
          <w:rFonts w:ascii="Times New Roman" w:hAnsi="Times New Roman"/>
          <w:sz w:val="20"/>
          <w:u w:val="single"/>
        </w:rPr>
        <w:t>Section 13.3</w:t>
      </w:r>
      <w:r>
        <w:rPr>
          <w:rFonts w:ascii="Times New Roman" w:hAnsi="Times New Roman"/>
          <w:sz w:val="20"/>
        </w:rPr>
        <w:t xml:space="preserve"> or any other provision of this Agreement that establishes a percentage of the Limited Partners or of the Limited Partners of any class or series required to take any action, the General Partner and the Liquidator may exercise the power of attorney made in this </w:t>
      </w:r>
      <w:r>
        <w:rPr>
          <w:rFonts w:ascii="Times New Roman" w:hAnsi="Times New Roman"/>
          <w:sz w:val="20"/>
          <w:u w:val="single"/>
        </w:rPr>
        <w:t>Section 2.6(a)(ii)</w:t>
      </w:r>
      <w:r>
        <w:rPr>
          <w:rFonts w:ascii="Times New Roman" w:hAnsi="Times New Roman"/>
          <w:sz w:val="20"/>
        </w:rPr>
        <w:t xml:space="preserve"> only after the necessary vote, consent or approval of the Limited Partners or of the Limited Partners of such class or series,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w:t>
      </w:r>
      <w:r>
        <w:rPr>
          <w:rFonts w:ascii="Times New Roman" w:hAnsi="Times New Roman"/>
          <w:sz w:val="20"/>
          <w:u w:val="single"/>
        </w:rPr>
        <w:t>Section 2.6(a)</w:t>
      </w:r>
      <w:r>
        <w:rPr>
          <w:rFonts w:ascii="Times New Roman" w:hAnsi="Times New Roman"/>
          <w:sz w:val="20"/>
        </w:rPr>
        <w:t xml:space="preserve"> shall be construed as authorizing the General Partner to amend this Agreement except in accordance with </w:t>
      </w:r>
      <w:r>
        <w:rPr>
          <w:rFonts w:ascii="Times New Roman" w:hAnsi="Times New Roman"/>
          <w:sz w:val="20"/>
          <w:u w:val="single"/>
        </w:rPr>
        <w:t>Article XIII</w:t>
      </w:r>
      <w:r>
        <w:rPr>
          <w:rFonts w:ascii="Times New Roman" w:hAnsi="Times New Roman"/>
          <w:sz w:val="20"/>
        </w:rPr>
        <w:t xml:space="preserve"> or as may be otherwise expressly provided for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foregoing power of attorney is hereby declared to be irrevocable and a power coupled with an interest, and it shall survive and, to the maximum extent permitted by law, not be affected by the subsequent death, incompetency, disability, incapacity, dissolution, bankruptcy or termination of any Limited Partner and the transfer of all or any portion of such Limited Partner’s Partnership Interest and shall extend to such Limited Partner’s heirs, successors, assigns and personal representatives. Each such Limited Partner hereby agrees to be bound by any representation made by the General Partner or the Liquidator acting in good faith pursuant to such power of attorney; and each such Limited Partner, to the maximum extent permitted by law, hereby waives any and all defenses that may be available to contest, negate or disaffirm the action of the General Partner or the Liquidator taken in good faith under such power of attorney. Each Limited Partner shall execute and deliver to the General Partner or the Liquidator, within 15 days after receipt of the request therefor, such further designation, powers of attorney and other instruments as the General Partner or the Liquidator may request in order to effectuate this Agreement and the purposes of the Partnership.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Term</w:t>
      </w:r>
      <w:r>
        <w:rPr>
          <w:rFonts w:ascii="Times New Roman" w:hAnsi="Times New Roman"/>
          <w:sz w:val="20"/>
        </w:rPr>
        <w:t xml:space="preserve">. The term of the Partnership shall continue until the dissolution of the Partnership in accordance with the provisions of </w:t>
      </w:r>
      <w:r>
        <w:rPr>
          <w:rFonts w:ascii="Times New Roman" w:hAnsi="Times New Roman"/>
          <w:sz w:val="20"/>
          <w:u w:val="single"/>
        </w:rPr>
        <w:t>Article XII</w:t>
      </w:r>
      <w:r>
        <w:rPr>
          <w:rFonts w:ascii="Times New Roman" w:hAnsi="Times New Roman"/>
          <w:sz w:val="20"/>
        </w:rPr>
        <w:t xml:space="preserve">. The existence of the Partnership as a separate legal entity shall continue until the filing of a certificate of termination as provided in the Texas Limited Partnership Law. </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Title to Partnership Assets</w:t>
      </w:r>
      <w:r>
        <w:rPr>
          <w:rFonts w:ascii="Times New Roman" w:hAnsi="Times New Roman"/>
          <w:sz w:val="20"/>
        </w:rPr>
        <w:t xml:space="preserve">. Title to Partnership assets, whether real, personal or mixed and whether tangible or intangible, shall be deemed to be owned by the Partnership as an entity, and no Partner, individually or collectively, shall have any ownership interest in such Partnership assets or any portion thereof. Title to any or all of the Partnership assets may be held in the name of the Partnership, the General Partner, one or more of its Affiliates or one or more nominees, as the General Partner may determine. The General Partner hereby declares and warrants that any Partnership assets for which record title is held in the name of the General Partner or one or more of its Affiliates or one or more nominees shall be held by the General Partner or such Affiliate or nominee for the use and benefit of the Partnership in accordance with the provisions of this Agreement;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General Partner shall use reasonable efforts to cause record title to such assets (other than those assets in respect of which the General Partner determines that the expense and difficulty of conveyancing makes transfer of record title to the Partnership impracticable) to be vested in the Partnership as soon as reasonably practicable;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prior to the withdrawal or removal of the General Partner or as soon thereafter as practicable, the General Partner shall use reasonable efforts to effect the transfer to the Partnership of record title to all Partnership assets held by the General Partner or its Affiliates and, prior to any such transfer, will provide for the use of such assets in a manner satisfactory to the General Partner. All Partnership assets shall be recorded as the property of the Partnership in its books and records, irrespective of the name in which record title to such Partnership assets is held.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RIGHTS OF LIMITED PARTNERS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Limitation of Liability</w:t>
      </w:r>
      <w:r>
        <w:rPr>
          <w:rFonts w:ascii="Times New Roman" w:hAnsi="Times New Roman"/>
          <w:sz w:val="20"/>
        </w:rPr>
        <w:t xml:space="preserve">. The Limited Partners shall have no liability under this Agreement except as expressly provided in this Agreement or the Texas Limited Partnership Law.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Management of Business</w:t>
      </w:r>
      <w:r>
        <w:rPr>
          <w:rFonts w:ascii="Times New Roman" w:hAnsi="Times New Roman"/>
          <w:sz w:val="20"/>
        </w:rPr>
        <w:t xml:space="preserve">. No Limited Partner or Assignee, in its capacity as such, shall participate in the operation, management or control (within the meaning of the Texas Limited Partnership Law) of the Partnership’s business, transact any business in the Partnership’s name or have the power to sign documents for or otherwise bind the Partnership. Any action taken by any Affiliate of the General Partner or any officer, director, employee, manager, member, general partner, agent or trustee of the General Partner or any of its Affiliates, or any officer, director, employee, manager, member, general partner, agent or trustee of a Group Member, in its capacity as such, shall not be deemed to be participation in the control of the business of the Partnership by a limited partner of the Partnership (within the meaning of Sections 153.103 and 153.104 of the Texas Limited Partnership Law) and shall not affect, impair or eliminate the limitations on the liability of the Limited Partners or Assignees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Outside Activities of the Limited Partners</w:t>
      </w:r>
      <w:r>
        <w:rPr>
          <w:rFonts w:ascii="Times New Roman" w:hAnsi="Times New Roman"/>
          <w:sz w:val="20"/>
        </w:rPr>
        <w:t xml:space="preserve">. Subject to the provisions of </w:t>
      </w:r>
      <w:r>
        <w:rPr>
          <w:rFonts w:ascii="Times New Roman" w:hAnsi="Times New Roman"/>
          <w:sz w:val="20"/>
          <w:u w:val="single"/>
        </w:rPr>
        <w:t>Section 7.5</w:t>
      </w:r>
      <w:r>
        <w:rPr>
          <w:rFonts w:ascii="Times New Roman" w:hAnsi="Times New Roman"/>
          <w:sz w:val="20"/>
        </w:rPr>
        <w:t xml:space="preserve">, which shall continue to be applicable to the Persons referred to therein, regardless of whether such Persons shall also be Limited Partners, any Limited Partner or Assignee shall be entitled to and may have business interests and engage in business activities in addition to those relating to the Partnership, including business interests and activities in direct competition with the Partnership. Neither the Partnership nor any of the other Partners or Assignees shall have any rights by virtue of this Agreement in any business ventures of any Limited Partner or Assignee.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Rights of Limited Partners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addition to other rights provided by this Agreement or by applicable law, and except as limited by </w:t>
      </w:r>
      <w:r>
        <w:rPr>
          <w:rFonts w:ascii="Times New Roman" w:hAnsi="Times New Roman"/>
          <w:sz w:val="20"/>
          <w:u w:val="single"/>
        </w:rPr>
        <w:t>Section 3.4(b)</w:t>
      </w:r>
      <w:r>
        <w:rPr>
          <w:rFonts w:ascii="Times New Roman" w:hAnsi="Times New Roman"/>
          <w:sz w:val="20"/>
        </w:rPr>
        <w:t xml:space="preserve">, each Limited Partner shall have the right, for a purpose reasonably related to such Limited Partner’s interest as a Limited Partner in the Partnership, upon reasonable written demand stating the purpose of such demand and at such Limited Partner’s own expense: </w:t>
      </w:r>
    </w:p>
    <w:p>
      <w:pPr>
        <w:pStyle w:val="TextBody"/>
        <w:bidi w:val="0"/>
        <w:spacing w:before="120" w:after="0"/>
        <w:jc w:val="left"/>
        <w:rPr>
          <w:rFonts w:ascii="Times New Roman" w:hAnsi="Times New Roman"/>
          <w:sz w:val="20"/>
        </w:rPr>
      </w:pPr>
      <w:r>
        <w:rPr>
          <w:rFonts w:ascii="Times New Roman" w:hAnsi="Times New Roman"/>
          <w:sz w:val="20"/>
        </w:rPr>
        <w:t xml:space="preserve">(i) to obtain true and full information regarding the status of the business and financial condition of the Partnership; </w:t>
      </w:r>
    </w:p>
    <w:p>
      <w:pPr>
        <w:pStyle w:val="TextBody"/>
        <w:bidi w:val="0"/>
        <w:spacing w:before="120" w:after="0"/>
        <w:jc w:val="left"/>
        <w:rPr>
          <w:rFonts w:ascii="Times New Roman" w:hAnsi="Times New Roman"/>
          <w:sz w:val="20"/>
        </w:rPr>
      </w:pPr>
      <w:r>
        <w:rPr>
          <w:rFonts w:ascii="Times New Roman" w:hAnsi="Times New Roman"/>
          <w:sz w:val="20"/>
        </w:rPr>
        <w:t xml:space="preserve">(ii) promptly after its becoming available, to obtain a copy of the Partnership’s federal, state and local income tax returns for each year; </w:t>
      </w:r>
    </w:p>
    <w:p>
      <w:pPr>
        <w:pStyle w:val="TextBody"/>
        <w:bidi w:val="0"/>
        <w:spacing w:before="120" w:after="0"/>
        <w:jc w:val="left"/>
        <w:rPr>
          <w:rFonts w:ascii="Times New Roman" w:hAnsi="Times New Roman"/>
          <w:sz w:val="20"/>
        </w:rPr>
      </w:pPr>
      <w:r>
        <w:rPr>
          <w:rFonts w:ascii="Times New Roman" w:hAnsi="Times New Roman"/>
          <w:sz w:val="20"/>
        </w:rPr>
        <w:t xml:space="preserve">(iii) to obtain a current list of the name and last known business, residence or mailing address of each Partner; </w:t>
      </w:r>
    </w:p>
    <w:p>
      <w:pPr>
        <w:pStyle w:val="TextBody"/>
        <w:bidi w:val="0"/>
        <w:spacing w:before="120" w:after="0"/>
        <w:jc w:val="left"/>
        <w:rPr>
          <w:rFonts w:ascii="Times New Roman" w:hAnsi="Times New Roman"/>
          <w:sz w:val="20"/>
        </w:rPr>
      </w:pPr>
      <w:r>
        <w:rPr>
          <w:rFonts w:ascii="Times New Roman" w:hAnsi="Times New Roman"/>
          <w:sz w:val="20"/>
        </w:rPr>
        <w:t xml:space="preserve">(iv) to obtain a copy of this Agreement and the Certificate of Formation and all amendments thereto, together with a copy of the executed copies of all powers of attorney pursuant to which this Agreement, the Certificate of Formation and all amendments thereto have been executed; </w:t>
      </w:r>
    </w:p>
    <w:p>
      <w:pPr>
        <w:pStyle w:val="TextBody"/>
        <w:bidi w:val="0"/>
        <w:spacing w:before="120" w:after="0"/>
        <w:jc w:val="left"/>
        <w:rPr>
          <w:rFonts w:ascii="Times New Roman" w:hAnsi="Times New Roman"/>
          <w:sz w:val="20"/>
        </w:rPr>
      </w:pPr>
      <w:r>
        <w:rPr>
          <w:rFonts w:ascii="Times New Roman" w:hAnsi="Times New Roman"/>
          <w:sz w:val="20"/>
        </w:rPr>
        <w:t xml:space="preserve">(v) to obtain true and full information regarding the amount of cash and a description and statement of the Net Agreed Value of any other Capital Contribution by each Partner and that each Partner has agreed to contribute in the future, and the date on which each became a Partner; and </w:t>
      </w:r>
    </w:p>
    <w:p>
      <w:pPr>
        <w:pStyle w:val="TextBody"/>
        <w:bidi w:val="0"/>
        <w:spacing w:before="120" w:after="0"/>
        <w:jc w:val="left"/>
        <w:rPr>
          <w:rFonts w:ascii="Times New Roman" w:hAnsi="Times New Roman"/>
          <w:sz w:val="20"/>
        </w:rPr>
      </w:pPr>
      <w:r>
        <w:rPr>
          <w:rFonts w:ascii="Times New Roman" w:hAnsi="Times New Roman"/>
          <w:sz w:val="20"/>
        </w:rPr>
        <w:t xml:space="preserve">(vi) to obtain such other information regarding the affairs of the Partnership as is just and reasonable.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 other provision of this Agreement, the General Partner may keep confidential from the Limited Partners, for such period of time as the General Partner determines, (i) any information that the General Partner reasonably believes to be in the nature of trade secrets or (ii) other information the disclosure of which the General Partner believes (A) is not in the best interests of the Partnership, (B) could damage the Partnership or its business or (C) that any Group Member is required by law or by agreement with any third party to keep confidential (other than agreements with Affiliates of the Partnership the primary purpose of which is to circumvent the obligations set forth in this </w:t>
      </w:r>
      <w:r>
        <w:rPr>
          <w:rFonts w:ascii="Times New Roman" w:hAnsi="Times New Roman"/>
          <w:sz w:val="20"/>
          <w:u w:val="single"/>
        </w:rPr>
        <w:t>Section 3.4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CERTIFICATES; RECORD HOLDERS; TRANSFER OF PARTNERSHIP INTERESTS; REDEMPTION OF PARTNERSHIP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Certificates</w:t>
      </w:r>
      <w:r>
        <w:rPr>
          <w:rFonts w:ascii="Times New Roman" w:hAnsi="Times New Roman"/>
          <w:sz w:val="20"/>
        </w:rPr>
        <w:t xml:space="preserve">. Upon the Partnership’s issuance of Common Units to any Person, the Partnership shall issue, upon the request of such Person, one or more Certificates in the name of such Person evidencing the number of such Units being so issued. In addition, (a) upon the General Partner’s request, the Partnership shall issue to it one or more Certificates in the name of the General Partner evidencing its interests in the Partnership and (b) upon the request of any Person owning other Partnership Securities, the Partnership shall issue to such Person one or more Certificates evidencing such other Partnership Securities. Certificates shall be executed on behalf of the Partnership by the Chairman of the Board, President or any Vice President and the Secretary or any Assistant Secretary of the General Partner. No Common Unit Certificate shall be valid for any purpose until it has been countersigned by the Transfer Agent;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if the General Partner elects to issue Common Units in global form, the Common Unit Certificates shall be valid upon receipt of a certificate from the Transfer Agent certifying that the Common Units have been duly registered in accordance with the directions of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Mutilated, Destroyed, Lost or Stolen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any mutilated Certificate is surrendered to the Transfer Agent (for Common Units) or the General Partner (for Partnership Securities other than Common Units), the appropriate officers of the General Partner on behalf of the Partnership shall execute, and the Transfer Agent (for Common Units) or the Partnership (for Partnership Securities other than Common Units) shall countersign and deliver in exchange therefor, a new Certificate evidencing the same number and type of Partnership Securities as the Certificate so surrendered. </w:t>
      </w:r>
    </w:p>
    <w:p>
      <w:pPr>
        <w:pStyle w:val="TextBody"/>
        <w:bidi w:val="0"/>
        <w:spacing w:before="240" w:after="0"/>
        <w:jc w:val="left"/>
        <w:rPr>
          <w:rFonts w:ascii="Times New Roman" w:hAnsi="Times New Roman"/>
          <w:sz w:val="20"/>
        </w:rPr>
      </w:pPr>
      <w:r>
        <w:rPr>
          <w:rFonts w:ascii="Times New Roman" w:hAnsi="Times New Roman"/>
          <w:sz w:val="20"/>
        </w:rPr>
        <w:t xml:space="preserve">(b) The appropriate officers of the General Partner on behalf of the Partnership shall execute and deliver, and the Transfer Agent (for Common Units) or the Partnership (for Partnership Securities other than Common Units) shall countersign, a new Certificate in place of any Certificate previously issued if the Record Holder of the Certificate: </w:t>
      </w:r>
    </w:p>
    <w:p>
      <w:pPr>
        <w:pStyle w:val="TextBody"/>
        <w:bidi w:val="0"/>
        <w:spacing w:before="120" w:after="0"/>
        <w:jc w:val="left"/>
        <w:rPr>
          <w:rFonts w:ascii="Times New Roman" w:hAnsi="Times New Roman"/>
          <w:sz w:val="20"/>
        </w:rPr>
      </w:pPr>
      <w:r>
        <w:rPr>
          <w:rFonts w:ascii="Times New Roman" w:hAnsi="Times New Roman"/>
          <w:sz w:val="20"/>
        </w:rPr>
        <w:t xml:space="preserve">(i) makes proof by affidavit, in form and substance satisfactory to the General Partner, that a previously issued Certificate has been lost, destroyed or stolen; </w:t>
      </w:r>
    </w:p>
    <w:p>
      <w:pPr>
        <w:pStyle w:val="TextBody"/>
        <w:bidi w:val="0"/>
        <w:spacing w:before="120" w:after="0"/>
        <w:jc w:val="left"/>
        <w:rPr>
          <w:rFonts w:ascii="Times New Roman" w:hAnsi="Times New Roman"/>
          <w:sz w:val="20"/>
        </w:rPr>
      </w:pPr>
      <w:r>
        <w:rPr>
          <w:rFonts w:ascii="Times New Roman" w:hAnsi="Times New Roman"/>
          <w:sz w:val="20"/>
        </w:rPr>
        <w:t xml:space="preserve">(ii) requests the issuance of a new Certificate before the General Partner has notice that the Certificate has been acquired by a purchaser for value in good faith and without notice of an adverse claim; </w:t>
      </w:r>
    </w:p>
    <w:p>
      <w:pPr>
        <w:pStyle w:val="TextBody"/>
        <w:bidi w:val="0"/>
        <w:spacing w:before="120" w:after="0"/>
        <w:jc w:val="left"/>
        <w:rPr>
          <w:rFonts w:ascii="Times New Roman" w:hAnsi="Times New Roman"/>
          <w:sz w:val="20"/>
        </w:rPr>
      </w:pPr>
      <w:r>
        <w:rPr>
          <w:rFonts w:ascii="Times New Roman" w:hAnsi="Times New Roman"/>
          <w:sz w:val="20"/>
        </w:rPr>
        <w:t xml:space="preserve">(iii) if requested by the General Partner, delivers to the General Partner a bond, in form and substance satisfactory to the General Partner, with surety or sureties and with fixed or open penalty as the General Partner may direct to indemnify the Partnership, the Partners, the General Partner and the Transfer Agent against any claim that may be made on account of the alleged loss, destruction or theft of the Certificate; and (iv) satisfies any other reasonable requirements imposed by the General Partner. </w:t>
      </w:r>
    </w:p>
    <w:p>
      <w:pPr>
        <w:pStyle w:val="TextBody"/>
        <w:bidi w:val="0"/>
        <w:spacing w:before="240" w:after="0"/>
        <w:jc w:val="left"/>
        <w:rPr>
          <w:rFonts w:ascii="Times New Roman" w:hAnsi="Times New Roman"/>
          <w:sz w:val="20"/>
        </w:rPr>
      </w:pPr>
      <w:r>
        <w:rPr>
          <w:rFonts w:ascii="Times New Roman" w:hAnsi="Times New Roman"/>
          <w:sz w:val="20"/>
        </w:rPr>
        <w:t xml:space="preserve">(c) If a Limited Partner or Assignee fails to notify the General Partner within a reasonable period of time after he has notice of the loss, destruction or theft of a Certificate, and a transfer of the Limited Partner Interests represented by the Certificate is registered before the Partnership, the General Partner or the Transfer Agent receives such notification, the Limited Partner or Assignee shall be precluded from making any claim against the Partnership, the General Partner or the Transfer Agent for such transfer or for a new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As a condition to the issuance of any new Certificate under this </w:t>
      </w:r>
      <w:r>
        <w:rPr>
          <w:rFonts w:ascii="Times New Roman" w:hAnsi="Times New Roman"/>
          <w:sz w:val="20"/>
          <w:u w:val="single"/>
        </w:rPr>
        <w:t>Section 4.2</w:t>
      </w:r>
      <w:r>
        <w:rPr>
          <w:rFonts w:ascii="Times New Roman" w:hAnsi="Times New Roman"/>
          <w:sz w:val="20"/>
        </w:rPr>
        <w:t xml:space="preserve">, the General Partner may require the payment of a sum sufficient to cover any tax or other governmental charge that may be imposed in relation thereto and any other expenses (including the fees and expenses of the Transfer Agent) reasonably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Record Holders</w:t>
      </w:r>
      <w:r>
        <w:rPr>
          <w:rFonts w:ascii="Times New Roman" w:hAnsi="Times New Roman"/>
          <w:sz w:val="20"/>
        </w:rPr>
        <w:t xml:space="preserve">. The Partnership shall be entitled to recognize the Record Holder as the Partner or Assignee with respect to any Partnership Interest and, accordingly, shall not be bound to recognize any equitable or other claim to or interest in such Partnership Interest on the part of any other Person, regardless of whether the Partnership shall have actual or other notice thereof, except as otherwise provided by law or any applicable rule, regulation, guideline or requirement of any National Securities Exchange on which such Partnership Interests are listed or admitted for trading. Without limiting the foregoing, when a Person (such as a broker, dealer, bank, trust company or clearing corporation or an agent of any of the foregoing) is acting as nominee, agent or in some other representative capacity for another Person in acquiring and/or holding Partnership Interests, as between the Partnership on the one hand, and such other Persons on the other, such representative Person (a) shall be the Partner or Assignee (as the case may be) of record and beneficially, and (b) shall be bound by this Agreement and shall have the rights and obligations of a Partner or Assignee (as the case may be) hereunder and as, and to the extent provided for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Transfer Generally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term “</w:t>
      </w:r>
      <w:r>
        <w:rPr>
          <w:rFonts w:ascii="Times New Roman" w:hAnsi="Times New Roman"/>
          <w:i/>
          <w:sz w:val="20"/>
        </w:rPr>
        <w:t>transfer</w:t>
      </w:r>
      <w:r>
        <w:rPr>
          <w:rFonts w:ascii="Times New Roman" w:hAnsi="Times New Roman"/>
          <w:sz w:val="20"/>
        </w:rPr>
        <w:t xml:space="preserve">,” when used in this Agreement with respect to a Partnership Interest, shall be deemed to refer to a transaction (i) by which the General Partner assigns its General Partner Interest to another Person, and includes a sale, assignment, gift, pledge, encumbrance, hypothecation, mortgage, exchange, or any other disposition by law or otherwise or (ii) by which the holder of a Limited Partner Interest assigns such Limited Partner Interest to another Person who is or becomes a Limited Partner or an Assignee, and includes a sale, assignment, gift, exchange or any other disposition by law or otherwise, including any transfer upon foreclosure of any pledge, encumbrance, hypothecation or mortgage. </w:t>
      </w:r>
    </w:p>
    <w:p>
      <w:pPr>
        <w:pStyle w:val="TextBody"/>
        <w:bidi w:val="0"/>
        <w:spacing w:before="240" w:after="0"/>
        <w:jc w:val="left"/>
        <w:rPr>
          <w:rFonts w:ascii="Times New Roman" w:hAnsi="Times New Roman"/>
          <w:sz w:val="20"/>
        </w:rPr>
      </w:pPr>
      <w:r>
        <w:rPr>
          <w:rFonts w:ascii="Times New Roman" w:hAnsi="Times New Roman"/>
          <w:sz w:val="20"/>
        </w:rPr>
        <w:t xml:space="preserve">(b) No Partnership Interest shall be transferred, in whole or in part, except in accordance with the terms and conditions set forth in this </w:t>
      </w:r>
      <w:r>
        <w:rPr>
          <w:rFonts w:ascii="Times New Roman" w:hAnsi="Times New Roman"/>
          <w:sz w:val="20"/>
          <w:u w:val="single"/>
        </w:rPr>
        <w:t>Article IV</w:t>
      </w:r>
      <w:r>
        <w:rPr>
          <w:rFonts w:ascii="Times New Roman" w:hAnsi="Times New Roman"/>
          <w:sz w:val="20"/>
        </w:rPr>
        <w:t xml:space="preserve">. Any transfer or purported transfer of a Partnership Interest not made in accordance with this </w:t>
      </w:r>
      <w:r>
        <w:rPr>
          <w:rFonts w:ascii="Times New Roman" w:hAnsi="Times New Roman"/>
          <w:sz w:val="20"/>
          <w:u w:val="single"/>
        </w:rPr>
        <w:t>Article IV</w:t>
      </w:r>
      <w:r>
        <w:rPr>
          <w:rFonts w:ascii="Times New Roman" w:hAnsi="Times New Roman"/>
          <w:sz w:val="20"/>
        </w:rPr>
        <w:t xml:space="preserve"> shall be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(c) Nothing contained in this Agreement shall be construed to prevent a disposition by any stockholder, member, partner or other owner of the General Partner of any or all of the issued and outstanding member interests, partner interests or other ownership interests in the General Partner, including through a merger or consolidation of the General Partner.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Registration and Transfer of Limited Partner Interests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General Partner shall keep or cause to be kept on behalf of the Partnership a register in which, subject to such reasonable regulations as it may prescribe and subject to the provisions of </w:t>
      </w:r>
      <w:r>
        <w:rPr>
          <w:rFonts w:ascii="Times New Roman" w:hAnsi="Times New Roman"/>
          <w:sz w:val="20"/>
          <w:u w:val="single"/>
        </w:rPr>
        <w:t>Section 4.5(b)</w:t>
      </w:r>
      <w:r>
        <w:rPr>
          <w:rFonts w:ascii="Times New Roman" w:hAnsi="Times New Roman"/>
          <w:sz w:val="20"/>
        </w:rPr>
        <w:t xml:space="preserve">, the Partnership will provide for the registration and transfer of Limited Partner Interests. The Transfer Agent is hereby appointed registrar and transfer agent for the purpose of registering Common Units and transfers of such Common Units as herein provided. The Partnership shall not recognize transfers of Certificates evidencing Limited Partner Interests unless such transfers are effected in the manner described in this </w:t>
      </w:r>
      <w:r>
        <w:rPr>
          <w:rFonts w:ascii="Times New Roman" w:hAnsi="Times New Roman"/>
          <w:sz w:val="20"/>
          <w:u w:val="single"/>
        </w:rPr>
        <w:t>Section 4.5</w:t>
      </w:r>
      <w:r>
        <w:rPr>
          <w:rFonts w:ascii="Times New Roman" w:hAnsi="Times New Roman"/>
          <w:sz w:val="20"/>
        </w:rPr>
        <w:t xml:space="preserve">. Upon surrender of a Certificate for registration of transfer of any Limited Partner Interests evidenced by a Certificate, and subject to the provisions of </w:t>
      </w:r>
      <w:r>
        <w:rPr>
          <w:rFonts w:ascii="Times New Roman" w:hAnsi="Times New Roman"/>
          <w:sz w:val="20"/>
          <w:u w:val="single"/>
        </w:rPr>
        <w:t>Section 4.5(b)</w:t>
      </w:r>
      <w:r>
        <w:rPr>
          <w:rFonts w:ascii="Times New Roman" w:hAnsi="Times New Roman"/>
          <w:sz w:val="20"/>
        </w:rPr>
        <w:t xml:space="preserve">, the appropriate officers of the General Partner on behalf of the Partnership shall execute and deliver, and in the case of Common Units, the Transfer Agent shall countersign and deliver, in the name of the holder or the designated transferee or transferees, as required pursuant to the holder’s instructions, one or more new Certificates evidencing the same aggregate number and type of Limited Partner Interests as was evidenced by the Certificate so surrendered.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provided in </w:t>
      </w:r>
      <w:r>
        <w:rPr>
          <w:rFonts w:ascii="Times New Roman" w:hAnsi="Times New Roman"/>
          <w:sz w:val="20"/>
          <w:u w:val="single"/>
        </w:rPr>
        <w:t>Section 4.8</w:t>
      </w:r>
      <w:r>
        <w:rPr>
          <w:rFonts w:ascii="Times New Roman" w:hAnsi="Times New Roman"/>
          <w:sz w:val="20"/>
        </w:rPr>
        <w:t xml:space="preserve">, the Partnership shall not recognize any transfer of Limited Partner Interests until (i) the Certificates evidencing such Limited Partner Interests are surrendered for registration of transfer and (ii) following a FERC Notice, such Certificates are accompanied by a Transfer Application and accompanying Taxation Certification, properly completed and duly executed by the transferee (or the transferee’s attorney-in-fact duly authorized in writing). No charge shall be imposed by the General Partner for such transfer;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as a condition to the issuance of any new Certificate under this </w:t>
      </w:r>
      <w:r>
        <w:rPr>
          <w:rFonts w:ascii="Times New Roman" w:hAnsi="Times New Roman"/>
          <w:sz w:val="20"/>
          <w:u w:val="single"/>
        </w:rPr>
        <w:t>Section 4.5</w:t>
      </w:r>
      <w:r>
        <w:rPr>
          <w:rFonts w:ascii="Times New Roman" w:hAnsi="Times New Roman"/>
          <w:sz w:val="20"/>
        </w:rPr>
        <w:t xml:space="preserve">, the General Partner may require the payment of a sum sufficient to cover any tax or other governmental charge that may be imposed with respect thereto. Following a FERC Notice, no distributions or allocations will be made in respect of the Limited Partner Interests until a properly completed Transfer Application has been delivered. </w:t>
      </w:r>
    </w:p>
    <w:p>
      <w:pPr>
        <w:pStyle w:val="TextBody"/>
        <w:bidi w:val="0"/>
        <w:spacing w:before="240" w:after="0"/>
        <w:jc w:val="left"/>
        <w:rPr>
          <w:rFonts w:ascii="Times New Roman" w:hAnsi="Times New Roman"/>
          <w:sz w:val="20"/>
        </w:rPr>
      </w:pPr>
      <w:r>
        <w:rPr>
          <w:rFonts w:ascii="Times New Roman" w:hAnsi="Times New Roman"/>
          <w:sz w:val="20"/>
        </w:rPr>
        <w:t xml:space="preserve">(c) Limited Partner Interests may be transferred only in the manner described in this </w:t>
      </w:r>
      <w:r>
        <w:rPr>
          <w:rFonts w:ascii="Times New Roman" w:hAnsi="Times New Roman"/>
          <w:sz w:val="20"/>
          <w:u w:val="single"/>
        </w:rPr>
        <w:t>Section 4.5</w:t>
      </w:r>
      <w:r>
        <w:rPr>
          <w:rFonts w:ascii="Times New Roman" w:hAnsi="Times New Roman"/>
          <w:sz w:val="20"/>
        </w:rPr>
        <w:t xml:space="preserve">. The transfer of any Limited Partner Interests and the admission of any new Limited Partner shall not constitute an amendment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Until admitted as a Substituted Limited Partner pursuant to </w:t>
      </w:r>
      <w:r>
        <w:rPr>
          <w:rFonts w:ascii="Times New Roman" w:hAnsi="Times New Roman"/>
          <w:sz w:val="20"/>
          <w:u w:val="single"/>
        </w:rPr>
        <w:t>Section 10.1</w:t>
      </w:r>
      <w:r>
        <w:rPr>
          <w:rFonts w:ascii="Times New Roman" w:hAnsi="Times New Roman"/>
          <w:sz w:val="20"/>
        </w:rPr>
        <w:t xml:space="preserve">, the Record Holder of a Limited Partner Interest shall be an Assignee in respect of such Limited Partner Interest. Limited Partners may include custodians, nominees or any other individual or entity in its own or any representative capacity. </w:t>
      </w:r>
    </w:p>
    <w:p>
      <w:pPr>
        <w:pStyle w:val="TextBody"/>
        <w:bidi w:val="0"/>
        <w:spacing w:before="240" w:after="0"/>
        <w:jc w:val="left"/>
        <w:rPr>
          <w:rFonts w:ascii="Times New Roman" w:hAnsi="Times New Roman"/>
          <w:sz w:val="20"/>
        </w:rPr>
      </w:pPr>
      <w:r>
        <w:rPr>
          <w:rFonts w:ascii="Times New Roman" w:hAnsi="Times New Roman"/>
          <w:sz w:val="20"/>
        </w:rPr>
        <w:t xml:space="preserve">(e) Following a FERC Notice, a transferee of a Limited Partner Interest who has completed and delivered a Transfer Application shall be deemed to have (i) requested admission as a Substituted Limited Partner, (ii) agreed to comply with and be bound by and to have executed this Agreement, (iii) represented and warranted that such transferee has the right, power and authority and, if an individual, the capacity to enter into this Agreement, (iv) granted the powers of attorney set forth in this Agreement, and (v) given the consents and approvals and made the waivers contained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Subject to (i) the foregoing provisions of this </w:t>
      </w:r>
      <w:r>
        <w:rPr>
          <w:rFonts w:ascii="Times New Roman" w:hAnsi="Times New Roman"/>
          <w:sz w:val="20"/>
          <w:u w:val="single"/>
        </w:rPr>
        <w:t>Section 4.5</w:t>
      </w:r>
      <w:r>
        <w:rPr>
          <w:rFonts w:ascii="Times New Roman" w:hAnsi="Times New Roman"/>
          <w:sz w:val="20"/>
        </w:rPr>
        <w:t>, (ii)</w:t>
      </w:r>
      <w:r>
        <w:rPr>
          <w:rFonts w:ascii="Times New Roman" w:hAnsi="Times New Roman"/>
          <w:sz w:val="20"/>
          <w:u w:val="single"/>
        </w:rPr>
        <w:t> Section 4.3</w:t>
      </w:r>
      <w:r>
        <w:rPr>
          <w:rFonts w:ascii="Times New Roman" w:hAnsi="Times New Roman"/>
          <w:sz w:val="20"/>
        </w:rPr>
        <w:t>, (iii)</w:t>
      </w:r>
      <w:r>
        <w:rPr>
          <w:rFonts w:ascii="Times New Roman" w:hAnsi="Times New Roman"/>
          <w:sz w:val="20"/>
          <w:u w:val="single"/>
        </w:rPr>
        <w:t> Section 4.7</w:t>
      </w:r>
      <w:r>
        <w:rPr>
          <w:rFonts w:ascii="Times New Roman" w:hAnsi="Times New Roman"/>
          <w:sz w:val="20"/>
        </w:rPr>
        <w:t xml:space="preserve">, (iv) with respect to any series of Limited Partner Interests, the provisions of any statement of designations or amendment to this Agreement establishing such series, (v) any contractual provisions binding on any Limited Partner and (vi) provisions of applicable law including the Securities Act, Limited Partner Interests shall be freely transferable.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Transfer of the General Partner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4.6(b)</w:t>
      </w:r>
      <w:r>
        <w:rPr>
          <w:rFonts w:ascii="Times New Roman" w:hAnsi="Times New Roman"/>
          <w:sz w:val="20"/>
        </w:rPr>
        <w:t xml:space="preserve"> below, the General Partner may transfer all or any of its General Partner Interest (represented by General Partner Units) without Unitholder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herein to the contrary, no transfer by the General Partner of all or any part of its General Partner Interest (represented by General Partner Units) to another Person shall be permitted unless (i) the transferee agrees to assume the rights and duties of the General Partner under this Agreement and to be bound by the provisions of this Agreement and (ii) the Partnership receives an Opinion of Counsel that such transfer would not result in the loss of limited liability under Texas law of any Limited Partner or cause the Partnership to be treated as an association taxable as a corporation or otherwise to be taxed as an entity for federal income tax purposes (to the extent not already so treated or taxed), (iii) such transferee also agrees to purchase all (or the appropriate portion thereof, if applicable) of the partnership or membership interest of the General Partner as the general partner or managing member, if any, of each other Group Member. In the case of a transfer pursuant to and in compliance with this </w:t>
      </w:r>
      <w:r>
        <w:rPr>
          <w:rFonts w:ascii="Times New Roman" w:hAnsi="Times New Roman"/>
          <w:sz w:val="20"/>
          <w:u w:val="single"/>
        </w:rPr>
        <w:t>Section 4.6</w:t>
      </w:r>
      <w:r>
        <w:rPr>
          <w:rFonts w:ascii="Times New Roman" w:hAnsi="Times New Roman"/>
          <w:sz w:val="20"/>
        </w:rPr>
        <w:t xml:space="preserve">, the transferee or successor (as the case may be) shall, subject to compliance with the terms of </w:t>
      </w:r>
      <w:r>
        <w:rPr>
          <w:rFonts w:ascii="Times New Roman" w:hAnsi="Times New Roman"/>
          <w:sz w:val="20"/>
          <w:u w:val="single"/>
        </w:rPr>
        <w:t>Section 10.2</w:t>
      </w:r>
      <w:r>
        <w:rPr>
          <w:rFonts w:ascii="Times New Roman" w:hAnsi="Times New Roman"/>
          <w:sz w:val="20"/>
        </w:rPr>
        <w:t xml:space="preserve">, be admitted to the Partnership as the General Partner immediately prior to the transfer of the General Partner Interest, and the business of the Partnership shall continue without dissolution. </w:t>
      </w:r>
    </w:p>
    <w:p>
      <w:pPr>
        <w:pStyle w:val="TextBody"/>
        <w:bidi w:val="0"/>
        <w:spacing w:before="240" w:after="0"/>
        <w:jc w:val="left"/>
        <w:rPr>
          <w:rFonts w:ascii="Times New Roman" w:hAnsi="Times New Roman"/>
          <w:sz w:val="20"/>
        </w:rPr>
      </w:pPr>
      <w:r>
        <w:rPr>
          <w:rFonts w:ascii="Times New Roman" w:hAnsi="Times New Roman"/>
          <w:sz w:val="20"/>
        </w:rPr>
        <w:t xml:space="preserve">Section 4.7 </w:t>
      </w:r>
      <w:r>
        <w:rPr>
          <w:rFonts w:ascii="Times New Roman" w:hAnsi="Times New Roman"/>
          <w:sz w:val="20"/>
          <w:u w:val="single"/>
        </w:rPr>
        <w:t>Restrictions on Transfers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provided in </w:t>
      </w:r>
      <w:r>
        <w:rPr>
          <w:rFonts w:ascii="Times New Roman" w:hAnsi="Times New Roman"/>
          <w:sz w:val="20"/>
          <w:u w:val="single"/>
        </w:rPr>
        <w:t>Section 4.7(c)</w:t>
      </w:r>
      <w:r>
        <w:rPr>
          <w:rFonts w:ascii="Times New Roman" w:hAnsi="Times New Roman"/>
          <w:sz w:val="20"/>
        </w:rPr>
        <w:t xml:space="preserve"> below, but notwithstanding the other provisions of this </w:t>
      </w:r>
      <w:r>
        <w:rPr>
          <w:rFonts w:ascii="Times New Roman" w:hAnsi="Times New Roman"/>
          <w:sz w:val="20"/>
          <w:u w:val="single"/>
        </w:rPr>
        <w:t>Article IV</w:t>
      </w:r>
      <w:r>
        <w:rPr>
          <w:rFonts w:ascii="Times New Roman" w:hAnsi="Times New Roman"/>
          <w:sz w:val="20"/>
        </w:rPr>
        <w:t xml:space="preserve">, no transfer of any Partnership Interests shall be made if such transfer would (i) violate the then applicable federal or state securities laws or rules and regulations of the Commission, any state securities commission or any other governmental authority with jurisdiction over such transfer, (ii) terminate the existence or qualification of the Partnership under the laws of the jurisdiction of its formation, or (iii) cause the Partnership to be treated as an association taxable as a corporation or otherwise to be taxed as an entity for federal income tax purposes (to the extent not already so treated or taxed). </w:t>
      </w:r>
    </w:p>
    <w:p>
      <w:pPr>
        <w:pStyle w:val="TextBody"/>
        <w:bidi w:val="0"/>
        <w:spacing w:before="240" w:after="0"/>
        <w:jc w:val="left"/>
        <w:rPr>
          <w:rFonts w:ascii="Times New Roman" w:hAnsi="Times New Roman"/>
          <w:sz w:val="20"/>
        </w:rPr>
      </w:pPr>
      <w:r>
        <w:rPr>
          <w:rFonts w:ascii="Times New Roman" w:hAnsi="Times New Roman"/>
          <w:sz w:val="20"/>
        </w:rPr>
        <w:t xml:space="preserve">(b) The General Partner may impose restrictions on the transfer of Partnership Interests if it receives an Opinion of Counsel that such restrictions are necessary to avoid a significant risk of the Partnership becoming taxable as a corporation or otherwise becoming taxable as an entity for federal income tax purposes. The General Partner may impose such restrictions by amending this Agreement;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any amendment that would result in the delisting or suspension of trading of any class of Limited Partner Interests on the principal National Securities Exchange on which such class of Limited Partner Interests is then listed or admitted for trading must be approved, prior to such amendment being effected, by the holders of at least a majority of the Outstanding Limited Partner Interests of such class.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Nothing contained in this </w:t>
      </w:r>
      <w:r>
        <w:rPr>
          <w:rFonts w:ascii="Times New Roman" w:hAnsi="Times New Roman"/>
          <w:sz w:val="20"/>
          <w:u w:val="single"/>
        </w:rPr>
        <w:t>Article IV</w:t>
      </w:r>
      <w:r>
        <w:rPr>
          <w:rFonts w:ascii="Times New Roman" w:hAnsi="Times New Roman"/>
          <w:sz w:val="20"/>
        </w:rPr>
        <w:t xml:space="preserve">, or elsewhere in this Agreement, shall preclude the settlement of any transactions involving Partnership Interests entered into through the facilities of any National Securities Exchange on which such Partnership Interests are listed or admitted for trading. </w:t>
      </w:r>
    </w:p>
    <w:p>
      <w:pPr>
        <w:pStyle w:val="TextBody"/>
        <w:bidi w:val="0"/>
        <w:spacing w:before="240" w:after="0"/>
        <w:jc w:val="left"/>
        <w:rPr>
          <w:rFonts w:ascii="Times New Roman" w:hAnsi="Times New Roman"/>
          <w:sz w:val="20"/>
        </w:rPr>
      </w:pPr>
      <w:r>
        <w:rPr>
          <w:rFonts w:ascii="Times New Roman" w:hAnsi="Times New Roman"/>
          <w:sz w:val="20"/>
        </w:rPr>
        <w:t xml:space="preserve">(d) Each certificate evidencing Partnership Interests shall bear a conspicuous legend in substantially the following form: </w:t>
      </w:r>
    </w:p>
    <w:p>
      <w:pPr>
        <w:pStyle w:val="TextBody"/>
        <w:bidi w:val="0"/>
        <w:spacing w:before="240" w:after="0"/>
        <w:jc w:val="left"/>
        <w:rPr>
          <w:rFonts w:ascii="Times New Roman" w:hAnsi="Times New Roman"/>
          <w:sz w:val="20"/>
        </w:rPr>
      </w:pPr>
      <w:r>
        <w:rPr>
          <w:rFonts w:ascii="Times New Roman" w:hAnsi="Times New Roman"/>
          <w:sz w:val="20"/>
        </w:rPr>
        <w:t xml:space="preserve">THE HOLDER OF THIS SECURITY ACKNOWLEDGES FOR THE BENEFIT OF ENERGY TRANSFER LP THAT THIS SECURITY MAY NOT BE SOLD, OFFERED, RESOLD, PLEDGED OR OTHERWISE TRANSFERRED IF SUCH TRANSFER WOULD (A) VIOLATE THE THEN APPLICABLE FEDERAL OR STATE SECURITIES LAWS OR RULES AND REGULATIONS OF THE SECURITIES AND EXCHANGE COMMISSION, ANY STATE SECURITIES COMMISSION OR ANY OTHER GOVERNMENTAL AUTHORITY WITH JURISDICTION OVER SUCH TRANSFER, (B) TERMINATE THE EXISTENCE OR QUALIFICATION OF ENERGY TRANSFER LP UNDER THE LAWS OF THE STATE OF TEXAS, OR (C) CAUSE ENERGY TRANSFER LP TO BE TREATED AS AN ASSOCIATION TAXABLE AS A CORPORATION OR OTHERWISE TO BE TAXED AS AN ENTITY FOR FEDERAL INCOME TAX PURPOSES (TO THE EXTENT NOT ALREADY SO TREATED OR TAXED). LE GP, LLC, THE GENERAL PARTNER OF ENERGY TRANSFER LP, MAY IMPOSE ADDITIONAL RESTRICTIONS ON THE TRANSFER OF THIS SECURITY IF IT RECEIVES AN OPINION OF COUNSEL THAT SUCH RESTRICTIONS ARE NECESSARY TO AVOID A SIGNIFICANT RISK OF ENERGY TRANSFER LP BECOMING TAXABLE AS A CORPORATION OR OTHERWISE BECOMING TAXABLE AS AN ENTITY FOR FEDERAL INCOME TAX PURPOSES. THE RESTRICTIONS SET FORTH ABOVE SHALL NOT PRECLUDE THE SETTLEMENT OF ANY TRANSACTIONS INVOLVING THIS SECURITY ENTERED INTO THROUGH THE FACILITIES OF ANY NATIONAL SECURITIES EXCHANGE ON WHICH THIS SECURITY IS LISTED OR ADMITTED TO TRADING. </w:t>
      </w:r>
    </w:p>
    <w:p>
      <w:pPr>
        <w:pStyle w:val="TextBody"/>
        <w:bidi w:val="0"/>
        <w:spacing w:before="240" w:after="0"/>
        <w:jc w:val="left"/>
        <w:rPr>
          <w:rFonts w:ascii="Times New Roman" w:hAnsi="Times New Roman"/>
          <w:sz w:val="20"/>
        </w:rPr>
      </w:pPr>
      <w:r>
        <w:rPr>
          <w:rFonts w:ascii="Times New Roman" w:hAnsi="Times New Roman"/>
          <w:sz w:val="20"/>
        </w:rPr>
        <w:t xml:space="preserve">Section 4.8 </w:t>
      </w:r>
      <w:r>
        <w:rPr>
          <w:rFonts w:ascii="Times New Roman" w:hAnsi="Times New Roman"/>
          <w:sz w:val="20"/>
          <w:u w:val="single"/>
        </w:rPr>
        <w:t>Taxation Certifications; Ineligible Assignees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Following a FERC Notice, if a transferee of a Limited Partner Interest fails to furnish a properly completed Taxation Certification in the manner specified in </w:t>
      </w:r>
      <w:r>
        <w:rPr>
          <w:rFonts w:ascii="Times New Roman" w:hAnsi="Times New Roman"/>
          <w:sz w:val="20"/>
          <w:u w:val="single"/>
        </w:rPr>
        <w:t>Section 4.5(b)</w:t>
      </w:r>
      <w:r>
        <w:rPr>
          <w:rFonts w:ascii="Times New Roman" w:hAnsi="Times New Roman"/>
          <w:sz w:val="20"/>
        </w:rPr>
        <w:t xml:space="preserve"> or if, upon receipt of such Taxation Certification or otherwise, the General Partner determines that such transferee is not an Eligible Holder, the Limited Partner Interests owned by such transferee shall be subject to redemption in accordance with the provisions of </w:t>
      </w:r>
      <w:r>
        <w:rPr>
          <w:rFonts w:ascii="Times New Roman" w:hAnsi="Times New Roman"/>
          <w:sz w:val="20"/>
          <w:u w:val="single"/>
        </w:rPr>
        <w:t>Section 4.9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Following a FERC Notice, the General Partner may request any Limited Partner or Assignee to furnish to the General Partner, within 30 days after receipt of such request, an executed Taxation Certification or such other information concerning his federal income tax status with respect to the income and loss generated by the Partnership (or, if the Limited Partner or Assignee is a nominee holding for the account of another Person, the federal income tax status of such Person) as the General Partner may reasonably request. If a Limited Partner or Assignee fails to furnish to the General Partner within the aforementioned 30-day period such Taxation Certification or other requested information or if upon receipt of such Taxation Certification or other requested information the General Partner determines that a Limited Partner or Assignee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 an Eligible Holder, the Limited Partner Interests owned by such Limited Partner or Assignee shall be subject to redemption in accordance with the provisions of </w:t>
      </w:r>
      <w:r>
        <w:rPr>
          <w:rFonts w:ascii="Times New Roman" w:hAnsi="Times New Roman"/>
          <w:sz w:val="20"/>
          <w:u w:val="single"/>
        </w:rPr>
        <w:t>Section 4.9</w:t>
      </w:r>
      <w:r>
        <w:rPr>
          <w:rFonts w:ascii="Times New Roman" w:hAnsi="Times New Roman"/>
          <w:sz w:val="20"/>
        </w:rPr>
        <w:t xml:space="preserve">. In addition, the General Partner may require that the status of any such Limited Partner or Assignee be changed to that of an Ineligible Assignee and, thereupon, the General Partner shall be substituted for such Ineligible Assignee as the Limited Partner in respect of the Ineligible Assignee’s Limited Partner Interests. </w:t>
      </w:r>
    </w:p>
    <w:p>
      <w:pPr>
        <w:pStyle w:val="TextBody"/>
        <w:bidi w:val="0"/>
        <w:spacing w:before="240" w:after="0"/>
        <w:jc w:val="left"/>
        <w:rPr>
          <w:rFonts w:ascii="Times New Roman" w:hAnsi="Times New Roman"/>
          <w:sz w:val="20"/>
        </w:rPr>
      </w:pPr>
      <w:r>
        <w:rPr>
          <w:rFonts w:ascii="Times New Roman" w:hAnsi="Times New Roman"/>
          <w:sz w:val="20"/>
        </w:rPr>
        <w:t xml:space="preserve">(c) Following a FERC Notice, the General Partner shall, in exercising voting rights in respect of Limited Partner Interests held by it on behalf of Ineligible Assignees, distribute the votes in the same ratios as the votes of Partners (including without limitation the General Partner) in respect of Limited Partner Interests other than those of Ineligible Assignees are cast, either for, against or abstaining as to the matter. </w:t>
      </w:r>
    </w:p>
    <w:p>
      <w:pPr>
        <w:pStyle w:val="TextBody"/>
        <w:bidi w:val="0"/>
        <w:spacing w:before="240" w:after="0"/>
        <w:jc w:val="left"/>
        <w:rPr>
          <w:rFonts w:ascii="Times New Roman" w:hAnsi="Times New Roman"/>
          <w:sz w:val="20"/>
        </w:rPr>
      </w:pPr>
      <w:r>
        <w:rPr>
          <w:rFonts w:ascii="Times New Roman" w:hAnsi="Times New Roman"/>
          <w:sz w:val="20"/>
        </w:rPr>
        <w:t xml:space="preserve">(d) Upon dissolution of the Partnership, an Ineligible Assignee shall have no right to receive a distribution in kind pursuant to </w:t>
      </w:r>
      <w:r>
        <w:rPr>
          <w:rFonts w:ascii="Times New Roman" w:hAnsi="Times New Roman"/>
          <w:sz w:val="20"/>
          <w:u w:val="single"/>
        </w:rPr>
        <w:t>Section 12.4</w:t>
      </w:r>
      <w:r>
        <w:rPr>
          <w:rFonts w:ascii="Times New Roman" w:hAnsi="Times New Roman"/>
          <w:sz w:val="20"/>
        </w:rPr>
        <w:t xml:space="preserve"> but shall be entitled to the cash equivalent thereof, and the Partnership shall provide cash in exchange for an assignment of the Ineligible Assignee’s share of any distribution in kind. Such payment and assignment shall be treated for Partnership purposes as a purchase by the Partnership from the Ineligible Assignee of his Limited Partner Interest (representing his right to receive his share of such distribution in kind). </w:t>
      </w:r>
    </w:p>
    <w:p>
      <w:pPr>
        <w:pStyle w:val="TextBody"/>
        <w:bidi w:val="0"/>
        <w:spacing w:before="240" w:after="0"/>
        <w:jc w:val="left"/>
        <w:rPr>
          <w:rFonts w:ascii="Times New Roman" w:hAnsi="Times New Roman"/>
          <w:sz w:val="20"/>
        </w:rPr>
      </w:pPr>
      <w:r>
        <w:rPr>
          <w:rFonts w:ascii="Times New Roman" w:hAnsi="Times New Roman"/>
          <w:sz w:val="20"/>
        </w:rPr>
        <w:t xml:space="preserve">(e) At any time after an Ineligible Assignee can and does certify that it has become an Eligible Holder, such Ineligible Assignee may, upon application to the General Partner, request admission as a Substituted Limited Partner with respect to any Limited Partner Interests of such Ineligible Assignee not redeemed pursuant to </w:t>
      </w:r>
      <w:r>
        <w:rPr>
          <w:rFonts w:ascii="Times New Roman" w:hAnsi="Times New Roman"/>
          <w:sz w:val="20"/>
          <w:u w:val="single"/>
        </w:rPr>
        <w:t>Section 4.9</w:t>
      </w:r>
      <w:r>
        <w:rPr>
          <w:rFonts w:ascii="Times New Roman" w:hAnsi="Times New Roman"/>
          <w:sz w:val="20"/>
        </w:rPr>
        <w:t xml:space="preserve">, such Ineligible Assignee be admitted as a Limited Partner, and upon admission of such Ineligible Assignee pursuant to </w:t>
      </w:r>
      <w:r>
        <w:rPr>
          <w:rFonts w:ascii="Times New Roman" w:hAnsi="Times New Roman"/>
          <w:sz w:val="20"/>
          <w:u w:val="single"/>
        </w:rPr>
        <w:t>Section 10.2</w:t>
      </w:r>
      <w:r>
        <w:rPr>
          <w:rFonts w:ascii="Times New Roman" w:hAnsi="Times New Roman"/>
          <w:sz w:val="20"/>
        </w:rPr>
        <w:t xml:space="preserve"> the General Partner shall cease to be deemed to be the Limited Partner in respect of such Ineligible Assignee’s Limited Partner Interests. </w:t>
      </w:r>
    </w:p>
    <w:p>
      <w:pPr>
        <w:pStyle w:val="TextBody"/>
        <w:bidi w:val="0"/>
        <w:spacing w:before="240" w:after="0"/>
        <w:jc w:val="left"/>
        <w:rPr>
          <w:rFonts w:ascii="Times New Roman" w:hAnsi="Times New Roman"/>
          <w:sz w:val="20"/>
        </w:rPr>
      </w:pPr>
      <w:r>
        <w:rPr>
          <w:rFonts w:ascii="Times New Roman" w:hAnsi="Times New Roman"/>
          <w:sz w:val="20"/>
        </w:rPr>
        <w:t xml:space="preserve">Section 4.9 </w:t>
      </w:r>
      <w:r>
        <w:rPr>
          <w:rFonts w:ascii="Times New Roman" w:hAnsi="Times New Roman"/>
          <w:sz w:val="20"/>
          <w:u w:val="single"/>
        </w:rPr>
        <w:t>Redemption of Partnership Interests of Ineligible Assignees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at any time following a FERC Notice, the General Partner determines that Limited Partners, Assignees and transferees of Limited Partner Interests that are not Eligible Holders own, in the aggregate, 15% or more of the Outstanding Units, the Partnership may redeem the Limited Partner Interest of any Limited Partner, Assignee or transferee of any Limited Partner, Assignee or transferee that has failed to furnish to the General Partner a Transfer Application and accompanying Taxation Certification pursuant to </w:t>
      </w:r>
      <w:r>
        <w:rPr>
          <w:rFonts w:ascii="Times New Roman" w:hAnsi="Times New Roman"/>
          <w:sz w:val="20"/>
          <w:u w:val="single"/>
        </w:rPr>
        <w:t>Section 4.5(b)</w:t>
      </w:r>
      <w:r>
        <w:rPr>
          <w:rFonts w:ascii="Times New Roman" w:hAnsi="Times New Roman"/>
          <w:sz w:val="20"/>
        </w:rPr>
        <w:t xml:space="preserve"> or that has failed to furnish to the General Partner a Taxation Certification or other information requested within the 30-day period specified in </w:t>
      </w:r>
      <w:r>
        <w:rPr>
          <w:rFonts w:ascii="Times New Roman" w:hAnsi="Times New Roman"/>
          <w:sz w:val="20"/>
          <w:u w:val="single"/>
        </w:rPr>
        <w:t>Section 4.8(b)</w:t>
      </w:r>
      <w:r>
        <w:rPr>
          <w:rFonts w:ascii="Times New Roman" w:hAnsi="Times New Roman"/>
          <w:sz w:val="20"/>
        </w:rPr>
        <w:t xml:space="preserve">, or if upon receipt of such Taxation Certification or other information the General Partner determines, with the advice of counsel, that a Limited Partner, Assignee or transferee is not an Eligible Holder, in accordance with the following procedures: </w:t>
      </w:r>
    </w:p>
    <w:p>
      <w:pPr>
        <w:pStyle w:val="TextBody"/>
        <w:bidi w:val="0"/>
        <w:spacing w:before="120" w:after="0"/>
        <w:jc w:val="left"/>
        <w:rPr>
          <w:rFonts w:ascii="Times New Roman" w:hAnsi="Times New Roman"/>
          <w:sz w:val="20"/>
        </w:rPr>
      </w:pPr>
      <w:r>
        <w:rPr>
          <w:rFonts w:ascii="Times New Roman" w:hAnsi="Times New Roman"/>
          <w:sz w:val="20"/>
        </w:rPr>
        <w:t xml:space="preserve">(i) The General Partner shall, not later than the 30th day before the date fixed for redemption, give notice of redemption to the Limited Partner, Assignee or transferee, at his last address designated on the records of the Partnership or the Transfer Agent, by registered or certified mail, postage prepaid. The notice shall be deemed to have been given when so mailed. The notice shall specify the Redeemable Interests, the date fixed for redemption, the place of payment, and that payment of the redemption price will be made upon surrender of the Certificate evidencing the Redeemable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aggregate redemption price for Redeemable Interests of a Limited Partner, Assignee or transferee shall be an amount equal to the Current Market Price (the date of determination of which shall be the date fixed for redemption) of Limited Partner Interests of the class to be so redeemed multiplied by the number of Limited Partner Interests of each such class included among the Redeemable Interests owned by such Limited Partner, Assignee or transferee. The redemption price shall be paid as determined by the General Partner, in cash or by delivery of a promissory note of the Partnership in the principal amount of the redemption price, bearing interest at the rate of 5% annually and payable in three equal annual installments of principal together with accrued interest, commencing one year after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(iii) Upon surrender by or on behalf of the Limited Partner, Assignee or transferee, at the place specified in the notice of redemption, of the Certificate evidencing the Redeemable Interests, duly endorsed in blank or accompanied by an assignment duly executed in blank, the Limited Partner, Assignee or transferee, or his duly authorized representative shall be entitled to receive the payment therefor. </w:t>
      </w:r>
    </w:p>
    <w:p>
      <w:pPr>
        <w:pStyle w:val="TextBody"/>
        <w:bidi w:val="0"/>
        <w:spacing w:before="120" w:after="0"/>
        <w:jc w:val="left"/>
        <w:rPr>
          <w:rFonts w:ascii="Times New Roman" w:hAnsi="Times New Roman"/>
          <w:sz w:val="20"/>
        </w:rPr>
      </w:pPr>
      <w:r>
        <w:rPr>
          <w:rFonts w:ascii="Times New Roman" w:hAnsi="Times New Roman"/>
          <w:sz w:val="20"/>
        </w:rPr>
        <w:t xml:space="preserve">(iv) After the redemption date, Redeemable Interests shall no longer constitute issued and Outstanding Limited Partner Interests. </w:t>
      </w:r>
    </w:p>
    <w:p>
      <w:pPr>
        <w:pStyle w:val="TextBody"/>
        <w:bidi w:val="0"/>
        <w:spacing w:before="240" w:after="0"/>
        <w:jc w:val="left"/>
        <w:rPr>
          <w:rFonts w:ascii="Times New Roman" w:hAnsi="Times New Roman"/>
          <w:sz w:val="20"/>
        </w:rPr>
      </w:pPr>
      <w:r>
        <w:rPr>
          <w:rFonts w:ascii="Times New Roman" w:hAnsi="Times New Roman"/>
          <w:sz w:val="20"/>
        </w:rPr>
        <w:t xml:space="preserve">(b) The provisions of this </w:t>
      </w:r>
      <w:r>
        <w:rPr>
          <w:rFonts w:ascii="Times New Roman" w:hAnsi="Times New Roman"/>
          <w:sz w:val="20"/>
          <w:u w:val="single"/>
        </w:rPr>
        <w:t>Section 4.9</w:t>
      </w:r>
      <w:r>
        <w:rPr>
          <w:rFonts w:ascii="Times New Roman" w:hAnsi="Times New Roman"/>
          <w:sz w:val="20"/>
        </w:rPr>
        <w:t xml:space="preserve"> shall also be applicable to Limited Partner Interests held by a Limited Partner or Assignee as nominee of a Person determined to be other than an Eligible Holder. </w:t>
      </w:r>
    </w:p>
    <w:p>
      <w:pPr>
        <w:pStyle w:val="TextBody"/>
        <w:bidi w:val="0"/>
        <w:spacing w:before="240" w:after="0"/>
        <w:jc w:val="left"/>
        <w:rPr>
          <w:rFonts w:ascii="Times New Roman" w:hAnsi="Times New Roman"/>
          <w:sz w:val="20"/>
        </w:rPr>
      </w:pPr>
      <w:r>
        <w:rPr>
          <w:rFonts w:ascii="Times New Roman" w:hAnsi="Times New Roman"/>
          <w:sz w:val="20"/>
        </w:rPr>
        <w:t xml:space="preserve">(c) Nothing in this </w:t>
      </w:r>
      <w:r>
        <w:rPr>
          <w:rFonts w:ascii="Times New Roman" w:hAnsi="Times New Roman"/>
          <w:sz w:val="20"/>
          <w:u w:val="single"/>
        </w:rPr>
        <w:t>Section 4.9</w:t>
      </w:r>
      <w:r>
        <w:rPr>
          <w:rFonts w:ascii="Times New Roman" w:hAnsi="Times New Roman"/>
          <w:sz w:val="20"/>
        </w:rPr>
        <w:t xml:space="preserve"> shall prevent the recipient of a notice of redemption from transferring his Limited Partner Interest before the redemption date if such transfer is otherwise permitted under this Agreement. Upon receipt of notice of such a transfer, the General Partner shall withdraw the notice of redemption, provided the transferee of such Limited Partner Interest certifies to the satisfaction of the General Partner in a Taxation Certification that he is an Eligible Holder. If the transferee fails to make such certification, such redemption shall be effected from the transferee on the original redemption date.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CAPITAL CONTRIBUTIONS AND ISSUANCE OF PARTNERSHIP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Prior Contributions</w:t>
      </w:r>
      <w:r>
        <w:rPr>
          <w:rFonts w:ascii="Times New Roman" w:hAnsi="Times New Roman"/>
          <w:sz w:val="20"/>
        </w:rPr>
        <w:t xml:space="preserve">. Prior to the date hereof, the General Partner made certain Capital Contributions to the Partnership in exchange for an interest in the Partnership and has been admitted as the General Partner of the Partnership, and the Initial Limited Partners made certain Capital Contributions to the Partnership in exchange for an interest in the Partnership and have been admitted as Limited Partners of the Partnership.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Continuation of General Partner and Limited Partner Interests; Initial Offering; Contributions by the General Partner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Upon the Effective Time, the General Partner Interest (represented by General Partner Units) of the General Partner shall be continued, subject to all of the rights, privileges and duties of the General Partner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Upon the Effective Time, the Limited Partner Interests of the Initial Limited Partners shall be converted into the number of Common Units specified for each Initial Limited Partner in </w:t>
      </w:r>
      <w:r>
        <w:rPr>
          <w:rFonts w:ascii="Times New Roman" w:hAnsi="Times New Roman"/>
          <w:sz w:val="20"/>
          <w:u w:val="single"/>
        </w:rPr>
        <w:t>Exhibit B</w:t>
      </w:r>
      <w:r>
        <w:rPr>
          <w:rFonts w:ascii="Times New Roman" w:hAnsi="Times New Roman"/>
          <w:sz w:val="20"/>
        </w:rPr>
        <w:t xml:space="preserve"> hereto, and such Limited Partner Interests shall be continued. </w:t>
      </w:r>
    </w:p>
    <w:p>
      <w:pPr>
        <w:pStyle w:val="TextBody"/>
        <w:bidi w:val="0"/>
        <w:spacing w:before="240" w:after="0"/>
        <w:jc w:val="left"/>
        <w:rPr>
          <w:rFonts w:ascii="Times New Roman" w:hAnsi="Times New Roman"/>
          <w:sz w:val="20"/>
        </w:rPr>
      </w:pPr>
      <w:r>
        <w:rPr>
          <w:rFonts w:ascii="Times New Roman" w:hAnsi="Times New Roman"/>
          <w:sz w:val="20"/>
        </w:rPr>
        <w:t xml:space="preserve">(c) Upon the issuance of any additional Limited Partner Interests by the Partnership, the General Partner may make, but is not obligated to make, additional Capital Contributions equal to its percentage interest (the quotient determined by dividing such General Partner’s Percentage Interest by the sum of 100 less such General Partner’s Percentage Interest) of any amount contributed to the Partnership by the Limited Partners in exchange for such additional Limited Partner Interests. Notwithstanding the preceding sentence and except as set forth in </w:t>
      </w:r>
      <w:r>
        <w:rPr>
          <w:rFonts w:ascii="Times New Roman" w:hAnsi="Times New Roman"/>
          <w:sz w:val="20"/>
          <w:u w:val="single"/>
        </w:rPr>
        <w:t>Article XII</w:t>
      </w:r>
      <w:r>
        <w:rPr>
          <w:rFonts w:ascii="Times New Roman" w:hAnsi="Times New Roman"/>
          <w:sz w:val="20"/>
        </w:rPr>
        <w:t xml:space="preserve">, the General Partner shall not be obligated to make any additional Capital Contributions to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Contributions by the Underwriters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On the Closing Date and pursuant to the Underwriting Agreement, each Underwriter contributed to the Partnership cash in an amount equal to the Issue Price per Initial Common Unit multiplied by the number of Common Units specified in the Underwriting Agreement purchased by such Underwriter at the Closing Date. In exchange for such Capital Contributions by the Underwriters, the Partnership shall issue Common Units to each Underwriter on whose behalf such Capital Contribution is made in an amount equal to the quotient obtained by dividing (i) the cash contribution to the Partnership by or on behalf of such Underwriter by (ii) the Issue Price per Initial Common Unit. </w:t>
      </w:r>
    </w:p>
    <w:p>
      <w:pPr>
        <w:pStyle w:val="TextBody"/>
        <w:bidi w:val="0"/>
        <w:spacing w:before="240" w:after="0"/>
        <w:jc w:val="left"/>
        <w:rPr>
          <w:rFonts w:ascii="Times New Roman" w:hAnsi="Times New Roman"/>
          <w:sz w:val="20"/>
        </w:rPr>
      </w:pPr>
      <w:r>
        <w:rPr>
          <w:rFonts w:ascii="Times New Roman" w:hAnsi="Times New Roman"/>
          <w:sz w:val="20"/>
        </w:rPr>
        <w:t xml:space="preserve">(b) Upon the exercise of the Over-Allotment Option, each Underwriter shall contribute to the Partnership cash in an amount equal to the Issue Price per Initial Common Unit, multiplied by the number of Common Units to be purchased by such Underwriter at the Option Closing Date. In exchange for such Capital Contributions by the Underwriters, the Partnership shall issue Common Units to each Underwriter on whose behalf such Capital Contribution is made in an amount equal to the quotient obtained by dividing (i) the cash contributions to the Partnership by or on behalf of such Underwriter by (ii) the Issue Price per Initial Common Unit. </w:t>
      </w:r>
    </w:p>
    <w:p>
      <w:pPr>
        <w:pStyle w:val="TextBody"/>
        <w:bidi w:val="0"/>
        <w:spacing w:before="240" w:after="0"/>
        <w:jc w:val="left"/>
        <w:rPr>
          <w:rFonts w:ascii="Times New Roman" w:hAnsi="Times New Roman"/>
          <w:sz w:val="20"/>
        </w:rPr>
      </w:pPr>
      <w:r>
        <w:rPr>
          <w:rFonts w:ascii="Times New Roman" w:hAnsi="Times New Roman"/>
          <w:sz w:val="20"/>
        </w:rPr>
        <w:t xml:space="preserve">(c) Except as provided in </w:t>
      </w:r>
      <w:r>
        <w:rPr>
          <w:rFonts w:ascii="Times New Roman" w:hAnsi="Times New Roman"/>
          <w:sz w:val="20"/>
          <w:u w:val="single"/>
        </w:rPr>
        <w:t>Section 5.1</w:t>
      </w:r>
      <w:r>
        <w:rPr>
          <w:rFonts w:ascii="Times New Roman" w:hAnsi="Times New Roman"/>
          <w:sz w:val="20"/>
        </w:rPr>
        <w:t>, no Limited Partner Interests were issued or issuable as of or at the Closing Date other than (i) the Common Units issuable pursuant to subparagraph (a) hereof in aggregate number equal to 21,000,000 Units and (ii) the “</w:t>
      </w:r>
      <w:r>
        <w:rPr>
          <w:rFonts w:ascii="Times New Roman" w:hAnsi="Times New Roman"/>
          <w:i/>
          <w:sz w:val="20"/>
        </w:rPr>
        <w:t>Option Units</w:t>
      </w:r>
      <w:r>
        <w:rPr>
          <w:rFonts w:ascii="Times New Roman" w:hAnsi="Times New Roman"/>
          <w:sz w:val="20"/>
        </w:rPr>
        <w:t xml:space="preserve">” as such term is used in the Underwriting Agreement issuable upon exercise of the Over-Allotment Option pursuant to subparagraph (b) hereof in an aggregate number of up to 3,150,000 additional Units, and (iii) the Common Units issued to the Initial Limited Partners in an aggregate number of up to 112,983,557.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Interest and Withdrawal</w:t>
      </w:r>
      <w:r>
        <w:rPr>
          <w:rFonts w:ascii="Times New Roman" w:hAnsi="Times New Roman"/>
          <w:sz w:val="20"/>
        </w:rPr>
        <w:t xml:space="preserve">. No interest on Capital Contributions shall be paid by the Partnership. No Partner or Assignee, including any Partner deemed to withdraw under </w:t>
      </w:r>
      <w:r>
        <w:rPr>
          <w:rFonts w:ascii="Times New Roman" w:hAnsi="Times New Roman"/>
          <w:sz w:val="20"/>
          <w:u w:val="single"/>
        </w:rPr>
        <w:t>Section 11.4</w:t>
      </w:r>
      <w:r>
        <w:rPr>
          <w:rFonts w:ascii="Times New Roman" w:hAnsi="Times New Roman"/>
          <w:sz w:val="20"/>
        </w:rPr>
        <w:t xml:space="preserve">, shall be entitled to the withdrawal or return of its Capital Contribution, except to the extent, if any, that distributions made pursuant to this Agreement or upon termination of the Partnership may be considered as such by law and then only to the extent provided for in this Agreement. Except to the extent expressly provided in this Agreement, no Partner or Assignee shall have priority over any other Partner or Assignee either as to the return of Capital Contributions or as to profits, losses or distributions. Any such return shall be a compromise to which all Partners or Assignees agree within the meaning of Section 153.203 of the Texas Limited Partnership Law.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Capital Accounts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Partnership shall maintain for each Partner (or a beneficial owner of Partnership Interests held by a nominee in any case in which the nominee has furnished the identity of such owner to the Partnership in accordance with Section 6031(c) of the Code or any other method acceptable to the General Partner) owning a Partnership Interest a separate Capital Account with respect to such Partnership Interest (other than a Class A Unit) in accordance with the rules of Treasury Regulation Section 1.704-1(b)(2)(iv). Such Capital Account shall be increased by (i) the amount of all Capital Contributions made to the Partnership with respect to such Partnership Interest and (ii) all items of Partnership income and gain (including, without limitation, income and gain exempt from tax) computed in accordance with </w:t>
      </w:r>
      <w:r>
        <w:rPr>
          <w:rFonts w:ascii="Times New Roman" w:hAnsi="Times New Roman"/>
          <w:sz w:val="20"/>
          <w:u w:val="single"/>
        </w:rPr>
        <w:t>Section 5.5(b)</w:t>
      </w:r>
      <w:r>
        <w:rPr>
          <w:rFonts w:ascii="Times New Roman" w:hAnsi="Times New Roman"/>
          <w:sz w:val="20"/>
        </w:rPr>
        <w:t xml:space="preserve"> and allocated with respect to such Partnership Interest pursuant to </w:t>
      </w:r>
      <w:r>
        <w:rPr>
          <w:rFonts w:ascii="Times New Roman" w:hAnsi="Times New Roman"/>
          <w:sz w:val="20"/>
          <w:u w:val="single"/>
        </w:rPr>
        <w:t>Section 6.1</w:t>
      </w:r>
      <w:r>
        <w:rPr>
          <w:rFonts w:ascii="Times New Roman" w:hAnsi="Times New Roman"/>
          <w:sz w:val="20"/>
        </w:rPr>
        <w:t>, and decreased by (x) the amount of cash or Net Agreed Value of all actual and deemed distributions of cash or property made with respect to such Partnership Interest (</w:t>
      </w:r>
      <w:r>
        <w:rPr>
          <w:rFonts w:ascii="Times New Roman" w:hAnsi="Times New Roman"/>
          <w:sz w:val="20"/>
          <w:u w:val="single"/>
        </w:rPr>
        <w:t xml:space="preserve">provided </w:t>
      </w:r>
      <w:r>
        <w:rPr>
          <w:rFonts w:ascii="Times New Roman" w:hAnsi="Times New Roman"/>
          <w:sz w:val="20"/>
        </w:rPr>
        <w:t xml:space="preserve">that the Capital Account of a Series B Holder, a Series G Holder or a Series H Holder shall not be reduced by any Series B Distributions, Series G Distributions or Series H Distributions it receives) and (y) all items of Partnership deduction and loss computed in accordance with </w:t>
      </w:r>
      <w:r>
        <w:rPr>
          <w:rFonts w:ascii="Times New Roman" w:hAnsi="Times New Roman"/>
          <w:sz w:val="20"/>
          <w:u w:val="single"/>
        </w:rPr>
        <w:t>Section 5.5(b)</w:t>
      </w:r>
      <w:r>
        <w:rPr>
          <w:rFonts w:ascii="Times New Roman" w:hAnsi="Times New Roman"/>
          <w:sz w:val="20"/>
        </w:rPr>
        <w:t xml:space="preserve"> and allocated with respect to such Partnership Interest pursuant to </w:t>
      </w:r>
      <w:r>
        <w:rPr>
          <w:rFonts w:ascii="Times New Roman" w:hAnsi="Times New Roman"/>
          <w:sz w:val="20"/>
          <w:u w:val="single"/>
        </w:rPr>
        <w:t>Section 6.1</w:t>
      </w:r>
      <w:r>
        <w:rPr>
          <w:rFonts w:ascii="Times New Roman" w:hAnsi="Times New Roman"/>
          <w:sz w:val="20"/>
        </w:rPr>
        <w:t xml:space="preserve">. On the Effective Date, the Capital Account balance with respect to each Unit outstanding immediately prior to the Effective Date shall be equal to the Capital Account balance with respect to such Unit immediately prior to the Effective Date. The initial Capital Account balance in respect of each Series I Holder’s Series I Preferred Units on the Series I Original Issue Date is equal to such Series I Holder’s Capital Account balance with respect to its preferred units in Crestwood Equity Partners LP immediately prior to the Energy Transfer Merger. The initial Capital Account balance in respect of the Class B Units held by each of IPCH and Crestwood Partners immediately following the closing of the Energy Transfer Merger is equal to IPCH’s and Crestwood Partners’ respective capital account balance with respect to its Class A Units (as defined in the limited partnership agreement of Crestwood Equity Partners LP) immediately prior to the Energy Transfer Merger. In connection with the foregoing, the Partnership shall adopt the methodology set forth in the noncompensatory option regulations under Treasury Regulation Sections 1.704-1 and 1.721-2 with respect to the issuance and conversion of Series I Preferred Units, unless otherwise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For purposes of computing the amount of any item of income, gain, loss or deduction which is to be allocated pursuant to </w:t>
      </w:r>
      <w:r>
        <w:rPr>
          <w:rFonts w:ascii="Times New Roman" w:hAnsi="Times New Roman"/>
          <w:sz w:val="20"/>
          <w:u w:val="single"/>
        </w:rPr>
        <w:t>Article VI</w:t>
      </w:r>
      <w:r>
        <w:rPr>
          <w:rFonts w:ascii="Times New Roman" w:hAnsi="Times New Roman"/>
          <w:sz w:val="20"/>
        </w:rPr>
        <w:t xml:space="preserve"> and is to be reflected in the Partners’ Capital Accounts, the determination, recognition and classification of any such item shall be the same as its determination, recognition and classification for federal income tax purposes (including, without limitation, any method of depreciation, cost recovery or amortization used for that purpose),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w:t>
      </w:r>
    </w:p>
    <w:p>
      <w:pPr>
        <w:pStyle w:val="TextBody"/>
        <w:bidi w:val="0"/>
        <w:spacing w:before="120" w:after="0"/>
        <w:jc w:val="left"/>
        <w:rPr>
          <w:rFonts w:ascii="Times New Roman" w:hAnsi="Times New Roman"/>
          <w:sz w:val="20"/>
        </w:rPr>
      </w:pPr>
      <w:r>
        <w:rPr>
          <w:rFonts w:ascii="Times New Roman" w:hAnsi="Times New Roman"/>
          <w:sz w:val="20"/>
        </w:rPr>
        <w:t xml:space="preserve">(i) All fees and other expenses incurred by the Partnership to promote the sale of (or to sell) a Partnership Interest that can neither be deducted nor amortized under Section 709 of the Code, if any, shall, for purposes of Capital Account maintenance, be treated as an item of deduction at the time such fees and other expenses are incurred and shall be allocated among the Partners pursuant to </w:t>
      </w:r>
      <w:r>
        <w:rPr>
          <w:rFonts w:ascii="Times New Roman" w:hAnsi="Times New Roman"/>
          <w:sz w:val="20"/>
          <w:u w:val="single"/>
        </w:rPr>
        <w:t>Section 6.1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Except as otherwise provided in Treasury Regulation Section 1.704-1(b)(2)(iv)(m), the computation of all items of income, gain, loss and deduction shall be made without regard to any election under Section 754 of the Code which may be made by the Partnership and, as to those items described in Section 705(a)(1)(B) or 705(a)(2)(B) of the Code, without regard to the fact that such items are not includable in gross income or are neither currently deductible nor capitalized for federal income tax purposes. To the extent an adjustment to the adjusted tax basis of any Partnership asset pursuant to Section 734(b) or 743(b) of the Code is required, pursuant to Treasury Regulation Section 1.704-1(b)(2)(iv)(m), to be taken into account in determining Capital Accounts, the amount of such adjustment in the Capital Accounts shall be treated as an item of gain or loss. </w:t>
      </w:r>
    </w:p>
    <w:p>
      <w:pPr>
        <w:pStyle w:val="TextBody"/>
        <w:bidi w:val="0"/>
        <w:spacing w:before="120" w:after="0"/>
        <w:jc w:val="left"/>
        <w:rPr>
          <w:rFonts w:ascii="Times New Roman" w:hAnsi="Times New Roman"/>
          <w:sz w:val="20"/>
        </w:rPr>
      </w:pPr>
      <w:r>
        <w:rPr>
          <w:rFonts w:ascii="Times New Roman" w:hAnsi="Times New Roman"/>
          <w:sz w:val="20"/>
        </w:rPr>
        <w:t xml:space="preserve">(iii) Any income, gain, loss or deduction attributable to the taxable disposition of any Partnership property shall be determined as if the adjusted basis of such property as of such date of disposition were equal in amount to the Partnership’s Carrying Value with respect to such property as of such date. </w:t>
      </w:r>
    </w:p>
    <w:p>
      <w:pPr>
        <w:pStyle w:val="TextBody"/>
        <w:bidi w:val="0"/>
        <w:spacing w:before="120" w:after="0"/>
        <w:jc w:val="left"/>
        <w:rPr>
          <w:rFonts w:ascii="Times New Roman" w:hAnsi="Times New Roman"/>
          <w:sz w:val="20"/>
        </w:rPr>
      </w:pPr>
      <w:r>
        <w:rPr>
          <w:rFonts w:ascii="Times New Roman" w:hAnsi="Times New Roman"/>
          <w:sz w:val="20"/>
        </w:rPr>
        <w:t xml:space="preserve">(iv) In accordance with the requirements of Section 704(b) of the Code, any deductions for depreciation, cost recovery or amortization attributable to any Contributed Property shall be determined as if the adjusted basis of such property on the date it was acquired by the Partnership were equal to the Agreed Value of such property. Upon an adjustment pursuant to </w:t>
      </w:r>
      <w:r>
        <w:rPr>
          <w:rFonts w:ascii="Times New Roman" w:hAnsi="Times New Roman"/>
          <w:sz w:val="20"/>
          <w:u w:val="single"/>
        </w:rPr>
        <w:t>Section 5.5(d)</w:t>
      </w:r>
      <w:r>
        <w:rPr>
          <w:rFonts w:ascii="Times New Roman" w:hAnsi="Times New Roman"/>
          <w:sz w:val="20"/>
        </w:rPr>
        <w:t xml:space="preserve"> to the Carrying Value of any Partnership property subject to depreciation, cost recovery or amortization, any further deductions for such depreciation, cost recovery or amortization attributable to such property shall be determined as if the adjusted basis of such property were equal to the Carrying Value of such property immediately following such adjustment. </w:t>
      </w:r>
    </w:p>
    <w:p>
      <w:pPr>
        <w:pStyle w:val="TextBody"/>
        <w:bidi w:val="0"/>
        <w:spacing w:before="120" w:after="0"/>
        <w:jc w:val="left"/>
        <w:rPr>
          <w:rFonts w:ascii="Times New Roman" w:hAnsi="Times New Roman"/>
          <w:sz w:val="20"/>
        </w:rPr>
      </w:pPr>
      <w:r>
        <w:rPr>
          <w:rFonts w:ascii="Times New Roman" w:hAnsi="Times New Roman"/>
          <w:sz w:val="20"/>
        </w:rPr>
        <w:t xml:space="preserve">(v) If the Partnership’s adjusted basis in a depreciable or cost recovery property is reduced for federal income tax purposes pursuant to Section 48(q)(1) or 48(q)(3) of the Code, the amount of such reduction shall, solely for purposes hereof, be deemed to be an additional depreciation or cost recovery deduction in the year such property is placed in service and shall be allocated among the Partners pursuant to </w:t>
      </w:r>
      <w:r>
        <w:rPr>
          <w:rFonts w:ascii="Times New Roman" w:hAnsi="Times New Roman"/>
          <w:sz w:val="20"/>
          <w:u w:val="single"/>
        </w:rPr>
        <w:t>Section 6.1</w:t>
      </w:r>
      <w:r>
        <w:rPr>
          <w:rFonts w:ascii="Times New Roman" w:hAnsi="Times New Roman"/>
          <w:sz w:val="20"/>
        </w:rPr>
        <w:t xml:space="preserve">. Any restoration of such basis pursuant to Section 48(q)(2) of the Code shall, to the extent possible, be allocated in the same manner to the Partners to whom such deemed deduction was allocated. </w:t>
      </w:r>
    </w:p>
    <w:p>
      <w:pPr>
        <w:pStyle w:val="TextBody"/>
        <w:bidi w:val="0"/>
        <w:spacing w:before="240" w:after="0"/>
        <w:jc w:val="left"/>
        <w:rPr>
          <w:rFonts w:ascii="Times New Roman" w:hAnsi="Times New Roman"/>
          <w:sz w:val="20"/>
        </w:rPr>
      </w:pPr>
      <w:r>
        <w:rPr>
          <w:rFonts w:ascii="Times New Roman" w:hAnsi="Times New Roman"/>
          <w:sz w:val="20"/>
        </w:rPr>
        <w:t xml:space="preserve">(c) A transferee of a Partnership Interest shall succeed to a pro rata portion of the Capital Account of the transferor relating to the Partnership Interest so transferred.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p>
    <w:p>
      <w:pPr>
        <w:pStyle w:val="TextBody"/>
        <w:bidi w:val="0"/>
        <w:spacing w:before="120" w:after="0"/>
        <w:jc w:val="left"/>
        <w:rPr>
          <w:rFonts w:ascii="Times New Roman" w:hAnsi="Times New Roman"/>
          <w:sz w:val="20"/>
        </w:rPr>
      </w:pPr>
      <w:r>
        <w:rPr>
          <w:rFonts w:ascii="Times New Roman" w:hAnsi="Times New Roman"/>
          <w:sz w:val="20"/>
        </w:rPr>
        <w:t xml:space="preserve">(i) Consistent with Treasury Regulation Sections 1.704-1(b)(2)(iv)(f) and 1.704-1(b)(2)(h)(2), on an issuance of additional Partnership Interests for cash or Contributed Property, the issuance of Partnership Interests as consideration for the provision of services or the conversion of the Combined Interest to Common Units pursuant to </w:t>
      </w:r>
      <w:r>
        <w:rPr>
          <w:rFonts w:ascii="Times New Roman" w:hAnsi="Times New Roman"/>
          <w:sz w:val="20"/>
          <w:u w:val="single"/>
        </w:rPr>
        <w:t>Section 11.3(b)</w:t>
      </w:r>
      <w:r>
        <w:rPr>
          <w:rFonts w:ascii="Times New Roman" w:hAnsi="Times New Roman"/>
          <w:sz w:val="20"/>
        </w:rPr>
        <w:t xml:space="preserve">, the Carrying Value of each Partnership property immediately prior to such issuance shall be adjusted upward or downward to reflect any Unrealized Gain or Unrealized Loss attributable to such Partnership property;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in the event of an issuance of Partnership Interests for a de minimis amount of cash or Contributed Property, or in the event of an issuance of a de minimis amount of Partnership Interests as consideration for the provision of services, the General Partner may determine that such adjustments are unnecessary for the proper administration of the Partnership. In determining such Unrealized Gain or Unrealized Loss, the aggregate fair market value of all Partnership property (including cash or cash equivalents) immediately prior to the issuance of additional Partnership Interests shall be determined by the General Partner using such method of valuation as it may adopt. In making its determination of the fair market values of individual properties, the General Partner may first determine an aggregate value for the assets of the Partnership that takes into account the current trading price of the Common Units, the fair market value of all other Partnership Interests at such time, and the amount of Partnership Liabilities. The General Partner may allocate such aggregate value among the individual properties of the Partnership (in such manner as it determines appropriate). Absent a contrary determination by the General Partner, the aggregate fair market value of all Partnership assets (including cash or cash equivalents) immediately prior to a Revaluation Event shall be the value that would result in the Capital Account for each Common Unit that is Outstanding prior to such Revaluation Event being equal to the Event Issue Value. </w:t>
      </w:r>
    </w:p>
    <w:p>
      <w:pPr>
        <w:pStyle w:val="TextBody"/>
        <w:bidi w:val="0"/>
        <w:spacing w:before="120" w:after="0"/>
        <w:jc w:val="left"/>
        <w:rPr>
          <w:rFonts w:ascii="Times New Roman" w:hAnsi="Times New Roman"/>
          <w:sz w:val="20"/>
        </w:rPr>
      </w:pPr>
      <w:r>
        <w:rPr>
          <w:rFonts w:ascii="Times New Roman" w:hAnsi="Times New Roman"/>
          <w:sz w:val="20"/>
        </w:rPr>
        <w:t xml:space="preserve">(ii) In accordance with Treasury Regulation Sections 1.704-1(b)(2)(iv)(f) and 1.704-1(b)(2)(h)(2), immediately prior to any distribution to a Partner of any Partnership property (other than a distribution of cash that is not in redemption or retirement of a Partnership Interest), the Carrying Value of all Partnership property shall be adjusted upward or downward to reflect any Unrealized Gain or Unrealized Loss attributable to such Partnership property. In determining such Unrealized Gain or Unrealized Loss the aggregate fair market value of all Partnership property (including cash or cash equivalents) immediately prior to a distribution shall (A) in the case of a distribution other than one made pursuant to </w:t>
      </w:r>
      <w:r>
        <w:rPr>
          <w:rFonts w:ascii="Times New Roman" w:hAnsi="Times New Roman"/>
          <w:sz w:val="20"/>
          <w:u w:val="single"/>
        </w:rPr>
        <w:t>Section 12.4</w:t>
      </w:r>
      <w:r>
        <w:rPr>
          <w:rFonts w:ascii="Times New Roman" w:hAnsi="Times New Roman"/>
          <w:sz w:val="20"/>
        </w:rPr>
        <w:t xml:space="preserve">, be determined in the same manner as that provided in </w:t>
      </w:r>
      <w:r>
        <w:rPr>
          <w:rFonts w:ascii="Times New Roman" w:hAnsi="Times New Roman"/>
          <w:sz w:val="20"/>
          <w:u w:val="single"/>
        </w:rPr>
        <w:t>Section 5.5(d)(i)</w:t>
      </w:r>
      <w:r>
        <w:rPr>
          <w:rFonts w:ascii="Times New Roman" w:hAnsi="Times New Roman"/>
          <w:sz w:val="20"/>
        </w:rPr>
        <w:t xml:space="preserve"> or (B) in the case of a liquidating distribution pursuant to </w:t>
      </w:r>
      <w:r>
        <w:rPr>
          <w:rFonts w:ascii="Times New Roman" w:hAnsi="Times New Roman"/>
          <w:sz w:val="20"/>
          <w:u w:val="single"/>
        </w:rPr>
        <w:t>Section 12.4</w:t>
      </w:r>
      <w:r>
        <w:rPr>
          <w:rFonts w:ascii="Times New Roman" w:hAnsi="Times New Roman"/>
          <w:sz w:val="20"/>
        </w:rPr>
        <w:t xml:space="preserve">, be determined by the Liquidator using such method of valuation as it may adopt.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Issuances of Additional Partnership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Partnership may issue additional Partnership Securities and options, rights, warrants and appreciation rights relating to the Partnership Securities for any Partnership purpose at any time and from time to time to such Persons for such consideration and on such terms and conditions as the General Partner shall determine, all without the approval of any Limited Partners.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additional Partnership Security authorized to be issued by the Partnership pursuant to </w:t>
      </w:r>
      <w:r>
        <w:rPr>
          <w:rFonts w:ascii="Times New Roman" w:hAnsi="Times New Roman"/>
          <w:sz w:val="20"/>
          <w:u w:val="single"/>
        </w:rPr>
        <w:t>Section 5.6(a)</w:t>
      </w:r>
      <w:r>
        <w:rPr>
          <w:rFonts w:ascii="Times New Roman" w:hAnsi="Times New Roman"/>
          <w:sz w:val="20"/>
        </w:rPr>
        <w:t xml:space="preserve"> may be issued in one or more classes, or one or more series of any such classes, with such designations, preferences, rights, powers and duties (which may be senior to existing classes and series of Partnership Securities), as shall be fixed by the General Partner, including (i) the right to share in Partnership profits and losses or items thereof; (ii) the right to share in Partnership distributions; (iii) the rights upon dissolution and liquidation of the Partnership; (iv) whether, and the terms and conditions upon which the Partnership may or shall be required to redeem the Partnership Security (including sinking fund provisions); (v) whether such Partnership Security is issued with the privilege of conversion or exchange and, if so, the terms and conditions of such conversion or exchange; (vi) the terms and conditions upon which each Partnership Security will be issued, evidenced by certificates and assigned or transferred; (vii) the method for determining the Percentage Interest as to such Partnership Security; and (viii) the right, if any, of each such Partnership Security to vote on Partnership matters, including matters relating to the relative designations, preferences, rights, powers and duties of such Partnership Security. </w:t>
      </w:r>
    </w:p>
    <w:p>
      <w:pPr>
        <w:pStyle w:val="TextBody"/>
        <w:bidi w:val="0"/>
        <w:spacing w:before="240" w:after="0"/>
        <w:jc w:val="left"/>
        <w:rPr>
          <w:rFonts w:ascii="Times New Roman" w:hAnsi="Times New Roman"/>
          <w:sz w:val="20"/>
        </w:rPr>
      </w:pPr>
      <w:r>
        <w:rPr>
          <w:rFonts w:ascii="Times New Roman" w:hAnsi="Times New Roman"/>
          <w:sz w:val="20"/>
        </w:rPr>
        <w:t xml:space="preserve">(c) The General Partner is hereby authorized and directed to take all actions that it determines to be necessary or appropriate in connection with (i) each issuance of Partnership Securities and options, rights, warrants and appreciation rights relating to Partnership Securities pursuant to this </w:t>
      </w:r>
      <w:r>
        <w:rPr>
          <w:rFonts w:ascii="Times New Roman" w:hAnsi="Times New Roman"/>
          <w:sz w:val="20"/>
          <w:u w:val="single"/>
        </w:rPr>
        <w:t>Section 5.6</w:t>
      </w:r>
      <w:r>
        <w:rPr>
          <w:rFonts w:ascii="Times New Roman" w:hAnsi="Times New Roman"/>
          <w:sz w:val="20"/>
        </w:rPr>
        <w:t xml:space="preserve">, (ii) the conversion of the General Partner Interest (represented by General Partner Units) into Units pursuant to the terms of this Agreement, (iii) the admission of additional Limited Partners and (iv) all additional issuances of Partnership Securities. The General Partner shall determine the relative rights, powers and duties of the holders of the Units or other Partnership Securities being so issued. The General Partner shall do all things necessary to comply with the Texas Limited Partnership Law and is authorized and directed to do all things that it determines to be necessary or appropriate in connection with any future issuance of Partnership Securities or in connection with the conversion of the General Partner Interest into Units pursuant to the terms of this Agreement, including compliance with any statute, rule, regulation or guideline of any federal, state or other governmental agency or any National Securities Exchange on which the Units or other Partnership Securities are listed or admitted for trading. </w:t>
      </w:r>
    </w:p>
    <w:p>
      <w:pPr>
        <w:pStyle w:val="TextBody"/>
        <w:bidi w:val="0"/>
        <w:spacing w:before="240" w:after="0"/>
        <w:jc w:val="left"/>
        <w:rPr>
          <w:rFonts w:ascii="Times New Roman" w:hAnsi="Times New Roman"/>
          <w:sz w:val="20"/>
        </w:rPr>
      </w:pPr>
      <w:r>
        <w:rPr>
          <w:rFonts w:ascii="Times New Roman" w:hAnsi="Times New Roman"/>
          <w:sz w:val="20"/>
        </w:rPr>
        <w:t xml:space="preserve">(d) No fractional Partnership Securities shall be issued by the Partnership. If a distribution, subdivision or combination of Units pursuant to </w:t>
      </w:r>
      <w:r>
        <w:rPr>
          <w:rFonts w:ascii="Times New Roman" w:hAnsi="Times New Roman"/>
          <w:sz w:val="20"/>
          <w:u w:val="single"/>
        </w:rPr>
        <w:t>Section 5.6</w:t>
      </w:r>
      <w:r>
        <w:rPr>
          <w:rFonts w:ascii="Times New Roman" w:hAnsi="Times New Roman"/>
          <w:sz w:val="20"/>
        </w:rPr>
        <w:t xml:space="preserve"> would result in the issuance of fractional Units, each fractional Unit shall be rounded to the nearest whole Unit (and a 0.5 Unit shall be rounded to the next higher Unit).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sz w:val="20"/>
          <w:u w:val="single"/>
        </w:rPr>
        <w:t>Limited Preemptive Right</w:t>
      </w:r>
      <w:r>
        <w:rPr>
          <w:rFonts w:ascii="Times New Roman" w:hAnsi="Times New Roman"/>
          <w:sz w:val="20"/>
        </w:rPr>
        <w:t xml:space="preserve">. Except as provided in </w:t>
      </w:r>
      <w:r>
        <w:rPr>
          <w:rFonts w:ascii="Times New Roman" w:hAnsi="Times New Roman"/>
          <w:sz w:val="20"/>
          <w:u w:val="single"/>
        </w:rPr>
        <w:t>Section 5.5</w:t>
      </w:r>
      <w:r>
        <w:rPr>
          <w:rFonts w:ascii="Times New Roman" w:hAnsi="Times New Roman"/>
          <w:sz w:val="20"/>
        </w:rPr>
        <w:t xml:space="preserve"> and in this </w:t>
      </w:r>
      <w:r>
        <w:rPr>
          <w:rFonts w:ascii="Times New Roman" w:hAnsi="Times New Roman"/>
          <w:sz w:val="20"/>
          <w:u w:val="single"/>
        </w:rPr>
        <w:t>Section 5.7</w:t>
      </w:r>
      <w:r>
        <w:rPr>
          <w:rFonts w:ascii="Times New Roman" w:hAnsi="Times New Roman"/>
          <w:sz w:val="20"/>
        </w:rPr>
        <w:t xml:space="preserve">, no Person shall have any preemptive, preferential or other similar right with respect to the issuance of any Partnership Security, whether unissued, held in the treasury or hereafter created. The General Partner shall have the right, which it may from time to time assign in whole or in part to any of its Affiliates, to purchase Partnership Securities from the Partnership whenever, and on the same terms that, the Partnership issues Partnership Securities to Persons other than the General Partner and its Affiliates, to the extent necessary to maintain the Percentage Interests of the General Partner and its Affiliates equal to that which existed immediately prior to the issuance of such Partnership Securities. The General Partner shall be deemed to have waived this right with respect to any issuance of a particular Partnership Security in the event that the General Partner has not exercised this right prior to the issuance of such Partnership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5.8 </w:t>
      </w:r>
      <w:r>
        <w:rPr>
          <w:rFonts w:ascii="Times New Roman" w:hAnsi="Times New Roman"/>
          <w:sz w:val="20"/>
          <w:u w:val="single"/>
        </w:rPr>
        <w:t>Splits and Combinations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5.6(d)</w:t>
      </w:r>
      <w:r>
        <w:rPr>
          <w:rFonts w:ascii="Times New Roman" w:hAnsi="Times New Roman"/>
          <w:sz w:val="20"/>
        </w:rPr>
        <w:t xml:space="preserve">, the Partnership may make a Pro Rata distribution of Partnership Securities to all Record Holders or may effect a subdivision or combination of Partnership Securities so long as, after any such event, each Partner shall have the same Percentage Interest in the Partnership as before such event, and any amounts calculated on a per Unit basis or stated as a number of Units are proportionately adjusted. </w:t>
      </w:r>
    </w:p>
    <w:p>
      <w:pPr>
        <w:pStyle w:val="TextBody"/>
        <w:bidi w:val="0"/>
        <w:spacing w:before="240" w:after="0"/>
        <w:jc w:val="left"/>
        <w:rPr>
          <w:rFonts w:ascii="Times New Roman" w:hAnsi="Times New Roman"/>
          <w:sz w:val="20"/>
        </w:rPr>
      </w:pPr>
      <w:r>
        <w:rPr>
          <w:rFonts w:ascii="Times New Roman" w:hAnsi="Times New Roman"/>
          <w:sz w:val="20"/>
        </w:rPr>
        <w:t xml:space="preserve">(b) Whenever such a distribution, subdivision or combination of Partnership Securities is declared, the General Partner shall select a Record Date as of which the distribution, subdivision or combination shall be effective and shall send notice thereof at least 20 days prior to such Record Date to each Record Holder as of a date not less than 10 days prior to the date of such notice. The General Partner also may cause a firm of independent public accountants selected by it to calculate the number of Partnership Securities to be held by each Record Holder after giving effect to such distribution, subdivision or combination. The General Partner shall be entitled to rely on any certificate provided by such firm as conclusive evidence of the accuracy of such calculation. </w:t>
      </w:r>
    </w:p>
    <w:p>
      <w:pPr>
        <w:pStyle w:val="TextBody"/>
        <w:bidi w:val="0"/>
        <w:spacing w:before="240" w:after="0"/>
        <w:jc w:val="left"/>
        <w:rPr>
          <w:rFonts w:ascii="Times New Roman" w:hAnsi="Times New Roman"/>
          <w:sz w:val="20"/>
        </w:rPr>
      </w:pPr>
      <w:r>
        <w:rPr>
          <w:rFonts w:ascii="Times New Roman" w:hAnsi="Times New Roman"/>
          <w:sz w:val="20"/>
        </w:rPr>
        <w:t xml:space="preserve">(c) Promptly following any such distribution, subdivision or combination, the Partnership may issue Certificates to the Record Holders of Partnership Securities as of the applicable Record Date representing the new number of Partnership Securities held by such Record Holders, or the General Partner may adopt such other procedures that it determines to be necessary or appropriate to reflect such changes. If any such combination results in a smaller total number of Partnership Securities Outstanding, the Partnership shall require, as a condition to the delivery to a Record Holder of such new Certificate, the surrender of any Certificate held by such Record Holder immediately prior to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Section 5.9 </w:t>
      </w:r>
      <w:r>
        <w:rPr>
          <w:rFonts w:ascii="Times New Roman" w:hAnsi="Times New Roman"/>
          <w:sz w:val="20"/>
          <w:u w:val="single"/>
        </w:rPr>
        <w:t>Fully Paid and Non-Assessable Nature of Limited Partner Interests</w:t>
      </w:r>
      <w:r>
        <w:rPr>
          <w:rFonts w:ascii="Times New Roman" w:hAnsi="Times New Roman"/>
          <w:sz w:val="20"/>
        </w:rPr>
        <w:t xml:space="preserve">. All Limited Partner Interests issued pursuant to, and in accordance with the requirements of, this </w:t>
      </w:r>
      <w:r>
        <w:rPr>
          <w:rFonts w:ascii="Times New Roman" w:hAnsi="Times New Roman"/>
          <w:sz w:val="20"/>
          <w:u w:val="single"/>
        </w:rPr>
        <w:t>Article V</w:t>
      </w:r>
      <w:r>
        <w:rPr>
          <w:rFonts w:ascii="Times New Roman" w:hAnsi="Times New Roman"/>
          <w:sz w:val="20"/>
        </w:rPr>
        <w:t xml:space="preserve"> shall be fully paid and non-assessable Limited Partner Interests in the Partnership, except as such non-assessability may be affected by Section 153.112 of the Texas Limited Partnership Law.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Establishment of Class A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w:t>
      </w:r>
      <w:r>
        <w:rPr>
          <w:rFonts w:ascii="Times New Roman" w:hAnsi="Times New Roman"/>
          <w:sz w:val="20"/>
        </w:rPr>
        <w:t xml:space="preserve">. The General Partner hereby designates and creates a class of Partnership Securities to be designated as “Class A Units,” and fixes the designations, preferences and relative, participating, optional or other special rights, powers, duties and obligations of holders of the Class A Units as set forth in this </w:t>
      </w:r>
      <w:r>
        <w:rPr>
          <w:rFonts w:ascii="Times New Roman" w:hAnsi="Times New Roman"/>
          <w:sz w:val="20"/>
          <w:u w:val="single"/>
        </w:rPr>
        <w:t>Section 5.10</w:t>
      </w:r>
      <w:r>
        <w:rPr>
          <w:rFonts w:ascii="Times New Roman" w:hAnsi="Times New Roman"/>
          <w:sz w:val="20"/>
        </w:rPr>
        <w:t xml:space="preserve">. Upon their issuance, the Class A Units will be fully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Rights of Class</w:t>
      </w:r>
      <w:r>
        <w:rPr>
          <w:rFonts w:ascii="Times New Roman" w:hAnsi="Times New Roman"/>
          <w:sz w:val="20"/>
        </w:rPr>
        <w:t> </w:t>
      </w:r>
      <w:r>
        <w:rPr>
          <w:rFonts w:ascii="Times New Roman" w:hAnsi="Times New Roman"/>
          <w:i/>
          <w:sz w:val="20"/>
        </w:rPr>
        <w:t>A Units</w:t>
      </w:r>
      <w:r>
        <w:rPr>
          <w:rFonts w:ascii="Times New Roman" w:hAnsi="Times New Roman"/>
          <w:sz w:val="20"/>
        </w:rPr>
        <w:t xml:space="preserve">. The Class A Units shall have the following rights, preferences and privileges and shall be subject to the following duties and obligations: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Voting Rights</w:t>
      </w:r>
      <w:r>
        <w:rPr>
          <w:rFonts w:ascii="Times New Roman" w:hAnsi="Times New Roman"/>
          <w:sz w:val="20"/>
        </w:rPr>
        <w:t xml:space="preserve">. Except as may be required by law, the Class A Units will be entitled to vote together as a single class with the Common Units on any matter for which the holders of Common Units are entitled to vote. Each reference in this Agreement to a vote of holders of Common Units shall be deemed to include the Class A Units. Each Class A Unit shall be entitled to one vote.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Economic Interests</w:t>
      </w:r>
      <w:r>
        <w:rPr>
          <w:rFonts w:ascii="Times New Roman" w:hAnsi="Times New Roman"/>
          <w:sz w:val="20"/>
        </w:rPr>
        <w:t xml:space="preserve">. The Class A Units shall represent Limited Partner Interests in the Partnership, and shall not be entitled to any distributions from the Partnership, except that, upon any liquidation, dissolution or winding up of the Partnership, the Class A Units in the aggregate shall be entitled to an aggregate distribution of $100 prior and in preference to any distribution of any assets of the Partnership to the holders of any other class or series of Partnership Securities. For the avoidance of doubt, each Class A Unitholder shall receive its pro rata share of such $100 based on the number of Class A Units outstanding at the time of any such liquidation, winding up or dissolution.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Certificates</w:t>
      </w:r>
      <w:r>
        <w:rPr>
          <w:rFonts w:ascii="Times New Roman" w:hAnsi="Times New Roman"/>
          <w:sz w:val="20"/>
        </w:rPr>
        <w:t xml:space="preserve">; Book-Entry. Unless the General Partner shall determine otherwise, the Class A Units shall not be evidenced by certificates. Any certificates relating to the Class A Units that may be issued shall be in such form as the General Partner may approve. Any certificates evidencing Class A Units shall be separately identified and shall not bear the same CUSIP number as the certificates evidencing Common Units.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Limitations on Transfer</w:t>
      </w:r>
      <w:r>
        <w:rPr>
          <w:rFonts w:ascii="Times New Roman" w:hAnsi="Times New Roman"/>
          <w:sz w:val="20"/>
        </w:rPr>
        <w:t xml:space="preserve">. No Class A Unit may, directly or indirectly, be transferred, sold, assigned, pledged or otherwise alienated by the General Partner (or indirectly by any member of LE GP, LLC) or any subsequent transferee, without the prior approval of the Conflicts Committee, other than to Kelcy Warren, Ray Davis or to any trust, family partnership or family limited liability company, the sole beneficiaries, partners or members of which are Kelcy Warren, Ray Davis or their respective relatives. Any transfer or purported transfer of Class A Units not made in accordance with this </w:t>
      </w:r>
      <w:r>
        <w:rPr>
          <w:rFonts w:ascii="Times New Roman" w:hAnsi="Times New Roman"/>
          <w:sz w:val="20"/>
          <w:u w:val="single"/>
        </w:rPr>
        <w:t>Section 5.10(b)(iv)</w:t>
      </w:r>
      <w:r>
        <w:rPr>
          <w:rFonts w:ascii="Times New Roman" w:hAnsi="Times New Roman"/>
          <w:sz w:val="20"/>
        </w:rPr>
        <w:t xml:space="preserve"> shall be null and void.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Registrar and Transfer Agent</w:t>
      </w:r>
      <w:r>
        <w:rPr>
          <w:rFonts w:ascii="Times New Roman" w:hAnsi="Times New Roman"/>
          <w:sz w:val="20"/>
        </w:rPr>
        <w:t xml:space="preserve">. The General Partner will act as the registrar and transfer agent for the Class A Units.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i/>
          <w:sz w:val="20"/>
        </w:rPr>
        <w:t>Splits and Combinations</w:t>
      </w:r>
      <w:r>
        <w:rPr>
          <w:rFonts w:ascii="Times New Roman" w:hAnsi="Times New Roman"/>
          <w:sz w:val="20"/>
        </w:rPr>
        <w:t xml:space="preserve">. For so long as any Class A Units are Outstanding, to the extent that the Partnership (A) makes a distribution on its Common Units or other Common Voting Security in Common Units or other Common Voting Security, (B) subdivides or splits its Common Units or other Common Voting Securities into a greater number of Common Units or other Common Voting Securities, or (C) combines or reclassifies its Common Units or other Common Voting Securities into a smaller number of Common Units or other Common Voting Securities, then the number of Class A Units shall be proportionally adjusted, and if necessary, additional Class A Units shall be issued to the Class A Unitholders, such that the number of Class A Units issued immediately after such distribution, subdivision, split, combination or reclassification shall represent the same voting interest as such Class A Units represented immediately prior to such distribution, subdivision, split, combination or reclassification.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w:t>
      </w:r>
      <w:r>
        <w:rPr>
          <w:rFonts w:ascii="Times New Roman" w:hAnsi="Times New Roman"/>
          <w:i/>
          <w:sz w:val="20"/>
        </w:rPr>
        <w:t>Class A Unit Issuances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Initial Issuance</w:t>
      </w:r>
      <w:r>
        <w:rPr>
          <w:rFonts w:ascii="Times New Roman" w:hAnsi="Times New Roman"/>
          <w:sz w:val="20"/>
        </w:rPr>
        <w:t xml:space="preserve">. The Partnership initially issued 647,745,099 Class A Units to LE GP, LLC.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Future Issuances</w:t>
      </w:r>
      <w:r>
        <w:rPr>
          <w:rFonts w:ascii="Times New Roman" w:hAnsi="Times New Roman"/>
          <w:sz w:val="20"/>
        </w:rPr>
        <w:t xml:space="preserve">. For so long as Kelcy Warren is an officer or director of the General Partner, if the Partnership issues any additional Common Units or any other Common Voting Security, the Partnership shall automatically issue, for no additional consideration, an additional number of Class A Units to the Class A Unitholders (and if more than one Class A Unitholder exists at such time, pro rata in accordance with their respective Class A Unit ownership at such time), necessary for each Class A Unitholder to maintain a voting interest with respect to such Class A Units that the Class A Units represent in relation to the aggregate voting interest of the Common Units and other Common Voting Securities immediately prior to such Common Unit or other Common Voting Security issuance. The provisions of this </w:t>
      </w:r>
      <w:r>
        <w:rPr>
          <w:rFonts w:ascii="Times New Roman" w:hAnsi="Times New Roman"/>
          <w:sz w:val="20"/>
          <w:u w:val="single"/>
        </w:rPr>
        <w:t>Section 5.10(b)(vii)(B)</w:t>
      </w:r>
      <w:r>
        <w:rPr>
          <w:rFonts w:ascii="Times New Roman" w:hAnsi="Times New Roman"/>
          <w:sz w:val="20"/>
        </w:rPr>
        <w:t xml:space="preserve"> shall terminate at such time as Kelcy Warren ceases to be an officer or director of the General Partner;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for the avoidance of doubt, all Class A Units Outstanding at such time shall be unchanged and remain outstanding. </w:t>
      </w:r>
    </w:p>
    <w:p>
      <w:pPr>
        <w:pStyle w:val="TextBody"/>
        <w:bidi w:val="0"/>
        <w:spacing w:before="120" w:after="0"/>
        <w:jc w:val="left"/>
        <w:rPr>
          <w:rFonts w:ascii="Times New Roman" w:hAnsi="Times New Roman"/>
          <w:sz w:val="20"/>
        </w:rPr>
      </w:pPr>
      <w:r>
        <w:rPr>
          <w:rFonts w:ascii="Times New Roman" w:hAnsi="Times New Roman"/>
          <w:sz w:val="20"/>
        </w:rPr>
        <w:t xml:space="preserve">(C) Except as set forth in this </w:t>
      </w:r>
      <w:r>
        <w:rPr>
          <w:rFonts w:ascii="Times New Roman" w:hAnsi="Times New Roman"/>
          <w:sz w:val="20"/>
          <w:u w:val="single"/>
        </w:rPr>
        <w:t>Section 5.10(b)(vii)</w:t>
      </w:r>
      <w:r>
        <w:rPr>
          <w:rFonts w:ascii="Times New Roman" w:hAnsi="Times New Roman"/>
          <w:sz w:val="20"/>
        </w:rPr>
        <w:t xml:space="preserve">, there shall be no other issuances by the Partnership of Class A Units.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i/>
          <w:sz w:val="20"/>
        </w:rPr>
        <w:t>Allocations</w:t>
      </w:r>
      <w:r>
        <w:rPr>
          <w:rFonts w:ascii="Times New Roman" w:hAnsi="Times New Roman"/>
          <w:sz w:val="20"/>
        </w:rPr>
        <w:t xml:space="preserve">. The Class A Units shall not be entitled to receive any (1) allocations of Net Income pursuant to </w:t>
      </w:r>
      <w:r>
        <w:rPr>
          <w:rFonts w:ascii="Times New Roman" w:hAnsi="Times New Roman"/>
          <w:sz w:val="20"/>
          <w:u w:val="single"/>
        </w:rPr>
        <w:t>Section 6.1(a)</w:t>
      </w:r>
      <w:r>
        <w:rPr>
          <w:rFonts w:ascii="Times New Roman" w:hAnsi="Times New Roman"/>
          <w:sz w:val="20"/>
        </w:rPr>
        <w:t xml:space="preserve">, (2) allocations of Net Losses pursuant to </w:t>
      </w:r>
      <w:r>
        <w:rPr>
          <w:rFonts w:ascii="Times New Roman" w:hAnsi="Times New Roman"/>
          <w:sz w:val="20"/>
          <w:u w:val="single"/>
        </w:rPr>
        <w:t>Section 6.1(b)</w:t>
      </w:r>
      <w:r>
        <w:rPr>
          <w:rFonts w:ascii="Times New Roman" w:hAnsi="Times New Roman"/>
          <w:sz w:val="20"/>
        </w:rPr>
        <w:t xml:space="preserve">, (3) allocations of Net Termination Gains or Net Termination Losses pursuant to </w:t>
      </w:r>
      <w:r>
        <w:rPr>
          <w:rFonts w:ascii="Times New Roman" w:hAnsi="Times New Roman"/>
          <w:sz w:val="20"/>
          <w:u w:val="single"/>
        </w:rPr>
        <w:t>Section 6.1(c)</w:t>
      </w:r>
      <w:r>
        <w:rPr>
          <w:rFonts w:ascii="Times New Roman" w:hAnsi="Times New Roman"/>
          <w:sz w:val="20"/>
        </w:rPr>
        <w:t xml:space="preserve">, (4) special allocations pursuant to </w:t>
      </w:r>
      <w:r>
        <w:rPr>
          <w:rFonts w:ascii="Times New Roman" w:hAnsi="Times New Roman"/>
          <w:sz w:val="20"/>
          <w:u w:val="single"/>
        </w:rPr>
        <w:t>Section 6.1(d)</w:t>
      </w:r>
      <w:r>
        <w:rPr>
          <w:rFonts w:ascii="Times New Roman" w:hAnsi="Times New Roman"/>
          <w:sz w:val="20"/>
        </w:rPr>
        <w:t xml:space="preserve"> or (5) allocations for tax purposes pursuant to </w:t>
      </w:r>
      <w:r>
        <w:rPr>
          <w:rFonts w:ascii="Times New Roman" w:hAnsi="Times New Roman"/>
          <w:sz w:val="20"/>
          <w:u w:val="single"/>
        </w:rPr>
        <w:t>Section 6.2</w:t>
      </w:r>
      <w:r>
        <w:rPr>
          <w:rFonts w:ascii="Times New Roman" w:hAnsi="Times New Roman"/>
          <w:sz w:val="20"/>
        </w:rPr>
        <w:t xml:space="preserve">. Allocations pursuant to </w:t>
      </w:r>
      <w:r>
        <w:rPr>
          <w:rFonts w:ascii="Times New Roman" w:hAnsi="Times New Roman"/>
          <w:sz w:val="20"/>
          <w:u w:val="single"/>
        </w:rPr>
        <w:t>Sections 6.1(a)</w:t>
      </w:r>
      <w:r>
        <w:rPr>
          <w:rFonts w:ascii="Times New Roman" w:hAnsi="Times New Roman"/>
          <w:sz w:val="20"/>
        </w:rPr>
        <w:t xml:space="preserve">, </w:t>
      </w:r>
      <w:r>
        <w:rPr>
          <w:rFonts w:ascii="Times New Roman" w:hAnsi="Times New Roman"/>
          <w:sz w:val="20"/>
          <w:u w:val="single"/>
        </w:rPr>
        <w:t>6.1(b)</w:t>
      </w:r>
      <w:r>
        <w:rPr>
          <w:rFonts w:ascii="Times New Roman" w:hAnsi="Times New Roman"/>
          <w:sz w:val="20"/>
        </w:rPr>
        <w:t xml:space="preserve">, </w:t>
      </w:r>
      <w:r>
        <w:rPr>
          <w:rFonts w:ascii="Times New Roman" w:hAnsi="Times New Roman"/>
          <w:sz w:val="20"/>
          <w:u w:val="single"/>
        </w:rPr>
        <w:t>6.1(c)</w:t>
      </w:r>
      <w:r>
        <w:rPr>
          <w:rFonts w:ascii="Times New Roman" w:hAnsi="Times New Roman"/>
          <w:sz w:val="20"/>
        </w:rPr>
        <w:t xml:space="preserve">, </w:t>
      </w:r>
      <w:r>
        <w:rPr>
          <w:rFonts w:ascii="Times New Roman" w:hAnsi="Times New Roman"/>
          <w:sz w:val="20"/>
          <w:u w:val="single"/>
        </w:rPr>
        <w:t>6.1(d)</w:t>
      </w:r>
      <w:r>
        <w:rPr>
          <w:rFonts w:ascii="Times New Roman" w:hAnsi="Times New Roman"/>
          <w:sz w:val="20"/>
        </w:rPr>
        <w:t xml:space="preserve"> and </w:t>
      </w:r>
      <w:r>
        <w:rPr>
          <w:rFonts w:ascii="Times New Roman" w:hAnsi="Times New Roman"/>
          <w:sz w:val="20"/>
          <w:u w:val="single"/>
        </w:rPr>
        <w:t>6.2</w:t>
      </w:r>
      <w:r>
        <w:rPr>
          <w:rFonts w:ascii="Times New Roman" w:hAnsi="Times New Roman"/>
          <w:sz w:val="20"/>
        </w:rPr>
        <w:t xml:space="preserve"> shall be made consistent with the facts that the Class A Units are not Units, and that the Class A Unitholders are not Unitholders and, therefore have no Percentage Interests with respect to their Class A Units.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Establishment of Series B Preferred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w:t>
      </w:r>
      <w:r>
        <w:rPr>
          <w:rFonts w:ascii="Times New Roman" w:hAnsi="Times New Roman"/>
          <w:sz w:val="20"/>
        </w:rPr>
        <w:t>. The Partnership hereby designates and creates a class of Partnership Securities to be designated as “6.625% Series B Fixed-to-Floating Rate Cumulative Redeemable Perpetual Preferred Units” (the “</w:t>
      </w:r>
      <w:r>
        <w:rPr>
          <w:rFonts w:ascii="Times New Roman" w:hAnsi="Times New Roman"/>
          <w:i/>
          <w:sz w:val="20"/>
        </w:rPr>
        <w:t>Series B Preferred Units</w:t>
      </w:r>
      <w:r>
        <w:rPr>
          <w:rFonts w:ascii="Times New Roman" w:hAnsi="Times New Roman"/>
          <w:sz w:val="20"/>
        </w:rPr>
        <w:t xml:space="preserve">”), having the preferences, rights, powers, and duties set forth herein, including this </w:t>
      </w:r>
      <w:r>
        <w:rPr>
          <w:rFonts w:ascii="Times New Roman" w:hAnsi="Times New Roman"/>
          <w:sz w:val="20"/>
          <w:u w:val="single"/>
        </w:rPr>
        <w:t>Section 5.11</w:t>
      </w:r>
      <w:r>
        <w:rPr>
          <w:rFonts w:ascii="Times New Roman" w:hAnsi="Times New Roman"/>
          <w:sz w:val="20"/>
        </w:rPr>
        <w:t xml:space="preserve">. Each Series B Preferred Unit shall be identical in all respects to every other Series B Preferred Unit, except as to the respective dates from which the Series B Liquidation Preference shall increase or from which Series B Distributions may begin accruing, to the extent such dates may differ. The Series B Preferred Units represent perpetual equity interests in the Partnership and shall not give rise to a claim by the Partnership or a Series B Holder for conversion or, except as set forth in </w:t>
      </w:r>
      <w:r>
        <w:rPr>
          <w:rFonts w:ascii="Times New Roman" w:hAnsi="Times New Roman"/>
          <w:sz w:val="20"/>
          <w:u w:val="single"/>
        </w:rPr>
        <w:t>Section 5.11(b)(iv)</w:t>
      </w:r>
      <w:r>
        <w:rPr>
          <w:rFonts w:ascii="Times New Roman" w:hAnsi="Times New Roman"/>
          <w:sz w:val="20"/>
        </w:rPr>
        <w:t xml:space="preserve">, redemption thereof at a particular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Rights of Series B Preferred Units</w:t>
      </w:r>
      <w:r>
        <w:rPr>
          <w:rFonts w:ascii="Times New Roman" w:hAnsi="Times New Roman"/>
          <w:sz w:val="20"/>
        </w:rPr>
        <w:t xml:space="preserve">. The Series B Preferred Units shall have the following rights, preferences and privileges and shall be subject to the following duties and obligations: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Series B Preferred 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authorized number of Series B Preferred Units shall be unlimited. Series B Preferred Units that are purchased or otherwise acquired by the Partnership shall be canceled. </w:t>
      </w:r>
    </w:p>
    <w:p>
      <w:pPr>
        <w:pStyle w:val="TextBody"/>
        <w:bidi w:val="0"/>
        <w:spacing w:before="120" w:after="0"/>
        <w:jc w:val="left"/>
        <w:rPr>
          <w:rFonts w:ascii="Times New Roman" w:hAnsi="Times New Roman"/>
          <w:sz w:val="20"/>
        </w:rPr>
      </w:pPr>
      <w:r>
        <w:rPr>
          <w:rFonts w:ascii="Times New Roman" w:hAnsi="Times New Roman"/>
          <w:sz w:val="20"/>
        </w:rPr>
        <w:t xml:space="preserve">(B) The Series B Preferred Units shall be represented by one or more global Certificates registered in the name of the Depositary or its nominee, and no Series B Holder shall be entitled to receive a definitive Certificate evidencing its Series B Preferred Units, unless (1) requested by a Series B Holder and consented to by the General Partner in its sole discretion, (2) otherwise required by law or (3) the Depositary gives notice of its intention to resign or is no longer eligible to act as such with respect to the Series B Preferred Units and the General Partner shall have not selected a substitute Depositary within 60 calendar days thereafter. So long as the Depositary shall have been appointed and is serving with respect to the Series B Preferred Units, payments and communications made by the Partnership to Series B Holders shall be made by making payments to, and communicating with, the Depositary.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Distributions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Distributions on each Outstanding Series B Preferred Unit shall be cumulative and shall accumulate at the applicable Series B Distribution Rate from and including February 16, 2021 (or, for any subsequently issued and newly Outstanding Series B Preferred Units, from and including the Series B Distribution Payment Date immediately preceding the issue date of such Series B Preferred Units) until such time as the Partnership pays the Series B Distribution or redeems such Series B Preferred Unit in accordance with </w:t>
      </w:r>
      <w:r>
        <w:rPr>
          <w:rFonts w:ascii="Times New Roman" w:hAnsi="Times New Roman"/>
          <w:sz w:val="20"/>
          <w:u w:val="single"/>
        </w:rPr>
        <w:t>Section 5.11(b)(iv)</w:t>
      </w:r>
      <w:r>
        <w:rPr>
          <w:rFonts w:ascii="Times New Roman" w:hAnsi="Times New Roman"/>
          <w:sz w:val="20"/>
        </w:rPr>
        <w:t xml:space="preserve">, whether or not such Series B Distributions shall have been declared. Series B Holders shall be entitled to receive Series B Distributions from time to time out of any assets of the Partnership legally available for the payment of distributions at the Series B Distribution Rate per Series B Preferred Unit when, as, and, if declared by the General Partner. Series B Distributions, to the extent declared by the General Partner to be paid by the Partnership in accordance with this </w:t>
      </w:r>
      <w:r>
        <w:rPr>
          <w:rFonts w:ascii="Times New Roman" w:hAnsi="Times New Roman"/>
          <w:sz w:val="20"/>
          <w:u w:val="single"/>
        </w:rPr>
        <w:t>Section 5.11(b)(ii)</w:t>
      </w:r>
      <w:r>
        <w:rPr>
          <w:rFonts w:ascii="Times New Roman" w:hAnsi="Times New Roman"/>
          <w:sz w:val="20"/>
        </w:rPr>
        <w:t xml:space="preserve">, shall be paid, in Arrears, on each Series B Distribution Payment Date. Series B Distributions shall accumulate in each Series B Distribution Period from and including the preceding Series B Distribution Payment Date (other than the initial Series B Distribution Period, which shall commence on and include February 16, 2021), to, but excluding, the next Series B Distribution Payment Date for such Series B Distribution Period; </w:t>
      </w:r>
      <w:r>
        <w:rPr>
          <w:rFonts w:ascii="Times New Roman" w:hAnsi="Times New Roman"/>
          <w:sz w:val="20"/>
          <w:u w:val="single"/>
        </w:rPr>
        <w:t xml:space="preserve">provided </w:t>
      </w:r>
      <w:r>
        <w:rPr>
          <w:rFonts w:ascii="Times New Roman" w:hAnsi="Times New Roman"/>
          <w:sz w:val="20"/>
        </w:rPr>
        <w:t xml:space="preserve">that distributions shall accrue on accumulated but unpaid Series B Distributions at the Series B Distribution Rate. If any Series B Distribution Payment Date otherwise would occur on a date that is not a Business Day, declared Series B Distributions shall be paid on the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succeeding Business Day without the accumulation of additional distributions. During the Series B Fixed Rate Period, Series B Distributions shall be payable based on a 360-day year consisting of twelve 30 day months. During the Series B Floating Rate Period, Series B Distributions shall be computed by multiplying the Series B Distribution Rate by a fraction, the numerator of which will be the actual number of days elapsed during that Series B Distribution Period (determined by including the first day of such Series B Distribution Period and excluding the last day, which is the Series B Distribution Payment Date), and the denominator of which will be 360, and by multiplying the result by the aggregate Series B Liquidation Preference of all Outstanding Series B Preferred Units. All Series B Distributions that are (1) accumulated and unpaid or (2) payable by the Partnership pursuant to this </w:t>
      </w:r>
      <w:r>
        <w:rPr>
          <w:rFonts w:ascii="Times New Roman" w:hAnsi="Times New Roman"/>
          <w:sz w:val="20"/>
          <w:u w:val="single"/>
        </w:rPr>
        <w:t>Section 5.11(b)(ii)</w:t>
      </w:r>
      <w:r>
        <w:rPr>
          <w:rFonts w:ascii="Times New Roman" w:hAnsi="Times New Roman"/>
          <w:sz w:val="20"/>
        </w:rPr>
        <w:t xml:space="preserve"> shall be payable without regard to income of the Partnership and shall be treated for federal income tax purposes as guaranteed payments for the use of capital under Section 707(c) of the Code. The guaranteed payment with respect to any Series B Distribution Period shall be for the account of the holders of Series B Preferred Units as of the applicable Series B Distribution Record Date. </w:t>
      </w:r>
    </w:p>
    <w:p>
      <w:pPr>
        <w:pStyle w:val="TextBody"/>
        <w:bidi w:val="0"/>
        <w:spacing w:before="120" w:after="0"/>
        <w:jc w:val="left"/>
        <w:rPr>
          <w:rFonts w:ascii="Times New Roman" w:hAnsi="Times New Roman"/>
          <w:sz w:val="20"/>
        </w:rPr>
      </w:pPr>
      <w:r>
        <w:rPr>
          <w:rFonts w:ascii="Times New Roman" w:hAnsi="Times New Roman"/>
          <w:sz w:val="20"/>
        </w:rPr>
        <w:t>(B) Not later than 5:00 p.m., New York City time, on each Series B Distribution Payment Date, the Partnership shall pay those Series B Distributions, if any, that shall have been declared by the General Partner to Series B Holders on the Record Date for the applicable Series B Distribution. The Record Date (the “</w:t>
      </w:r>
      <w:r>
        <w:rPr>
          <w:rFonts w:ascii="Times New Roman" w:hAnsi="Times New Roman"/>
          <w:i/>
          <w:sz w:val="20"/>
        </w:rPr>
        <w:t>Series B Distribution Record Date</w:t>
      </w:r>
      <w:r>
        <w:rPr>
          <w:rFonts w:ascii="Times New Roman" w:hAnsi="Times New Roman"/>
          <w:sz w:val="20"/>
        </w:rPr>
        <w:t xml:space="preserve">”) for the payment of any Series B Distributions shall be as of the close of business on the first Business Day of the month of the applicable Series B Distribution Payment Date, except that in the case of payments of Series B Distributions in Arrears, the Series B Distribution Record Date with respect to a Series B Distribution Payment Date shall be such date as may be designated by the General Partner in accordance with this </w:t>
      </w:r>
      <w:r>
        <w:rPr>
          <w:rFonts w:ascii="Times New Roman" w:hAnsi="Times New Roman"/>
          <w:sz w:val="20"/>
          <w:u w:val="single"/>
        </w:rPr>
        <w:t>Section 5.11</w:t>
      </w:r>
      <w:r>
        <w:rPr>
          <w:rFonts w:ascii="Times New Roman" w:hAnsi="Times New Roman"/>
          <w:sz w:val="20"/>
        </w:rPr>
        <w:t xml:space="preserve">. So long as any Series B Preferred Units are Outstanding, no distribution shall be declared or paid or set aside for payment on any Series B Junior Securities (other than a distribution payable solely in Series B Junior Securities) unless full cumulative Series B Distributions have been or contemporaneously are being paid or set apart for payment on all Outstanding Series B Preferred Units (and distributions on any other Series B Parity Securities) through the most recent respective Series B Distribution Payment Date (and distribution payment date with respect to such Series B Parity Securities, if any);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notwithstanding anything to the contrary in this </w:t>
      </w:r>
      <w:r>
        <w:rPr>
          <w:rFonts w:ascii="Times New Roman" w:hAnsi="Times New Roman"/>
          <w:sz w:val="20"/>
          <w:u w:val="single"/>
        </w:rPr>
        <w:t>Section 5.11(b)(ii)(B)</w:t>
      </w:r>
      <w:r>
        <w:rPr>
          <w:rFonts w:ascii="Times New Roman" w:hAnsi="Times New Roman"/>
          <w:sz w:val="20"/>
        </w:rPr>
        <w:t xml:space="preserve">, if a distribution period with respect to a class of Series B Junior Securities or Series B Parity Securities is shorter than the Series B Distribution Period, the General Partner may declare and pay regular distributions with respect to such Series B Junior Securities or Series B Parity Securities, so long as, at the time of declaration of such distribution, (i) there are no Series B Distributions in Arrears, and (ii) the General Partner expects to have sufficient funds to pay the full distribution in respect of the Series B Preferred Units on the next successive Series B Distribution Payment Date. Accumulated Series B Distributions in Arrears for any past Series B Distribution Period may be declared by the General Partner and paid on any date fixed by the General Partner, whether or not a Series B Distribution Payment Date, to Series B Holders on the Record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 for such payment, which may not be less than 10 days before such payment date. Subject to the next succeeding sentence, if all accumulated Series B Distributions in Arrears on all Outstanding Series B Preferred Units and all accumulated distributions in arrears on any Series B Parity Securities shall not have been declared and paid, or if sufficient funds for the payment thereof shall not have been set apart, payment of accumulated distributions in Arrears on the Series B Preferred Units and accumulated distributions in arrears on any such Series B Parity Securities shall be made in order of their respective distribution payment dates, commencing with the earliest distribution payment date. If less than all distributions payable with respect to all Series B Preferred Units and any other Series B Parity Securities are paid, any partial payment shall be made Pro Rata with respect to the Series B Preferred Units and any such other Series B Parity Securities entitled to a distribution payment at such time in proportion to the aggregate distribution amounts remaining due in respect of such Series B Preferred Units and such other Series B Parity Securities at such time. Subject to </w:t>
      </w:r>
      <w:r>
        <w:rPr>
          <w:rFonts w:ascii="Times New Roman" w:hAnsi="Times New Roman"/>
          <w:sz w:val="20"/>
          <w:u w:val="single"/>
        </w:rPr>
        <w:t>Section 12.4</w:t>
      </w:r>
      <w:r>
        <w:rPr>
          <w:rFonts w:ascii="Times New Roman" w:hAnsi="Times New Roman"/>
          <w:sz w:val="20"/>
        </w:rPr>
        <w:t xml:space="preserve"> and </w:t>
      </w:r>
      <w:r>
        <w:rPr>
          <w:rFonts w:ascii="Times New Roman" w:hAnsi="Times New Roman"/>
          <w:sz w:val="20"/>
          <w:u w:val="single"/>
        </w:rPr>
        <w:t>Section 5.11(b)(v)</w:t>
      </w:r>
      <w:r>
        <w:rPr>
          <w:rFonts w:ascii="Times New Roman" w:hAnsi="Times New Roman"/>
          <w:sz w:val="20"/>
        </w:rPr>
        <w:t xml:space="preserve">, Series B Holders shall not be entitled to any distribution, whether payable in cash, property or Partnership Securities, in excess of full cumulative Series B Distributions. Except insofar as distributions accrue on the amount of any accumulated and unpaid Series B Distributions as described in </w:t>
      </w:r>
      <w:r>
        <w:rPr>
          <w:rFonts w:ascii="Times New Roman" w:hAnsi="Times New Roman"/>
          <w:sz w:val="20"/>
          <w:u w:val="single"/>
        </w:rPr>
        <w:t>Section 5.11(b)(ii)(A)</w:t>
      </w:r>
      <w:r>
        <w:rPr>
          <w:rFonts w:ascii="Times New Roman" w:hAnsi="Times New Roman"/>
          <w:sz w:val="20"/>
        </w:rPr>
        <w:t xml:space="preserve">, no interest or sum of money in lieu of interest shall be payable in respect of any distribution payment which may be in Arrears on the Series B Preferred Units. So long as the Series B Preferred Units are held of record by the Depositary or its nominee, declared Series B Distributions shall be paid to the Depositary in same-day funds on each Series B Distribution Payment Date or other distribution payment date in the case of payments for Series B Distributions in Arrears. </w:t>
      </w:r>
    </w:p>
    <w:p>
      <w:pPr>
        <w:pStyle w:val="TextBody"/>
        <w:bidi w:val="0"/>
        <w:spacing w:before="120" w:after="0"/>
        <w:jc w:val="left"/>
        <w:rPr>
          <w:rFonts w:ascii="Times New Roman" w:hAnsi="Times New Roman"/>
          <w:sz w:val="20"/>
        </w:rPr>
      </w:pPr>
      <w:r>
        <w:rPr>
          <w:rFonts w:ascii="Times New Roman" w:hAnsi="Times New Roman"/>
          <w:sz w:val="20"/>
        </w:rPr>
        <w:t xml:space="preserve">(C) The Series B Distribution Rate for each Series B Distribution Period in the Series B Floating Rate Period will be determined by the Calculation Agent using Three-Month LIBOR as in effect on the Distribution Determination Date for such Series B Distribution Period. The Calculation Agent then will add the spread of 4.155% per annum to Three-Month LIBOR as determined on the applicable Distribution Determination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t>
      </w:r>
    </w:p>
    <w:p>
      <w:pPr>
        <w:pStyle w:val="TextBody"/>
        <w:bidi w:val="0"/>
        <w:spacing w:before="120" w:after="0"/>
        <w:jc w:val="left"/>
        <w:rPr>
          <w:rFonts w:ascii="Times New Roman" w:hAnsi="Times New Roman"/>
          <w:sz w:val="20"/>
        </w:rPr>
      </w:pPr>
      <w:r>
        <w:rPr>
          <w:rFonts w:ascii="Times New Roman" w:hAnsi="Times New Roman"/>
          <w:sz w:val="20"/>
        </w:rPr>
        <w:t xml:space="preserve">(A) If the Calculation Agent determines on the relevant Distribution Determination Date that the LIBOR base rate has been discontinued, then the Calculation Agent will use a substitute or successor base rate that it has determined in its sole discretion is most comparable to the LIBOR base rate, </w:t>
      </w:r>
      <w:r>
        <w:rPr>
          <w:rFonts w:ascii="Times New Roman" w:hAnsi="Times New Roman"/>
          <w:sz w:val="20"/>
          <w:u w:val="single"/>
        </w:rPr>
        <w:t xml:space="preserve">provided </w:t>
      </w:r>
      <w:r>
        <w:rPr>
          <w:rFonts w:ascii="Times New Roman" w:hAnsi="Times New Roman"/>
          <w:sz w:val="20"/>
        </w:rPr>
        <w:t xml:space="preserve">that if the Calculation Agent determines there is an industry-accepted substitute or successor base rate, then the Calculation Agent shall use such substitute or successor base rate; and </w:t>
      </w:r>
    </w:p>
    <w:p>
      <w:pPr>
        <w:pStyle w:val="TextBody"/>
        <w:bidi w:val="0"/>
        <w:spacing w:before="120" w:after="0"/>
        <w:jc w:val="left"/>
        <w:rPr>
          <w:rFonts w:ascii="Times New Roman" w:hAnsi="Times New Roman"/>
          <w:sz w:val="20"/>
        </w:rPr>
      </w:pPr>
      <w:r>
        <w:rPr>
          <w:rFonts w:ascii="Times New Roman" w:hAnsi="Times New Roman"/>
          <w:sz w:val="20"/>
        </w:rPr>
        <w:t xml:space="preserve">(B) If the Calculation Agent has determined a substitute or successor base rate in accordance with the foregoing, the Calculation Agent in its sole discretion may determine what business day convention to use, the definition of business day, the Distribution Determination Date to be used and any other relevant methodology for calculating such substitute or successor base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Unless otherwise determined by the General Partner, Series B Distributions shall be deemed to have been paid out of deductions from Available Cash with respect to the Quarter ended immediately preceding the Quarter in which the Series B Distribution is made.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Voting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anything to the contrary in this Agreement, the Series B Preferred Units shall not have any voting rights or rights to consent or approve any action or matter, except as set forth in </w:t>
      </w:r>
      <w:r>
        <w:rPr>
          <w:rFonts w:ascii="Times New Roman" w:hAnsi="Times New Roman"/>
          <w:sz w:val="20"/>
          <w:u w:val="single"/>
        </w:rPr>
        <w:t>Section 13.3(c)</w:t>
      </w:r>
      <w:r>
        <w:rPr>
          <w:rFonts w:ascii="Times New Roman" w:hAnsi="Times New Roman"/>
          <w:sz w:val="20"/>
        </w:rPr>
        <w:t xml:space="preserve">, this </w:t>
      </w:r>
      <w:r>
        <w:rPr>
          <w:rFonts w:ascii="Times New Roman" w:hAnsi="Times New Roman"/>
          <w:sz w:val="20"/>
          <w:u w:val="single"/>
        </w:rPr>
        <w:t>Section 5.11(b)(iii)</w:t>
      </w:r>
      <w:r>
        <w:rPr>
          <w:rFonts w:ascii="Times New Roman" w:hAnsi="Times New Roman"/>
          <w:sz w:val="20"/>
        </w:rPr>
        <w:t xml:space="preserve"> or as otherwise required by the Texas Limited Partnership Law.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to the contrary in this Agreement, without the affirmative vote or consent of the holders of at least 66 2/3% of the Outstanding Series B Preferred Units, voting as a separate class, the General Partner shall not adopt any amendment to this Agreement that the General Partner determines would have a material adverse effect on the powers, preferences, duties, or special rights of the Series B Preferred Units;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(1) subject to </w:t>
      </w:r>
      <w:r>
        <w:rPr>
          <w:rFonts w:ascii="Times New Roman" w:hAnsi="Times New Roman"/>
          <w:sz w:val="20"/>
          <w:u w:val="single"/>
        </w:rPr>
        <w:t>Section 5.11(b)(iii)(C)</w:t>
      </w:r>
      <w:r>
        <w:rPr>
          <w:rFonts w:ascii="Times New Roman" w:hAnsi="Times New Roman"/>
          <w:sz w:val="20"/>
        </w:rPr>
        <w:t xml:space="preserve">, the issuance of additional Partnership Securities (and any amendment to this Agreement in connection therewith) shall not be deemed to constitute such a material adverse effect for purposes of this </w:t>
      </w:r>
      <w:r>
        <w:rPr>
          <w:rFonts w:ascii="Times New Roman" w:hAnsi="Times New Roman"/>
          <w:sz w:val="20"/>
          <w:u w:val="single"/>
        </w:rPr>
        <w:t>Section 5.11(b)(iii)(B)</w:t>
      </w:r>
      <w:r>
        <w:rPr>
          <w:rFonts w:ascii="Times New Roman" w:hAnsi="Times New Roman"/>
          <w:sz w:val="20"/>
        </w:rPr>
        <w:t xml:space="preserve"> and (2) for purposes of this </w:t>
      </w:r>
      <w:r>
        <w:rPr>
          <w:rFonts w:ascii="Times New Roman" w:hAnsi="Times New Roman"/>
          <w:sz w:val="20"/>
          <w:u w:val="single"/>
        </w:rPr>
        <w:t>Section 5.11(b)(iii)(B)</w:t>
      </w:r>
      <w:r>
        <w:rPr>
          <w:rFonts w:ascii="Times New Roman" w:hAnsi="Times New Roman"/>
          <w:sz w:val="20"/>
        </w:rPr>
        <w:t xml:space="preserve">, no amendment of this Agreement in connection with a merger or other transaction in which the Series B Preferred Units remain Outstanding with the terms thereof materially unchanged in any respect adverse to the Series B Holders (as determined by the General Partner) shall be deemed to materially and adversely affect the powers, preferences, duties, or special rights of the Series B Preferred Units.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in this Agreement, without the affirmative vote or consent of the holders of at least 66 2/3% of the Outstanding Series B Preferred Units, voting as a class together with holders of any other Series B Parity Securities upon which like voting rights have been conferred and are exercisable, the Partnership shall not (x) create or issue any Series B Parity Securities (including any additional Series B Preferred Units) if the cumulative distributions payable on Outstanding Series B Preferred Units (or any Series B Parity Securities, if the holders of such Series B Parity Securities vote as a class together with the Series B Holders pursuant to this </w:t>
      </w:r>
      <w:r>
        <w:rPr>
          <w:rFonts w:ascii="Times New Roman" w:hAnsi="Times New Roman"/>
          <w:sz w:val="20"/>
          <w:u w:val="single"/>
        </w:rPr>
        <w:t>Section 5.11(b)(iii)(C)</w:t>
      </w:r>
      <w:r>
        <w:rPr>
          <w:rFonts w:ascii="Times New Roman" w:hAnsi="Times New Roman"/>
          <w:sz w:val="20"/>
        </w:rPr>
        <w:t xml:space="preserve">) are in Arrears or (y) create or issue any Series B Senior Securities. </w:t>
      </w:r>
    </w:p>
    <w:p>
      <w:pPr>
        <w:pStyle w:val="TextBody"/>
        <w:bidi w:val="0"/>
        <w:spacing w:before="120" w:after="0"/>
        <w:jc w:val="left"/>
        <w:rPr>
          <w:rFonts w:ascii="Times New Roman" w:hAnsi="Times New Roman"/>
          <w:sz w:val="20"/>
        </w:rPr>
      </w:pPr>
      <w:r>
        <w:rPr>
          <w:rFonts w:ascii="Times New Roman" w:hAnsi="Times New Roman"/>
          <w:sz w:val="20"/>
        </w:rPr>
        <w:t xml:space="preserve">(D) For any matter described in this </w:t>
      </w:r>
      <w:r>
        <w:rPr>
          <w:rFonts w:ascii="Times New Roman" w:hAnsi="Times New Roman"/>
          <w:sz w:val="20"/>
          <w:u w:val="single"/>
        </w:rPr>
        <w:t>Section 5.11(b)(iii)</w:t>
      </w:r>
      <w:r>
        <w:rPr>
          <w:rFonts w:ascii="Times New Roman" w:hAnsi="Times New Roman"/>
          <w:sz w:val="20"/>
        </w:rPr>
        <w:t xml:space="preserve"> in which the Series B Holders are entitled to vote as a class (whether separately or together with the holders of any Series B Parity Securities), such Series B Holders shall be entitled to one vote per Series B Preferred Unit. Any Series B Preferred Units held by the Partnership or any of its Subsidiaries or their controlled Affiliates shall not be entitled to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Notwithstanding </w:t>
      </w:r>
      <w:r>
        <w:rPr>
          <w:rFonts w:ascii="Times New Roman" w:hAnsi="Times New Roman"/>
          <w:sz w:val="20"/>
          <w:u w:val="single"/>
        </w:rPr>
        <w:t>Section 5.11(b)(iii)(B)</w:t>
      </w:r>
      <w:r>
        <w:rPr>
          <w:rFonts w:ascii="Times New Roman" w:hAnsi="Times New Roman"/>
          <w:sz w:val="20"/>
        </w:rPr>
        <w:t xml:space="preserve"> and </w:t>
      </w:r>
      <w:r>
        <w:rPr>
          <w:rFonts w:ascii="Times New Roman" w:hAnsi="Times New Roman"/>
          <w:sz w:val="20"/>
          <w:u w:val="single"/>
        </w:rPr>
        <w:t>Section 5.11(b)(iii)(C)</w:t>
      </w:r>
      <w:r>
        <w:rPr>
          <w:rFonts w:ascii="Times New Roman" w:hAnsi="Times New Roman"/>
          <w:sz w:val="20"/>
        </w:rPr>
        <w:t xml:space="preserve">, no vote of the Series B Holders shall be required if, at or prior to the time when such action is to take effect, provision is made for the redemption of all Series B Preferred Units at the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Optional Redemption; Series B Rating Event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Partnership shall have the right (1) at any time, and from time to time, on or after February 15, 2028 or (2) at any time within 120 days after the conclusion of any review or appeal process instituted by the Partnership following the occurrence of a Series B Rating Event, in each case, to redeem the Series B Preferred Units, which redemption may be in whole or in part (except with respect to a redemption pursuant to clause (2) of this </w:t>
      </w:r>
      <w:r>
        <w:rPr>
          <w:rFonts w:ascii="Times New Roman" w:hAnsi="Times New Roman"/>
          <w:sz w:val="20"/>
          <w:u w:val="single"/>
        </w:rPr>
        <w:t>Section 5.11(b)(iv)(A)</w:t>
      </w:r>
      <w:r>
        <w:rPr>
          <w:rFonts w:ascii="Times New Roman" w:hAnsi="Times New Roman"/>
          <w:sz w:val="20"/>
        </w:rPr>
        <w:t xml:space="preserve"> which shall be in whole but not in part), using any source of funds legally available for such purpose. Any such redemption shall occur on a date set by the General Partner (the “</w:t>
      </w:r>
      <w:r>
        <w:rPr>
          <w:rFonts w:ascii="Times New Roman" w:hAnsi="Times New Roman"/>
          <w:i/>
          <w:sz w:val="20"/>
        </w:rPr>
        <w:t>Series B Redemption Date</w:t>
      </w:r>
      <w:r>
        <w:rPr>
          <w:rFonts w:ascii="Times New Roman" w:hAnsi="Times New Roman"/>
          <w:sz w:val="20"/>
        </w:rPr>
        <w:t xml:space="preserve">”). The Partnership shall effect any such redemption by paying cash for each Series B Preferred Unit to be redeemed equal to 100% (in the case of a redemption described in clause (1) of this </w:t>
      </w:r>
      <w:r>
        <w:rPr>
          <w:rFonts w:ascii="Times New Roman" w:hAnsi="Times New Roman"/>
          <w:sz w:val="20"/>
          <w:u w:val="single"/>
        </w:rPr>
        <w:t>Section 5.11(b)(iv)(A)</w:t>
      </w:r>
      <w:r>
        <w:rPr>
          <w:rFonts w:ascii="Times New Roman" w:hAnsi="Times New Roman"/>
          <w:sz w:val="20"/>
        </w:rPr>
        <w:t xml:space="preserve">), or 102% (in the case of a redemption described in clause (2) of this </w:t>
      </w:r>
      <w:r>
        <w:rPr>
          <w:rFonts w:ascii="Times New Roman" w:hAnsi="Times New Roman"/>
          <w:sz w:val="20"/>
          <w:u w:val="single"/>
        </w:rPr>
        <w:t>Section 5.11(b)(iv)(A)</w:t>
      </w:r>
      <w:r>
        <w:rPr>
          <w:rFonts w:ascii="Times New Roman" w:hAnsi="Times New Roman"/>
          <w:sz w:val="20"/>
        </w:rPr>
        <w:t>), of the Series B Liquidation Preference for such Series B Preferred Unit on such Series B Redemption Date plus an amount equal to all unpaid Series B Distributions thereon from the date of issuance to, but excluding, the Series B Redemption Date (whether or not such distributions shall have been declared) (the “</w:t>
      </w:r>
      <w:r>
        <w:rPr>
          <w:rFonts w:ascii="Times New Roman" w:hAnsi="Times New Roman"/>
          <w:i/>
          <w:sz w:val="20"/>
        </w:rPr>
        <w:t>Series B Redemption Price</w:t>
      </w:r>
      <w:r>
        <w:rPr>
          <w:rFonts w:ascii="Times New Roman" w:hAnsi="Times New Roman"/>
          <w:sz w:val="20"/>
        </w:rPr>
        <w:t xml:space="preserve">”). So long as the Series B Preferred Units to be redeemed are held of record by the Depositary or the nominee of the Depositary, the Series B Redemption Price shall be paid by the Paying Agent to the Depositary on the Series B Redemption Date. </w:t>
      </w:r>
    </w:p>
    <w:p>
      <w:pPr>
        <w:pStyle w:val="TextBody"/>
        <w:bidi w:val="0"/>
        <w:spacing w:before="120" w:after="0"/>
        <w:jc w:val="left"/>
        <w:rPr>
          <w:rFonts w:ascii="Times New Roman" w:hAnsi="Times New Roman"/>
          <w:sz w:val="20"/>
        </w:rPr>
      </w:pPr>
      <w:r>
        <w:rPr>
          <w:rFonts w:ascii="Times New Roman" w:hAnsi="Times New Roman"/>
          <w:sz w:val="20"/>
        </w:rPr>
        <w:t>(B) The Partnership shall give notice of any redemption by mail, postage prepaid, not less than 15 days and not more than 60 days before the scheduled Series B Redemption Date to the Series B Holders (as of 5:00 p.m. New York City time on the Business Day next preceding the day on which notice is given) of any Series B Preferred Units to be redeemed as such Series B Holders’ names appear on the books of the Transfer Agent and at the address of such Series B Holders shown therein. Such notice (the “</w:t>
      </w:r>
      <w:r>
        <w:rPr>
          <w:rFonts w:ascii="Times New Roman" w:hAnsi="Times New Roman"/>
          <w:i/>
          <w:sz w:val="20"/>
        </w:rPr>
        <w:t>Series B Redemption Notice</w:t>
      </w:r>
      <w:r>
        <w:rPr>
          <w:rFonts w:ascii="Times New Roman" w:hAnsi="Times New Roman"/>
          <w:sz w:val="20"/>
        </w:rPr>
        <w:t xml:space="preserve">”) shall state, as applicable: (1) the Series B Redemption Date, (2) the number of Series B Preferred Units to be redeemed and, if less than all Outstanding Series B Preferred Units are to be redeemed, the number (and in the case of Series B Preferred Units in certificated form, the identification) of Series B Preferred Units to be redeemed from such Series B Holder, (3) the Series B Redemption Price, (4) the place where any Series B Preferred Units in certificated form are to be redeemed and shall be presented and surrendered for payment of the Series B Redemption Price therefor (which shall occur automatically if the Certificate representing such Series B Preferred Units is issued in the name of the Depositary or its nominee), and (5) that distributions on the Series B Preferred Units to be redeemed shall cease to accumulate from and after such Series B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the Partnership elects to redeem less than all of the Outstanding Series B Preferred Units, the number of Series B Preferred Units to be redeemed shall be determined by the General Partner, and such Series B Preferred Units shall be redeemed by such method of selection as the Depositary shall determine, either Pro Rata or by lot, with adjustments to avoid redemption of fractional Series B Preferred Units. The aggregate Series B Redemption Price for any such partial redemption of the Outstanding Series B Preferred Units shall be allocated correspondingly among the redeemed Series B Preferred Units. The Series B Preferred Units not redeemed shall remain Outstanding and entitled to all the rights, preferences and duties provided in this </w:t>
      </w:r>
      <w:r>
        <w:rPr>
          <w:rFonts w:ascii="Times New Roman" w:hAnsi="Times New Roman"/>
          <w:sz w:val="20"/>
          <w:u w:val="single"/>
        </w:rPr>
        <w:t>Section 5.11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If the Partnership gives or causes to be given a Series B Redemption Notice, the Partnership shall deposit with the Paying Agent funds sufficient to redeem the Series B Preferred Units as to which such Series B Redemption Notice shall have been given, no later than 10:00 a.m. New York City time on the Series B Redemption Date, and shall give the Paying Agent irrevocable instructions and authority to pay the Series B Redemption Price to each Series B Holder whose Series B Preferred Units are to be redeemed upon surrender or deemed surrender (which shall occur automatically if the Certificate representing such Series B Preferred Units is issued in the name of the Depositary or its nominee) of the Certificates therefor as set forth in the Series B Redemption Notice. If a Series B Redemption Notice shall have been given, from and after the Series B Redemption Date, unless the Partnership defaults in providing funds sufficient for such redemption at the time and place specified for payment pursuant to the Series B Redemption Notice, all Series B Distributions on such Series B Preferred Units to be redeemed shall cease to accumulate and all rights of holders of such Series B Preferred Units as Limited Partners with respect to such Series B Preferred Units to be redeemed shall cease, except the right to receive the Series B Redemption Price, and such Series B Preferred Units shall not thereafter be transferred on the books of the Transfer Agent or be deemed to be Outstanding for any purpose whatsoever. The Series B Holders shall have no claim to the interest income, if any, earned on funds deposited with the Paying Agent. </w:t>
      </w:r>
    </w:p>
    <w:p>
      <w:pPr>
        <w:pStyle w:val="TextBody"/>
        <w:bidi w:val="0"/>
        <w:spacing w:before="120" w:after="0"/>
        <w:jc w:val="left"/>
        <w:rPr>
          <w:rFonts w:ascii="Times New Roman" w:hAnsi="Times New Roman"/>
          <w:sz w:val="20"/>
        </w:rPr>
      </w:pPr>
      <w:r>
        <w:rPr>
          <w:rFonts w:ascii="Times New Roman" w:hAnsi="Times New Roman"/>
          <w:sz w:val="20"/>
        </w:rPr>
        <w:t xml:space="preserve">Any funds deposited with the Paying Agent hereunder by the Partnership for any reason, including redemption of Series B Preferred Units, that remain unclaimed or unpaid after one year after the applicable Series B Redemption Date or other payment date, as applicable, shall be, to the extent permitted by law, repaid to the Partnership upon its written request, after which repayment the Series B Holders entitled to such redemption or other payment shall have recourse only to the Partnership. Notwithstanding any Series B Redemption Notice, there shall be no redemption of any Series B Preferred Units called for redemption until funds sufficient to pay the full Series B Redemption Price of such Series B Preferred Units shall have been deposited by the Partnership with the Paying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Any Series B Preferred Units that are redeemed or otherwise acquired by the Partnership shall be canceled. If only a portion of the Series B Preferred Units represented by a Certificate shall have been called for redemption, upon surrender of the Certificate to the Paying Agent (which shall occur automatically if the Certificate representing such Series B Preferred Units is registered in the name of the Depositary or its nominee), the Partnership shall issue and the Paying Agent shall deliver to the Series B Holders a new Certificate (or adjust the applicable book-entry account) representing the number of Series B Preferred Units represented by the surrendered Certificate that have not been called for redemption. </w:t>
      </w:r>
    </w:p>
    <w:p>
      <w:pPr>
        <w:pStyle w:val="TextBody"/>
        <w:bidi w:val="0"/>
        <w:spacing w:before="120" w:after="0"/>
        <w:jc w:val="left"/>
        <w:rPr>
          <w:rFonts w:ascii="Times New Roman" w:hAnsi="Times New Roman"/>
          <w:sz w:val="20"/>
        </w:rPr>
      </w:pPr>
      <w:r>
        <w:rPr>
          <w:rFonts w:ascii="Times New Roman" w:hAnsi="Times New Roman"/>
          <w:sz w:val="20"/>
        </w:rPr>
        <w:t xml:space="preserve">(F) Notwithstanding anything to the contrary in this </w:t>
      </w:r>
      <w:r>
        <w:rPr>
          <w:rFonts w:ascii="Times New Roman" w:hAnsi="Times New Roman"/>
          <w:sz w:val="20"/>
          <w:u w:val="single"/>
        </w:rPr>
        <w:t>Section 5.11</w:t>
      </w:r>
      <w:r>
        <w:rPr>
          <w:rFonts w:ascii="Times New Roman" w:hAnsi="Times New Roman"/>
          <w:sz w:val="20"/>
        </w:rPr>
        <w:t xml:space="preserve">, in the event that full cumulative distributions on the Series B Preferred Units and any Series B Parity Securities shall not have been paid or declared and set aside for payment, the Partnership shall not be permitted to repurchase, redeem or otherwise acquire, in whole or in part, any Series B Preferred Units or Series B Parity Securities except pursuant to a purchase or exchange offer made on the same relative terms to all Series B Holders and holders of any Series B Parity Securities. Subject to </w:t>
      </w:r>
      <w:r>
        <w:rPr>
          <w:rFonts w:ascii="Times New Roman" w:hAnsi="Times New Roman"/>
          <w:sz w:val="20"/>
          <w:u w:val="single"/>
        </w:rPr>
        <w:t>Section 4.9</w:t>
      </w:r>
      <w:r>
        <w:rPr>
          <w:rFonts w:ascii="Times New Roman" w:hAnsi="Times New Roman"/>
          <w:sz w:val="20"/>
        </w:rPr>
        <w:t xml:space="preserve">, so long as any Series B Preferred Units are Outstanding, the Partnership shall not be permitted to redeem, repurchase or otherwise acquire any Common Units or any other Series B Junior Securities unless full cumulative distributions on the Series B Preferred Units and any Series B Parity Securities for all prior and the then-ending Series B Distribution Periods, with respect to the Series B Preferred Units, and all prior and then ending distribution periods, with respect to any such Series B Parity Securities, shall have been paid or declared and set aside for payment.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Liquidation Rights</w:t>
      </w:r>
      <w:r>
        <w:rPr>
          <w:rFonts w:ascii="Times New Roman" w:hAnsi="Times New Roman"/>
          <w:sz w:val="20"/>
        </w:rPr>
        <w:t xml:space="preserve">. In the event of the dissolution and winding up of the Partnership under </w:t>
      </w:r>
      <w:r>
        <w:rPr>
          <w:rFonts w:ascii="Times New Roman" w:hAnsi="Times New Roman"/>
          <w:sz w:val="20"/>
          <w:u w:val="single"/>
        </w:rPr>
        <w:t>Section 12.4</w:t>
      </w:r>
      <w:r>
        <w:rPr>
          <w:rFonts w:ascii="Times New Roman" w:hAnsi="Times New Roman"/>
          <w:sz w:val="20"/>
        </w:rPr>
        <w:t xml:space="preserve"> or a sale, exchange, or other disposition of all or substantially all of the assets of the Partnership, either voluntary or involuntary, the Record Holders of the Series B Preferred Units shall be entitled to receive, out of the assets of the Partnership available for distribution to the Partners or any Assignees, prior and in preference to any distribution of any assets of the Partnership to the Record Holders of any other class or series of Partnership Interests (other than Series B Senior Securities or Series B Parity Securities), (A) first, any accumulated and unpaid distributions on the Series B Preferred Units (regardless of whether previously declared) and (B) then, any positive value in each such holder’s Capital Account in respect of such Series B Preferred Units. If in the year of such dissolution and winding up, or sale, exchange, or other disposition of all or substantially all of the assets of the Partnership, any such Record Holder’s Capital Account in respect of such Series B Preferred Units is less than the aggregate Series B Base Liquidation Preference of such Series B Preferred Units, then, notwithstanding anything to the contrary contained in this Agreement, and prior to any other allocation pursuant to this Agreement for such year and any distribution pursuant to the preceding sentence (other than any allocations or distributions made with respect to any other Series B Parity Securities upon which like allocation and distribution rights have been conferred), items of gross income and gain shall be allocated to all Unitholders then holding Series B Preferred Units, Pro Rata, until the Capital Account in respect of each Outstanding Series B Preferred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Unit is equal to the Series B Base Liquidation Preference (and no other allocation pursuant to this Agreement shall reverse the effect of such allocation);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in the event that like allocation rights have been conferred upon other Series B Parity Securities (including pursuant to </w:t>
      </w:r>
      <w:r>
        <w:rPr>
          <w:rFonts w:ascii="Times New Roman" w:hAnsi="Times New Roman"/>
          <w:sz w:val="20"/>
          <w:u w:val="single"/>
        </w:rPr>
        <w:t>5.12(b)(v)</w:t>
      </w:r>
      <w:r>
        <w:rPr>
          <w:rFonts w:ascii="Times New Roman" w:hAnsi="Times New Roman"/>
          <w:sz w:val="20"/>
        </w:rPr>
        <w:t xml:space="preserve">), then items of gross income and gain shall be allocated to all Unitholders then holding Series B Preferred Units and such Series B Parity Securities, Pro Rata, until the Capital Account in respect of each Outstanding Series B Preferred Unit and such Series B Parity Security is equal to the applicable liquidation preference (and no other allocation pursuant to this Agreement shall reverse the effect of such allocation). If in the year of such dissolution and winding up any such Record Holder’s Capital Account in respect of such Series B Preferred Units is less than the aggregate Series B Base Liquidation Preference of such Series B Preferred Units after the application of the preceding sentence, then to the extent permitted by applicable law, but otherwise notwithstanding anything to the contrary contained in this Agreement, items of gross income and gain for any preceding taxable year(s) with respect to which IRS Form 1065 Schedules K-1 have not been filed by the Partnership shall be reallocated to all Unitholders then holding Series B Preferred Units, Pro Rata, until the Capital Account in respect of each such Outstanding Series B Preferred Unit after making allocations pursuant to this and the immediately preceding sentence is equal to the Series B Base Liquidation Preference (and no other allocation pursuant to this Agreement shall reverse the effect of such allocation);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in the event like allocation rights have been conferred upon other Series B Parity Securities (including pursuant to </w:t>
      </w:r>
      <w:r>
        <w:rPr>
          <w:rFonts w:ascii="Times New Roman" w:hAnsi="Times New Roman"/>
          <w:sz w:val="20"/>
          <w:u w:val="single"/>
        </w:rPr>
        <w:t>5.12(b)(v)</w:t>
      </w:r>
      <w:r>
        <w:rPr>
          <w:rFonts w:ascii="Times New Roman" w:hAnsi="Times New Roman"/>
          <w:sz w:val="20"/>
        </w:rPr>
        <w:t xml:space="preserve">), then any such items of gross income and gain shall be reallocated to all Unitholders then holding Series B Preferred Units and such Series B Parity Securities, Pro Rata, until the Capital Account in respect of each Outstanding Series B Preferred Unit and such Series B Parity Security after making allocations pursuant to this and the immediately preceding sentence is equal to the applicable liquidation preference (and no other allocation pursuant to this Agreement shall reverse the effect of such allocation). After such allocations have been made to the Outstanding Series B Preferred Units, and any Series B Parity Securities, as applicable, any remaining Net Termination Gain or Net Termination Loss shall be allocated to the Partners pursuant to </w:t>
      </w:r>
      <w:r>
        <w:rPr>
          <w:rFonts w:ascii="Times New Roman" w:hAnsi="Times New Roman"/>
          <w:sz w:val="20"/>
          <w:u w:val="single"/>
        </w:rPr>
        <w:t>Section 6.1(c)</w:t>
      </w:r>
      <w:r>
        <w:rPr>
          <w:rFonts w:ascii="Times New Roman" w:hAnsi="Times New Roman"/>
          <w:sz w:val="20"/>
        </w:rPr>
        <w:t xml:space="preserve"> or </w:t>
      </w:r>
      <w:r>
        <w:rPr>
          <w:rFonts w:ascii="Times New Roman" w:hAnsi="Times New Roman"/>
          <w:sz w:val="20"/>
          <w:u w:val="single"/>
        </w:rPr>
        <w:t>Section 6.1(d)</w:t>
      </w:r>
      <w:r>
        <w:rPr>
          <w:rFonts w:ascii="Times New Roman" w:hAnsi="Times New Roman"/>
          <w:sz w:val="20"/>
        </w:rPr>
        <w:t xml:space="preserve">, as the case may be. At the time of the dissolution of the Partnership, subject to Sections 11.053 and 153.210 of the Texas Limited Partnership Law, the Record Holders of the Series B Preferred Units shall become entitled to receive any distributions in respect of the Series B Preferred Units that are accrued and unpaid as of the date of such distribution, and shall have the status of, and shall be entitled to all remedies available to, a creditor of the Partnership, and such entitlement of the Record Holders of the Series B Preferred Units to such accrued and unpaid distributions shall have priority over any entitlement of any other Partners or Assignees (other than holders of any Series B Senior Securities or Series B Parity Securities) with respect to any distributions by the Partnership to such other Partners or Assignees;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General Partner, as such, will have no liability for any obligations with respect to such distributions to any Record Holder(s) of Series B Preferred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w:t>
      </w:r>
      <w:r>
        <w:rPr>
          <w:rFonts w:ascii="Times New Roman" w:hAnsi="Times New Roman"/>
          <w:i/>
          <w:sz w:val="20"/>
        </w:rPr>
        <w:t>Rank</w:t>
      </w:r>
      <w:r>
        <w:rPr>
          <w:rFonts w:ascii="Times New Roman" w:hAnsi="Times New Roman"/>
          <w:sz w:val="20"/>
        </w:rPr>
        <w:t xml:space="preserve">. The Series B Preferred Units shall each be deemed to rank as to distributions on such Partnership Securities and distributions upon liquidation of the Partnership: </w:t>
      </w:r>
    </w:p>
    <w:p>
      <w:pPr>
        <w:pStyle w:val="TextBody"/>
        <w:bidi w:val="0"/>
        <w:spacing w:before="120" w:after="0"/>
        <w:jc w:val="left"/>
        <w:rPr>
          <w:rFonts w:ascii="Times New Roman" w:hAnsi="Times New Roman"/>
          <w:sz w:val="20"/>
        </w:rPr>
      </w:pPr>
      <w:r>
        <w:rPr>
          <w:rFonts w:ascii="Times New Roman" w:hAnsi="Times New Roman"/>
          <w:sz w:val="20"/>
        </w:rPr>
        <w:t xml:space="preserve">(A) senior to any Series B Junior Securities; </w:t>
      </w:r>
    </w:p>
    <w:p>
      <w:pPr>
        <w:pStyle w:val="TextBody"/>
        <w:bidi w:val="0"/>
        <w:spacing w:before="120" w:after="0"/>
        <w:jc w:val="left"/>
        <w:rPr>
          <w:rFonts w:ascii="Times New Roman" w:hAnsi="Times New Roman"/>
          <w:sz w:val="20"/>
        </w:rPr>
      </w:pPr>
      <w:r>
        <w:rPr>
          <w:rFonts w:ascii="Times New Roman" w:hAnsi="Times New Roman"/>
          <w:sz w:val="20"/>
        </w:rPr>
        <w:t xml:space="preserve">(B) on a parity with any Series B Parity Securities; </w:t>
      </w:r>
    </w:p>
    <w:p>
      <w:pPr>
        <w:pStyle w:val="TextBody"/>
        <w:bidi w:val="0"/>
        <w:spacing w:before="120" w:after="0"/>
        <w:jc w:val="left"/>
        <w:rPr>
          <w:rFonts w:ascii="Times New Roman" w:hAnsi="Times New Roman"/>
          <w:sz w:val="20"/>
        </w:rPr>
      </w:pPr>
      <w:r>
        <w:rPr>
          <w:rFonts w:ascii="Times New Roman" w:hAnsi="Times New Roman"/>
          <w:sz w:val="20"/>
        </w:rPr>
        <w:t xml:space="preserve">(C) junior to any Series B Senior Securities; and </w:t>
      </w:r>
    </w:p>
    <w:p>
      <w:pPr>
        <w:pStyle w:val="TextBody"/>
        <w:bidi w:val="0"/>
        <w:spacing w:before="120" w:after="0"/>
        <w:jc w:val="left"/>
        <w:rPr>
          <w:rFonts w:ascii="Times New Roman" w:hAnsi="Times New Roman"/>
          <w:sz w:val="20"/>
        </w:rPr>
      </w:pPr>
      <w:r>
        <w:rPr>
          <w:rFonts w:ascii="Times New Roman" w:hAnsi="Times New Roman"/>
          <w:sz w:val="20"/>
        </w:rPr>
        <w:t xml:space="preserve">(D) junior to all existing and future indebtedness of the Partnership and other liabilities with respect to assets available to satisfy claims against the Partnership.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i/>
          <w:sz w:val="20"/>
        </w:rPr>
        <w:t>No Sinking Fund</w:t>
      </w:r>
      <w:r>
        <w:rPr>
          <w:rFonts w:ascii="Times New Roman" w:hAnsi="Times New Roman"/>
          <w:sz w:val="20"/>
        </w:rPr>
        <w:t xml:space="preserve">. The Series B Preferred Units shall not have the benefit of any sinking fund.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i/>
          <w:sz w:val="20"/>
        </w:rPr>
        <w:t>Record Holders</w:t>
      </w:r>
      <w:r>
        <w:rPr>
          <w:rFonts w:ascii="Times New Roman" w:hAnsi="Times New Roman"/>
          <w:sz w:val="20"/>
        </w:rPr>
        <w:t xml:space="preserve">. To the fullest extent permitted by applicable law, the General Partner, the Partnership, the Transfer Agent, and the Paying Agent may deem and treat any Series B Holder as the true, lawful, and absolute owner of the applicable Series B Preferred Units for all purposes, and none of the General Partner, the Partnership, the Transfer Agent or the Paying Agent shall be affected by any notice to the contrary, except as otherwise provided by law or any applicable rule, regulation, guideline or requirement of any National Securities Exchange on which the Series B Preferred Units may be listed or admitted to trading, if any. </w:t>
      </w:r>
    </w:p>
    <w:p>
      <w:pPr>
        <w:pStyle w:val="TextBody"/>
        <w:bidi w:val="0"/>
        <w:spacing w:before="120" w:after="0"/>
        <w:jc w:val="left"/>
        <w:rPr>
          <w:rFonts w:ascii="Times New Roman" w:hAnsi="Times New Roman"/>
          <w:sz w:val="20"/>
        </w:rPr>
      </w:pPr>
      <w:r>
        <w:rPr>
          <w:rFonts w:ascii="Times New Roman" w:hAnsi="Times New Roman"/>
          <w:sz w:val="20"/>
        </w:rPr>
        <w:t xml:space="preserve">(ix) </w:t>
      </w:r>
      <w:r>
        <w:rPr>
          <w:rFonts w:ascii="Times New Roman" w:hAnsi="Times New Roman"/>
          <w:i/>
          <w:sz w:val="20"/>
        </w:rPr>
        <w:t>Other Rights, Fiduciary Duties</w:t>
      </w:r>
      <w:r>
        <w:rPr>
          <w:rFonts w:ascii="Times New Roman" w:hAnsi="Times New Roman"/>
          <w:sz w:val="20"/>
        </w:rPr>
        <w:t xml:space="preserve">. The Series B Preferred Units and the Series B Holders shall not have any designations, preferences, rights, powers or duties, other than as set forth in this Agreement or as provided by applicable law. Notwithstanding anything to the contrary in this Agreement or any duty existing at law, in equity or otherwise, to the fullest extent permitted by applicable law, neither the General Partner nor any other Indemnitee shall owe any duties, including fiduciary duties, or have any liabilities to Series B Holders, other than the implied contractual covenant of good faith and fair dealing. The General Partner and other Indemnitees shall have no duties or obligations to the Series B Holders under Sections 152.205, 152.206 or 152.204(b) of the Texas Limited Partnership Law. </w:t>
      </w:r>
    </w:p>
    <w:p>
      <w:pPr>
        <w:pStyle w:val="TextBody"/>
        <w:bidi w:val="0"/>
        <w:spacing w:before="24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Establishment of Series G Preferred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w:t>
      </w:r>
      <w:r>
        <w:rPr>
          <w:rFonts w:ascii="Times New Roman" w:hAnsi="Times New Roman"/>
          <w:sz w:val="20"/>
        </w:rPr>
        <w:t>. The Partnership hereby designates and creates a class of Partnership Securities to be designated as “7.125% Series G Fixed-Rate Reset Cumulative Redeemable Perpetual Preferred Units” (the “</w:t>
      </w:r>
      <w:r>
        <w:rPr>
          <w:rFonts w:ascii="Times New Roman" w:hAnsi="Times New Roman"/>
          <w:i/>
          <w:sz w:val="20"/>
        </w:rPr>
        <w:t>Series G Preferred Units</w:t>
      </w:r>
      <w:r>
        <w:rPr>
          <w:rFonts w:ascii="Times New Roman" w:hAnsi="Times New Roman"/>
          <w:sz w:val="20"/>
        </w:rPr>
        <w:t xml:space="preserve">”), having the preferences, rights, powers, and duties set forth herein, including this </w:t>
      </w:r>
      <w:r>
        <w:rPr>
          <w:rFonts w:ascii="Times New Roman" w:hAnsi="Times New Roman"/>
          <w:sz w:val="20"/>
          <w:u w:val="single"/>
        </w:rPr>
        <w:t>Section 5.12</w:t>
      </w:r>
      <w:r>
        <w:rPr>
          <w:rFonts w:ascii="Times New Roman" w:hAnsi="Times New Roman"/>
          <w:sz w:val="20"/>
        </w:rPr>
        <w:t xml:space="preserve">. Each Series G Preferred Unit shall be identical in all respects to every other Series G Preferred Unit, except as to the respective dates from which the Series G Liquidation Preference shall increase or from which Series G Distributions may begin accruing, to the extent such dates may differ. The Series G Preferred Units represent perpetual equity interests in the Partnership and shall not give rise to a claim by the Partnership or a Series G Holder for conversion or, except as set forth in </w:t>
      </w:r>
      <w:r>
        <w:rPr>
          <w:rFonts w:ascii="Times New Roman" w:hAnsi="Times New Roman"/>
          <w:sz w:val="20"/>
          <w:u w:val="single"/>
        </w:rPr>
        <w:t>Section 5.12(b)(iv)</w:t>
      </w:r>
      <w:r>
        <w:rPr>
          <w:rFonts w:ascii="Times New Roman" w:hAnsi="Times New Roman"/>
          <w:sz w:val="20"/>
        </w:rPr>
        <w:t xml:space="preserve">, redemption thereof at a particular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Rights of Series G Preferred Units</w:t>
      </w:r>
      <w:r>
        <w:rPr>
          <w:rFonts w:ascii="Times New Roman" w:hAnsi="Times New Roman"/>
          <w:sz w:val="20"/>
        </w:rPr>
        <w:t xml:space="preserve">. The Series G Preferred Units shall have the following rights, preferences and privileges and shall be subject to the following duties and obligations: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Series G Preferred 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authorized number of Series G Preferred Units shall be unlimited. Series G Preferred Units that are purchased or otherwise acquired by the Partnership shall be canceled. </w:t>
      </w:r>
    </w:p>
    <w:p>
      <w:pPr>
        <w:pStyle w:val="TextBody"/>
        <w:bidi w:val="0"/>
        <w:spacing w:before="120" w:after="0"/>
        <w:jc w:val="left"/>
        <w:rPr>
          <w:rFonts w:ascii="Times New Roman" w:hAnsi="Times New Roman"/>
          <w:sz w:val="20"/>
        </w:rPr>
      </w:pPr>
      <w:r>
        <w:rPr>
          <w:rFonts w:ascii="Times New Roman" w:hAnsi="Times New Roman"/>
          <w:sz w:val="20"/>
        </w:rPr>
        <w:t xml:space="preserve">(B) The Series G Preferred Units shall be represented by one or more global Certificates registered in the name of the Depositary or its nominee, and no Series G Holder shall be entitled to receive a definitive Certificate evidencing its Series G Preferred Units, unless (1) requested by a Series G Holder and consented to by the General Partner in its sole discretion, (2) otherwise required by law or (3) the Depositary gives notice of its intention to resign or is no longer eligible to act as such with respect to the Series G Preferred Units and the General Partner shall have not selected a substitute Depositary within 60 calendar days thereafter. So long as the Depositary shall have been appointed and is serving with respect to the Series G Preferred Units, payments and communications made by the Partnership to Series G Holders shall be made by making payments to, and communicating with, the Depositary.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Distributions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Distributions on each Outstanding Series G Preferred Unit shall be cumulative and shall accumulate at the applicable Series G Distribution Rate from and including November 16, 2020 (or, for any subsequently issued and newly Outstanding Series G Preferred Units, from and including the Series G Distribution Payment Date immediately preceding the issue date of such Series G Preferred Units) until such time as the Partnership pays the Series G Distribution or redeems such Series G Preferred Unit in accordance with </w:t>
      </w:r>
      <w:r>
        <w:rPr>
          <w:rFonts w:ascii="Times New Roman" w:hAnsi="Times New Roman"/>
          <w:sz w:val="20"/>
          <w:u w:val="single"/>
        </w:rPr>
        <w:t>Section 5.12(b)(iv)</w:t>
      </w:r>
      <w:r>
        <w:rPr>
          <w:rFonts w:ascii="Times New Roman" w:hAnsi="Times New Roman"/>
          <w:sz w:val="20"/>
        </w:rPr>
        <w:t xml:space="preserve">, whether or not such Series G Distributions shall have been declared. Series G Holders shall be entitled to receive Series G Distributions from time to time out of any assets of the Partnership legally available for the payment of distributions at the Series G Distribution Rate per Series G Preferred Unit when, as, and, if declared by the General Partner. Series G Distributions, to the extent declared by the General Partner to be paid by the Partnership in accordance with this </w:t>
      </w:r>
      <w:r>
        <w:rPr>
          <w:rFonts w:ascii="Times New Roman" w:hAnsi="Times New Roman"/>
          <w:sz w:val="20"/>
          <w:u w:val="single"/>
        </w:rPr>
        <w:t>Section 5.12(b)(ii)</w:t>
      </w:r>
      <w:r>
        <w:rPr>
          <w:rFonts w:ascii="Times New Roman" w:hAnsi="Times New Roman"/>
          <w:sz w:val="20"/>
        </w:rPr>
        <w:t xml:space="preserve">, shall be paid, in Arrears, on each Series G Distribution Payment Date. Series G Distributions shall accumulate in each Series G Distribution Period from and including the preceding Series G Distribution Payment Date (other than the initial Series G Distribution Period, which shall commence on and include November 16, 2020), to, but excluding, the next Series G Distribution Payment Date for such Series G Distribution Period; </w:t>
      </w:r>
      <w:r>
        <w:rPr>
          <w:rFonts w:ascii="Times New Roman" w:hAnsi="Times New Roman"/>
          <w:sz w:val="20"/>
          <w:u w:val="single"/>
        </w:rPr>
        <w:t xml:space="preserve">provided </w:t>
      </w:r>
      <w:r>
        <w:rPr>
          <w:rFonts w:ascii="Times New Roman" w:hAnsi="Times New Roman"/>
          <w:sz w:val="20"/>
        </w:rPr>
        <w:t xml:space="preserve">that distributions shall accrue on accumulated but unpaid Series G Distributions at the Series G Distribution Rate. If any Series G Distribution Payment Date otherwise would occur on a date that is not a Business Day, declared Series G Distributions shall be paid on the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succeeding Business Day without the accumulation of additional distributions. All Series G Distributions that are (1) accumulated and unpaid or (2) payable by the Partnership pursuant to this </w:t>
      </w:r>
      <w:r>
        <w:rPr>
          <w:rFonts w:ascii="Times New Roman" w:hAnsi="Times New Roman"/>
          <w:sz w:val="20"/>
          <w:u w:val="single"/>
        </w:rPr>
        <w:t>Section 5.12(b)(ii)</w:t>
      </w:r>
      <w:r>
        <w:rPr>
          <w:rFonts w:ascii="Times New Roman" w:hAnsi="Times New Roman"/>
          <w:sz w:val="20"/>
        </w:rPr>
        <w:t xml:space="preserve"> shall be payable without regard to income of the Partnership and shall be treated for federal income tax purposes as guaranteed payments for the use of capital under Section 707(c) of the Code. The guaranteed payment with respect to any Series G Distribution Period shall be for the account of the holders of Series G Preferred Units as of the applicable Series G Distribution Record Date. </w:t>
      </w:r>
    </w:p>
    <w:p>
      <w:pPr>
        <w:pStyle w:val="TextBody"/>
        <w:bidi w:val="0"/>
        <w:spacing w:before="120" w:after="0"/>
        <w:jc w:val="left"/>
        <w:rPr>
          <w:rFonts w:ascii="Times New Roman" w:hAnsi="Times New Roman"/>
          <w:sz w:val="20"/>
        </w:rPr>
      </w:pPr>
      <w:r>
        <w:rPr>
          <w:rFonts w:ascii="Times New Roman" w:hAnsi="Times New Roman"/>
          <w:sz w:val="20"/>
        </w:rPr>
        <w:t>(B) Not later than 5:00 p.m., New York City time, on each Series G Distribution Payment Date, the Partnership shall pay those Series G Distributions, if any, that shall have been declared by the General Partner to Series G Holders on the Record Date for the applicable Series G Distribution. The Record Date (the “</w:t>
      </w:r>
      <w:r>
        <w:rPr>
          <w:rFonts w:ascii="Times New Roman" w:hAnsi="Times New Roman"/>
          <w:i/>
          <w:sz w:val="20"/>
        </w:rPr>
        <w:t>Series G Distribution Record Date</w:t>
      </w:r>
      <w:r>
        <w:rPr>
          <w:rFonts w:ascii="Times New Roman" w:hAnsi="Times New Roman"/>
          <w:sz w:val="20"/>
        </w:rPr>
        <w:t xml:space="preserve">”) for the payment of any Series G Distributions shall be as of the close of business on the first Business Day of the month of the applicable Series G Distribution Payment Date, except that in the case of payments of Series G Distributions in Arrears, the Series G Distribution Record Date with respect to a Series G Distribution Payment Date shall be such date as may be designated by the General Partner in accordance with this </w:t>
      </w:r>
      <w:r>
        <w:rPr>
          <w:rFonts w:ascii="Times New Roman" w:hAnsi="Times New Roman"/>
          <w:sz w:val="20"/>
          <w:u w:val="single"/>
        </w:rPr>
        <w:t>Section 5.12</w:t>
      </w:r>
      <w:r>
        <w:rPr>
          <w:rFonts w:ascii="Times New Roman" w:hAnsi="Times New Roman"/>
          <w:sz w:val="20"/>
        </w:rPr>
        <w:t xml:space="preserve">. So long as any Series G Preferred Units are Outstanding, no distribution shall be declared or paid or set aside for payment on any Series G Junior Securities (other than a distribution payable solely in Series G Junior Securities) unless full cumulative Series G Distributions have been or contemporaneously are being paid or set apart for payment on all Outstanding Series G Preferred Units (and distributions on any other Series G Parity Securities) through the most recent respective Series G Distribution Payment Date (and distribution payment date with respect to such Series G Parity Securities, if any);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notwithstanding anything to the contrary in this </w:t>
      </w:r>
      <w:r>
        <w:rPr>
          <w:rFonts w:ascii="Times New Roman" w:hAnsi="Times New Roman"/>
          <w:sz w:val="20"/>
          <w:u w:val="single"/>
        </w:rPr>
        <w:t>Section 5.12(b)(ii)(B)</w:t>
      </w:r>
      <w:r>
        <w:rPr>
          <w:rFonts w:ascii="Times New Roman" w:hAnsi="Times New Roman"/>
          <w:sz w:val="20"/>
        </w:rPr>
        <w:t xml:space="preserve">, if a distribution period with respect to a class of Series G Junior Securities or Series G Parity Securities is shorter than the Series G Distribution Period, the General Partner may declare and pay regular distributions with respect to such Series G Junior Securities or Series G Parity Securities, so long as, at the time of declaration of such distribution, (i) there are no Series G Distributions in Arrears, and (ii) the General Partner expects to have sufficient funds to pay the full distribution in respect of the Series G Preferred Units on the next successive Series G Distribution Payment Date. Accumulated Series G Distributions in Arrears for any past Series G Distribution Period may be declared by the General Partner and paid on any date fixed by the General Partner, whether or not a Series G Distribution Payment Date, to Series G Holders on the Record Date for such payment, which may not be less than 10 calendar days before such payment date. Subject to the next succeeding sentence, if all accumulated Series G Distributions in Arrears on all Outstanding Series G Preferred Units and all accumulated distributions in arrears on any Series G Parity Securities shall not have been declared and paid, or if sufficient funds for the payment thereof shall not have been set apart, payment of accumulated distributions in Arrears on the Series G Preferred Units and accumulated distributions in arrears on any such Series G Parity Securities shall be made in order of their respective distribution payment dates, commencing with the earliest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distribution payment date. If less than all distributions payable with respect to all Series G Preferred Units and any other Series G Parity Securities are paid, any partial payment shall be made Pro Rata with respect to the Series G Preferred Units and any such other Series G Parity Securities entitled to a distribution payment at such time in proportion to the aggregate distribution amounts remaining due in respect of such Series G Preferred Units and such other Series G Parity Securities at such time. Subject to </w:t>
      </w:r>
      <w:r>
        <w:rPr>
          <w:rFonts w:ascii="Times New Roman" w:hAnsi="Times New Roman"/>
          <w:sz w:val="20"/>
          <w:u w:val="single"/>
        </w:rPr>
        <w:t>Section 12.4</w:t>
      </w:r>
      <w:r>
        <w:rPr>
          <w:rFonts w:ascii="Times New Roman" w:hAnsi="Times New Roman"/>
          <w:sz w:val="20"/>
        </w:rPr>
        <w:t xml:space="preserve"> and </w:t>
      </w:r>
      <w:r>
        <w:rPr>
          <w:rFonts w:ascii="Times New Roman" w:hAnsi="Times New Roman"/>
          <w:sz w:val="20"/>
          <w:u w:val="single"/>
        </w:rPr>
        <w:t>Section 5.12(b)(v)</w:t>
      </w:r>
      <w:r>
        <w:rPr>
          <w:rFonts w:ascii="Times New Roman" w:hAnsi="Times New Roman"/>
          <w:sz w:val="20"/>
        </w:rPr>
        <w:t xml:space="preserve">, Series G Holders shall not be entitled to any distribution, whether payable in cash, property or Partnership Securities, in excess of full cumulative Series G Distributions. Except insofar as distributions accrue on the amount of any accumulated and unpaid Series G Distributions as described in </w:t>
      </w:r>
      <w:r>
        <w:rPr>
          <w:rFonts w:ascii="Times New Roman" w:hAnsi="Times New Roman"/>
          <w:sz w:val="20"/>
          <w:u w:val="single"/>
        </w:rPr>
        <w:t>Section 5.12(b)(ii)(A)</w:t>
      </w:r>
      <w:r>
        <w:rPr>
          <w:rFonts w:ascii="Times New Roman" w:hAnsi="Times New Roman"/>
          <w:sz w:val="20"/>
        </w:rPr>
        <w:t xml:space="preserve">, no interest or sum of money in lieu of interest shall be payable in respect of any distribution payment which may be in Arrears on the Series G Preferred Units. So long as the Series G Preferred Units are held of record by the Depositary or its nominee, declared Series G Distributions shall be paid to the Depositary in same-day funds on each Series G Distribution Payment Date or other distribution payment date in the case of payments for Series G Distributions in Arrears. </w:t>
      </w:r>
    </w:p>
    <w:p>
      <w:pPr>
        <w:pStyle w:val="TextBody"/>
        <w:bidi w:val="0"/>
        <w:spacing w:before="120" w:after="0"/>
        <w:jc w:val="left"/>
        <w:rPr>
          <w:rFonts w:ascii="Times New Roman" w:hAnsi="Times New Roman"/>
          <w:sz w:val="20"/>
        </w:rPr>
      </w:pPr>
      <w:r>
        <w:rPr>
          <w:rFonts w:ascii="Times New Roman" w:hAnsi="Times New Roman"/>
          <w:sz w:val="20"/>
        </w:rPr>
        <w:t xml:space="preserve">(C) The Series G Distribution Rate for each Series G Reset Period will be determined by the Calculation Agent for the Series G Preferred Units using the Series G Five-year U.S. Treasury Rate, as of the applicable Series G Reset Distribution Determination Date for such Series G Reset Period. The Calculation Agent for the Series G Preferred Units then will add the spread of 5.306% per annum to the Series G Five-year U.S. Treasury Rate as determined by the Calculation Agent as of the applicable Series G Reset Distribution Determination Date for such Series G Reset Period. Promptly following such determination by the Calculation Agent for the Series G Preferred Units, the Calculation Agent shall notify the Partnership of the Series G Distribution Rate for such Series G Reset Period. Such Calculation Agent’s determination of any Series G Distribution Rate for each Series G Reset Period and its calculation of the amount of Series G Distributions for any Series G Reset Period will be (i) available on file at the principal offices of the Partnership beginning on or after the Series G First Call Date, (ii) made available to any Series G Holder upon request and (iii) final and binding on each Series G Holder in the absence of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(D) The Partnership will provide notice of the relevant Series G Five-year U.S. Treasury Rate as soon as practicable to the Transfer Agent and the Series G Holders.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the foregoing, unless otherwise determined by the General Partner, Series G Distributions shall be deemed to have been paid out of deductions from Available Cash with respect to the Quarter ended immediately preceding the Quarter in which the Series G Distribution is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Voting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anything to the contrary in this Agreement, the Series G Preferred Units shall not have any voting rights or rights to consent or approve any action or matter, except as set forth in </w:t>
      </w:r>
      <w:r>
        <w:rPr>
          <w:rFonts w:ascii="Times New Roman" w:hAnsi="Times New Roman"/>
          <w:sz w:val="20"/>
          <w:u w:val="single"/>
        </w:rPr>
        <w:t>Section 13.3(c)</w:t>
      </w:r>
      <w:r>
        <w:rPr>
          <w:rFonts w:ascii="Times New Roman" w:hAnsi="Times New Roman"/>
          <w:sz w:val="20"/>
        </w:rPr>
        <w:t xml:space="preserve">, this </w:t>
      </w:r>
      <w:r>
        <w:rPr>
          <w:rFonts w:ascii="Times New Roman" w:hAnsi="Times New Roman"/>
          <w:sz w:val="20"/>
          <w:u w:val="single"/>
        </w:rPr>
        <w:t>Section 5.12(b)(iii)</w:t>
      </w:r>
      <w:r>
        <w:rPr>
          <w:rFonts w:ascii="Times New Roman" w:hAnsi="Times New Roman"/>
          <w:sz w:val="20"/>
        </w:rPr>
        <w:t xml:space="preserve"> or as otherwise required by the Texas Limited Partnership Law.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to the contrary in this Agreement, without the affirmative vote or consent of the holders of at least 66 2/3% of the Outstanding Series G Preferred Units, voting as a separate class, the General Partner shall not adopt any amendment to this Agreement that the General Partner determines would have a material adverse effect on the powers, preferences, duties, or special rights of the Series G Preferred Units;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 subject to </w:t>
      </w:r>
      <w:r>
        <w:rPr>
          <w:rFonts w:ascii="Times New Roman" w:hAnsi="Times New Roman"/>
          <w:sz w:val="20"/>
          <w:u w:val="single"/>
        </w:rPr>
        <w:t>Section 5.12(b)(iii)(C)</w:t>
      </w:r>
      <w:r>
        <w:rPr>
          <w:rFonts w:ascii="Times New Roman" w:hAnsi="Times New Roman"/>
          <w:sz w:val="20"/>
        </w:rPr>
        <w:t xml:space="preserve">, the issuance of additional Partnership Securities (and any amendment to this Agreement in connection therewith) shall not be deemed to constitute such a material adverse effect for purposes of this </w:t>
      </w:r>
      <w:r>
        <w:rPr>
          <w:rFonts w:ascii="Times New Roman" w:hAnsi="Times New Roman"/>
          <w:sz w:val="20"/>
          <w:u w:val="single"/>
        </w:rPr>
        <w:t>Section 5.12(b)(iii)(B)</w:t>
      </w:r>
      <w:r>
        <w:rPr>
          <w:rFonts w:ascii="Times New Roman" w:hAnsi="Times New Roman"/>
          <w:sz w:val="20"/>
        </w:rPr>
        <w:t xml:space="preserve"> and (ii) for purposes of this </w:t>
      </w:r>
      <w:r>
        <w:rPr>
          <w:rFonts w:ascii="Times New Roman" w:hAnsi="Times New Roman"/>
          <w:sz w:val="20"/>
          <w:u w:val="single"/>
        </w:rPr>
        <w:t>Section 5.12(b)(iii)(B)</w:t>
      </w:r>
      <w:r>
        <w:rPr>
          <w:rFonts w:ascii="Times New Roman" w:hAnsi="Times New Roman"/>
          <w:sz w:val="20"/>
        </w:rPr>
        <w:t xml:space="preserve">, no amendment of this Agreement in connection with a merger or other transaction in which the Series G Preferred Units remain Outstanding with the terms thereof materially unchanged in any respect adverse to the Series G Holders (as determined by the General Partner) shall be deemed to materially and adversely affect the powers, preferences, duties, or special rights of the Series G Preferred Units.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in this Agreement, without the affirmative vote or consent of the holders of at least 66 2/3% of the Outstanding Series G Preferred Units, voting as a class together with holders of any other Series G Parity Securities upon which like voting rights have been conferred and are exercisable, the Partnership shall not (x) create or issue any Series G Parity Securities (including any additional Series G Preferred Units) if the cumulative distributions payable on Outstanding Series G Preferred Units (or any Series G Parity Securities, if the holders of such Series G Parity Securities vote as a class together with the Series G Holders pursuant to this </w:t>
      </w:r>
      <w:r>
        <w:rPr>
          <w:rFonts w:ascii="Times New Roman" w:hAnsi="Times New Roman"/>
          <w:sz w:val="20"/>
          <w:u w:val="single"/>
        </w:rPr>
        <w:t>Section 5.12(b)(iii)(C)</w:t>
      </w:r>
      <w:r>
        <w:rPr>
          <w:rFonts w:ascii="Times New Roman" w:hAnsi="Times New Roman"/>
          <w:sz w:val="20"/>
        </w:rPr>
        <w:t xml:space="preserve">) are in Arrears or (y) create or issue any Series G Senior Securities. </w:t>
      </w:r>
    </w:p>
    <w:p>
      <w:pPr>
        <w:pStyle w:val="TextBody"/>
        <w:bidi w:val="0"/>
        <w:spacing w:before="120" w:after="0"/>
        <w:jc w:val="left"/>
        <w:rPr>
          <w:rFonts w:ascii="Times New Roman" w:hAnsi="Times New Roman"/>
          <w:sz w:val="20"/>
        </w:rPr>
      </w:pPr>
      <w:r>
        <w:rPr>
          <w:rFonts w:ascii="Times New Roman" w:hAnsi="Times New Roman"/>
          <w:sz w:val="20"/>
        </w:rPr>
        <w:t xml:space="preserve">(D) For any matter described in this </w:t>
      </w:r>
      <w:r>
        <w:rPr>
          <w:rFonts w:ascii="Times New Roman" w:hAnsi="Times New Roman"/>
          <w:sz w:val="20"/>
          <w:u w:val="single"/>
        </w:rPr>
        <w:t>Section 5.12(b)(iii)</w:t>
      </w:r>
      <w:r>
        <w:rPr>
          <w:rFonts w:ascii="Times New Roman" w:hAnsi="Times New Roman"/>
          <w:sz w:val="20"/>
        </w:rPr>
        <w:t xml:space="preserve"> in which the Series G Holders are entitled to vote as a class (whether separately or together with the holders of any Series G Parity Securities), such Series G Holders shall be entitled to one vote per Series G Preferred Unit. Any Series G Preferred Units held by the Partnership or any of its Subsidiaries or their controlled Affiliates shall not be entitled to vote.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w:t>
      </w:r>
      <w:r>
        <w:rPr>
          <w:rFonts w:ascii="Times New Roman" w:hAnsi="Times New Roman"/>
          <w:sz w:val="20"/>
          <w:u w:val="single"/>
        </w:rPr>
        <w:t>Section 5.12(b)(iii)(B)</w:t>
      </w:r>
      <w:r>
        <w:rPr>
          <w:rFonts w:ascii="Times New Roman" w:hAnsi="Times New Roman"/>
          <w:sz w:val="20"/>
        </w:rPr>
        <w:t xml:space="preserve"> and </w:t>
      </w:r>
      <w:r>
        <w:rPr>
          <w:rFonts w:ascii="Times New Roman" w:hAnsi="Times New Roman"/>
          <w:sz w:val="20"/>
          <w:u w:val="single"/>
        </w:rPr>
        <w:t>Section 5.12(b)(iii)(C)</w:t>
      </w:r>
      <w:r>
        <w:rPr>
          <w:rFonts w:ascii="Times New Roman" w:hAnsi="Times New Roman"/>
          <w:sz w:val="20"/>
        </w:rPr>
        <w:t xml:space="preserve">, no vote of the Series G Holders shall be required if, at or prior to the time when such action is to take effect, provision is made for the redemption of all Series G Preferred Units at the time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Optional Redemption; Series G Rating Event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Partnership shall have the right (i) on the Series G First Call Date or on any subsequent Series G Reset Date or (ii) at any time within 120 calendar days after the conclusion of any review or appeal process instituted by the Partnership following the occurrence of a Series G Rating Event, in each case, to redeem the Series G Preferred Units, which redemption may be in whole or in part (except with respect to a redemption pursuant to clause (ii) of this </w:t>
      </w:r>
      <w:r>
        <w:rPr>
          <w:rFonts w:ascii="Times New Roman" w:hAnsi="Times New Roman"/>
          <w:sz w:val="20"/>
          <w:u w:val="single"/>
        </w:rPr>
        <w:t>Section 5.12(b)(iv)(A)</w:t>
      </w:r>
      <w:r>
        <w:rPr>
          <w:rFonts w:ascii="Times New Roman" w:hAnsi="Times New Roman"/>
          <w:sz w:val="20"/>
        </w:rPr>
        <w:t xml:space="preserve"> which shall be in whole but not in part), using any source of funds legally available for such purpose. Any such redemption shall occur on a date set by the General Partner (the “</w:t>
      </w:r>
      <w:r>
        <w:rPr>
          <w:rFonts w:ascii="Times New Roman" w:hAnsi="Times New Roman"/>
          <w:i/>
          <w:sz w:val="20"/>
        </w:rPr>
        <w:t>Series G Redemption Date</w:t>
      </w:r>
      <w:r>
        <w:rPr>
          <w:rFonts w:ascii="Times New Roman" w:hAnsi="Times New Roman"/>
          <w:sz w:val="20"/>
        </w:rPr>
        <w:t xml:space="preserve">”). The Partnership shall effect any such redemption by paying cash for each Series G Preferred Unit to be redeemed equal to 100% (in the case of a redemption described in clause (i) of this </w:t>
      </w:r>
      <w:r>
        <w:rPr>
          <w:rFonts w:ascii="Times New Roman" w:hAnsi="Times New Roman"/>
          <w:sz w:val="20"/>
          <w:u w:val="single"/>
        </w:rPr>
        <w:t>Section 5.12(b)(iv)(A)</w:t>
      </w:r>
      <w:r>
        <w:rPr>
          <w:rFonts w:ascii="Times New Roman" w:hAnsi="Times New Roman"/>
          <w:sz w:val="20"/>
        </w:rPr>
        <w:t xml:space="preserve">), or 102% (in the case of a redemption described in clause (ii) of this </w:t>
      </w:r>
      <w:r>
        <w:rPr>
          <w:rFonts w:ascii="Times New Roman" w:hAnsi="Times New Roman"/>
          <w:sz w:val="20"/>
          <w:u w:val="single"/>
        </w:rPr>
        <w:t>Section 5.12(b)(iv)(A)</w:t>
      </w:r>
      <w:r>
        <w:rPr>
          <w:rFonts w:ascii="Times New Roman" w:hAnsi="Times New Roman"/>
          <w:sz w:val="20"/>
        </w:rPr>
        <w:t>), of the Series G Liquidation Preference for such Series G Preferred Unit on such Series G Redemption Date plus an amount equal to all unpaid Series G Distributions thereon from the date of issuance to, but excluding, the Series G Redemption Date (whether or not such distributions shall have been declared) (the “</w:t>
      </w:r>
      <w:r>
        <w:rPr>
          <w:rFonts w:ascii="Times New Roman" w:hAnsi="Times New Roman"/>
          <w:i/>
          <w:sz w:val="20"/>
        </w:rPr>
        <w:t>Series G Redemption Price</w:t>
      </w:r>
      <w:r>
        <w:rPr>
          <w:rFonts w:ascii="Times New Roman" w:hAnsi="Times New Roman"/>
          <w:sz w:val="20"/>
        </w:rPr>
        <w:t xml:space="preserve">”). So long as the Series G Preferred Units to be redeemed are held of record by the Depositary or the nominee of the Depositary, the Series G Redemption Price shall be paid by the Paying Agent to the Depositary on the Series G Redemption Date. </w:t>
      </w:r>
    </w:p>
    <w:p>
      <w:pPr>
        <w:pStyle w:val="TextBody"/>
        <w:bidi w:val="0"/>
        <w:spacing w:before="120" w:after="0"/>
        <w:jc w:val="left"/>
        <w:rPr>
          <w:rFonts w:ascii="Times New Roman" w:hAnsi="Times New Roman"/>
          <w:sz w:val="20"/>
        </w:rPr>
      </w:pPr>
      <w:r>
        <w:rPr>
          <w:rFonts w:ascii="Times New Roman" w:hAnsi="Times New Roman"/>
          <w:sz w:val="20"/>
        </w:rPr>
        <w:t>(B) The Partnership shall give notice of any redemption by mail, postage prepaid, not less than 30 calendar days and not more than 60 calendar days before the scheduled Series G Redemption Date to the Series G Holders (as of 5:00 p.m. New York City time on the Business Day next preceding the day on which notice is given) of any Series G Preferred Units to be redeemed as such Series G Holders’ names appear on the books of the Transfer Agent and at the address of such Series G Holders shown therein. Such notice (the “</w:t>
      </w:r>
      <w:r>
        <w:rPr>
          <w:rFonts w:ascii="Times New Roman" w:hAnsi="Times New Roman"/>
          <w:i/>
          <w:sz w:val="20"/>
        </w:rPr>
        <w:t>Series G Redemption Notice</w:t>
      </w:r>
      <w:r>
        <w:rPr>
          <w:rFonts w:ascii="Times New Roman" w:hAnsi="Times New Roman"/>
          <w:sz w:val="20"/>
        </w:rPr>
        <w:t xml:space="preserve">”) shall state, as applicable: (1) the Series G Redemption Date, (2) the number of Series G Preferred Units to be redeemed and, if less than all Outstanding Series G Preferred Units are to be redeemed, the number (and in the case of Series G Preferred Units in certificated form, the identification) of Series G Preferred Units to be redeemed from such Series G Holder, (3) the Series G Redemption Price, (4) the place where any Series G Preferred Units in certificated form are to be redeemed and shall be presented and surrendered for payment of the Series G Redemption Price therefor (which shall occur automatically if the Certificate representing such Series G Preferred Units is issued in the name of the Depositary or its nominee), and (5) that distributions on the Series G Preferred Units to be redeemed shall cease to accumulate from and after such Series G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(C) If the Partnership elects to redeem less than all of the Outstanding Series G Preferred Units, the number of Series G Preferred Units to be redeemed shall be determined by the General Partner, and such Series G Preferred Units shall be redeemed by such method of selection as the Depositary shall determine, either Pro Rata or by lot, with adjustments to avoid redemption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fractional Series G Preferred Units. The aggregate Series G Redemption Price for any such partial redemption of the Outstanding Series G Preferred Units shall be allocated correspondingly among the redeemed Series G Preferred Units. The Series G Preferred Units not redeemed shall remain Outstanding and entitled to all the rights, preferences and duties provided in this </w:t>
      </w:r>
      <w:r>
        <w:rPr>
          <w:rFonts w:ascii="Times New Roman" w:hAnsi="Times New Roman"/>
          <w:sz w:val="20"/>
          <w:u w:val="single"/>
        </w:rPr>
        <w:t>Section 5.12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If the Partnership gives or causes to be given a Series G Redemption Notice, the Partnership shall deposit with the Paying Agent funds sufficient to redeem the Series G Preferred Units as to which such Series G Redemption Notice shall have been given, no later than 10:00 a.m. New York City time on the Series G Redemption Date, and shall give the Paying Agent irrevocable instructions and authority to pay the Series G Redemption Price to each Series G Holder whose Series G Preferred Units are to be redeemed upon surrender or deemed surrender (which shall occur automatically if the Certificate representing such Series G Preferred Units is issued in the name of the Depositary or its nominee) of the Certificates therefor as set forth in the Series G Redemption Notice. If a Series G Redemption Notice shall have been given, from and after the Series G Redemption Date, unless the Partnership defaults in providing funds sufficient for such redemption at the time and place specified for payment pursuant to the Series G Redemption Notice, all Series G Distributions on such Series G Preferred Units to be redeemed shall cease to accumulate and all rights of holders of such Series G Preferred Units as Limited Partners with respect to such Series G Preferred Units to be redeemed shall cease, except the right to receive the Series G Redemption Price, and such Series G Preferred Units shall not thereafter be transferred on the books of the Transfer Agent or be deemed to be Outstanding for any purpose whatsoever. The Series G Holders shall have no claim to the interest income, if any, earned on funds deposited with the Paying Agent. Any funds deposited with the Paying Agent hereunder by the Partnership for any reason, including redemption of Series G Preferred Units, that remain unclaimed or unpaid after one year after the applicable Series G Redemption Date or other payment date, as applicable, shall be, to the extent permitted by law, repaid to the Partnership upon its written request, after which repayment the Series G Holders entitled to such redemption or other payment shall have recourse only to the Partnership. Notwithstanding any Series G Redemption Notice, there shall be no redemption of any Series G Preferred Units called for redemption until funds sufficient to pay the full Series G Redemption Price of such Series G Preferred Units shall have been deposited by the Partnership with the Paying Agent. </w:t>
      </w:r>
    </w:p>
    <w:p>
      <w:pPr>
        <w:pStyle w:val="TextBody"/>
        <w:bidi w:val="0"/>
        <w:spacing w:before="120" w:after="0"/>
        <w:jc w:val="left"/>
        <w:rPr>
          <w:rFonts w:ascii="Times New Roman" w:hAnsi="Times New Roman"/>
          <w:sz w:val="20"/>
        </w:rPr>
      </w:pPr>
      <w:r>
        <w:rPr>
          <w:rFonts w:ascii="Times New Roman" w:hAnsi="Times New Roman"/>
          <w:sz w:val="20"/>
        </w:rPr>
        <w:t xml:space="preserve">(E) Any Series G Preferred Units that are redeemed or otherwise acquired by the Partnership shall be canceled. If only a portion of the Series G Preferred Units represented by a Certificate shall have been called for redemption, upon surrender of the Certificate to the Paying Agent (which shall occur automatically if the Certificate representing such Series G Preferred Units is registered in the name of the Depositary or its nominee), the Partnership shall issue and the Paying Agent shall deliver to the Series G Holders a new Certificate (or adjust the applicable book-entry account) representing the number of Series G Preferred Units represented by the surrendered Certificate that have not been called for 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Notwithstanding anything to the contrary in this </w:t>
      </w:r>
      <w:r>
        <w:rPr>
          <w:rFonts w:ascii="Times New Roman" w:hAnsi="Times New Roman"/>
          <w:sz w:val="20"/>
          <w:u w:val="single"/>
        </w:rPr>
        <w:t>Section 5.12</w:t>
      </w:r>
      <w:r>
        <w:rPr>
          <w:rFonts w:ascii="Times New Roman" w:hAnsi="Times New Roman"/>
          <w:sz w:val="20"/>
        </w:rPr>
        <w:t xml:space="preserve">, in the event that full cumulative distributions on the Series G Preferred Units and any Series G Parity Securities shall not have been paid or declared and set aside for payment, the Partnership shall not be permitted to repurchase, redeem or otherwise acquire, in whole or in part, any Series G Preferred Units or Series G Parity Securities except pursuant to a purchase or exchange offer made on the same relative terms to all Series G Holders and holders of any Series G Parity Securities. Subject to </w:t>
      </w:r>
      <w:r>
        <w:rPr>
          <w:rFonts w:ascii="Times New Roman" w:hAnsi="Times New Roman"/>
          <w:sz w:val="20"/>
          <w:u w:val="single"/>
        </w:rPr>
        <w:t>Section 4.9</w:t>
      </w:r>
      <w:r>
        <w:rPr>
          <w:rFonts w:ascii="Times New Roman" w:hAnsi="Times New Roman"/>
          <w:sz w:val="20"/>
        </w:rPr>
        <w:t xml:space="preserve">, so long as any Series G Preferred Units are Outstanding, the Partnership shall not be permitted to redeem, repurchase or otherwise acquire any Common Units or any other Series G Junior Securities unless full cumulative distributions on the Series G Preferred Units and any Series G Parity Securities for all prior and the then-ending Series G Distribution Periods, with respect to the Series G Preferred Units, and all prior and then ending distribution periods, with respect to any such Series G Parity Securities, shall have been paid or declared and set aside for payment.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Liquidation Rights</w:t>
      </w:r>
      <w:r>
        <w:rPr>
          <w:rFonts w:ascii="Times New Roman" w:hAnsi="Times New Roman"/>
          <w:sz w:val="20"/>
        </w:rPr>
        <w:t xml:space="preserve">. In the event of the dissolution and winding up of the Partnership under </w:t>
      </w:r>
      <w:r>
        <w:rPr>
          <w:rFonts w:ascii="Times New Roman" w:hAnsi="Times New Roman"/>
          <w:sz w:val="20"/>
          <w:u w:val="single"/>
        </w:rPr>
        <w:t>Section 12.4</w:t>
      </w:r>
      <w:r>
        <w:rPr>
          <w:rFonts w:ascii="Times New Roman" w:hAnsi="Times New Roman"/>
          <w:sz w:val="20"/>
        </w:rPr>
        <w:t xml:space="preserve"> or a sale, exchange, or other disposition of all or substantially all of the assets of the Partnership, either voluntary or involuntary, the Record Holders of the Series G Preferred Units shall be entitled to receive, out of the assets of the Partnership available for distribution to the Partners or any Assignees, prior and in preference to any distribution of any assets of the Partnership to the Record Holders of any other class or series of Partnership Interests (other than Series G Senior Securities or Series G Parity Securities), (i) first, any accumulated and unpaid distributions on the Series G Preferred Units (regardless of whether previously declared) and (ii) then, any positive value in each such holder’s Capital Account in respect of such Series G Preferred Units. If in the year of such dissolution and winding up, or sale, exchange, or other disposition of all or substantially all of the assets of the Partnership, any such Record Holder’s Capital Account in respect of such Series G Preferred Units is less than the aggregate Series G Base Liquidation Preference of such Series G Preferred Units, then, notwithstanding anything to the contrary contained in this Agreement, and prior to any other allocation pursuant to this Agreement for such year and any distribution pursuant to the preceding sentence (other than any allocations or distributions made with respect to any other Series G Parity Securities upon which like allocation and distribution rights have been conferred), items of gross income and gain shall be allocated to all Unitholders then holding Series G Preferred Units, Pro Rata, until the Capital Account in respect of each Outstanding Series G Preferred Unit is equal to the Series G Base Liquidation Preference (and no other allocation pursuant to this Agreement shall reverse the effect of such allocation);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in the event that like allocation rights have been conferred upon other Series G Parity Securities (including pursuant to </w:t>
      </w:r>
      <w:r>
        <w:rPr>
          <w:rFonts w:ascii="Times New Roman" w:hAnsi="Times New Roman"/>
          <w:sz w:val="20"/>
          <w:u w:val="single"/>
        </w:rPr>
        <w:t>5.11(b)(v)</w:t>
      </w:r>
      <w:r>
        <w:rPr>
          <w:rFonts w:ascii="Times New Roman" w:hAnsi="Times New Roman"/>
          <w:sz w:val="20"/>
        </w:rPr>
        <w:t xml:space="preserve">), then items of gross income and gain shall be allocated to all Unitholders then holding Series G Preferred Units and such Series G Parity Securities, Pro Rata, until the Capital Account in respect of each Outstanding Series G Preferred Unit and such Series G Parity Security is equal to the applicable liquidation preference (and no other allocation pursuant to this Agreement shall reverse the effect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allocation). If in the year of such dissolution and winding up any such Record Holder’s Capital Account in respect of such Series G Preferred Units is less than the aggregate Series G Base Liquidation Preference of such Series G Preferred Units after the application of the preceding sentence, then to the extent permitted by applicable law, but otherwise notwithstanding anything to the contrary contained in this Agreement, items of gross income and gain for any preceding taxable year(s) with respect to which IRS Form 1065 Schedules K-1 have not been filed by the Partnership shall be reallocated to all Unitholders then holding Series G Preferred Units, Pro Rata, until the Capital Account in respect of each such Outstanding Series G Preferred Unit after making allocations pursuant to this and the immediately preceding sentence is equal to the Series G Base Liquidation Preference (and no other allocation pursuant to this Agreement shall reverse the effect of such allocation);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in the event like allocation rights have been conferred upon other Series G Parity Securities (including pursuant to </w:t>
      </w:r>
      <w:r>
        <w:rPr>
          <w:rFonts w:ascii="Times New Roman" w:hAnsi="Times New Roman"/>
          <w:sz w:val="20"/>
          <w:u w:val="single"/>
        </w:rPr>
        <w:t>5.11(b)(v)</w:t>
      </w:r>
      <w:r>
        <w:rPr>
          <w:rFonts w:ascii="Times New Roman" w:hAnsi="Times New Roman"/>
          <w:sz w:val="20"/>
        </w:rPr>
        <w:t xml:space="preserve">), then any such items of gross income and gain shall be reallocated to all Unitholders then holding Series G Preferred Units and such Series G Parity Securities, Pro Rata, until the Capital Account in respect of each Outstanding Series G Preferred Unit and such Series G Parity Security after making allocations pursuant to this and the immediately preceding sentence is equal to the applicable liquidation preference (and no other allocation pursuant to this Agreement shall reverse the effect of such allocation). After such allocations have been made to the Outstanding Series G Preferred Units and any Series G Parity Securities, as applicable, any remaining Net Termination Gain or Net Termination Loss shall be allocated to the Partners pursuant to </w:t>
      </w:r>
      <w:r>
        <w:rPr>
          <w:rFonts w:ascii="Times New Roman" w:hAnsi="Times New Roman"/>
          <w:sz w:val="20"/>
          <w:u w:val="single"/>
        </w:rPr>
        <w:t>Section 6.1(c)</w:t>
      </w:r>
      <w:r>
        <w:rPr>
          <w:rFonts w:ascii="Times New Roman" w:hAnsi="Times New Roman"/>
          <w:sz w:val="20"/>
        </w:rPr>
        <w:t xml:space="preserve"> or </w:t>
      </w:r>
      <w:r>
        <w:rPr>
          <w:rFonts w:ascii="Times New Roman" w:hAnsi="Times New Roman"/>
          <w:sz w:val="20"/>
          <w:u w:val="single"/>
        </w:rPr>
        <w:t>Section 6.1(d)</w:t>
      </w:r>
      <w:r>
        <w:rPr>
          <w:rFonts w:ascii="Times New Roman" w:hAnsi="Times New Roman"/>
          <w:sz w:val="20"/>
        </w:rPr>
        <w:t xml:space="preserve">, as the case may be. At the time of the dissolution of the Partnership, subject to Sections 11.053 and 153.210 of the Texas Limited Partnership Law, the Record Holders of the Series G Preferred Units shall become entitled to receive any distributions in respect of the Series G Preferred Units that are accrued and unpaid as of the date of such distribution, and shall have the status of, and shall be entitled to all remedies available to, a creditor of the Partnership, and such entitlement of the Record Holders of the Series G Preferred Units to such accrued and unpaid distributions shall have priority over any entitlement of any other Partners or Assignees (other than holders of any Series G Senior Securities or Series G Parity Securities) with respect to any distributions by the Partnership to such other Partners or Assignees;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General Partner, as such, will have no liability for any obligations with respect to such distributions to any Record Holder(s) of Series G Preferred Units.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i/>
          <w:sz w:val="20"/>
        </w:rPr>
        <w:t>Rank</w:t>
      </w:r>
      <w:r>
        <w:rPr>
          <w:rFonts w:ascii="Times New Roman" w:hAnsi="Times New Roman"/>
          <w:sz w:val="20"/>
        </w:rPr>
        <w:t xml:space="preserve">. The Series G Preferred Units shall each be deemed to rank as to distributions on such Partnership Securities and distributions upon liquidation of the Partnership: </w:t>
      </w:r>
    </w:p>
    <w:p>
      <w:pPr>
        <w:pStyle w:val="TextBody"/>
        <w:bidi w:val="0"/>
        <w:spacing w:before="120" w:after="0"/>
        <w:jc w:val="left"/>
        <w:rPr>
          <w:rFonts w:ascii="Times New Roman" w:hAnsi="Times New Roman"/>
          <w:sz w:val="20"/>
        </w:rPr>
      </w:pPr>
      <w:r>
        <w:rPr>
          <w:rFonts w:ascii="Times New Roman" w:hAnsi="Times New Roman"/>
          <w:sz w:val="20"/>
        </w:rPr>
        <w:t xml:space="preserve">(A) senior to any Series G Junior Securities; </w:t>
      </w:r>
    </w:p>
    <w:p>
      <w:pPr>
        <w:pStyle w:val="TextBody"/>
        <w:bidi w:val="0"/>
        <w:spacing w:before="120" w:after="0"/>
        <w:jc w:val="left"/>
        <w:rPr>
          <w:rFonts w:ascii="Times New Roman" w:hAnsi="Times New Roman"/>
          <w:sz w:val="20"/>
        </w:rPr>
      </w:pPr>
      <w:r>
        <w:rPr>
          <w:rFonts w:ascii="Times New Roman" w:hAnsi="Times New Roman"/>
          <w:sz w:val="20"/>
        </w:rPr>
        <w:t xml:space="preserve">(B) on a parity with any Series G Parity Securities; </w:t>
      </w:r>
    </w:p>
    <w:p>
      <w:pPr>
        <w:pStyle w:val="TextBody"/>
        <w:bidi w:val="0"/>
        <w:spacing w:before="120" w:after="0"/>
        <w:jc w:val="left"/>
        <w:rPr>
          <w:rFonts w:ascii="Times New Roman" w:hAnsi="Times New Roman"/>
          <w:sz w:val="20"/>
        </w:rPr>
      </w:pPr>
      <w:r>
        <w:rPr>
          <w:rFonts w:ascii="Times New Roman" w:hAnsi="Times New Roman"/>
          <w:sz w:val="20"/>
        </w:rPr>
        <w:t xml:space="preserve">(C) junior to any Series G Senior Securities;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junior to all existing and future indebtedness of the Partnership and other liabilities with respect to assets available to satisfy claims against the Partnership.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i/>
          <w:sz w:val="20"/>
        </w:rPr>
        <w:t>No Sinking Fund</w:t>
      </w:r>
      <w:r>
        <w:rPr>
          <w:rFonts w:ascii="Times New Roman" w:hAnsi="Times New Roman"/>
          <w:sz w:val="20"/>
        </w:rPr>
        <w:t xml:space="preserve">. The Series G Preferred Units shall not have the benefit of any sinking fund.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i/>
          <w:sz w:val="20"/>
        </w:rPr>
        <w:t>Record Holders</w:t>
      </w:r>
      <w:r>
        <w:rPr>
          <w:rFonts w:ascii="Times New Roman" w:hAnsi="Times New Roman"/>
          <w:sz w:val="20"/>
        </w:rPr>
        <w:t xml:space="preserve">. To the fullest extent permitted by applicable law, the General Partner, the Partnership, the Transfer Agent, and the Paying Agent may deem and treat any Series G Holder as the true, lawful, and absolute owner of the applicable Series G Preferred Units for all purposes, and none of the General Partner, the Partnership, the Transfer Agent or the Paying Agent shall be affected by any notice to the contrary, except as otherwise provided by law or any applicable rule, regulation, guideline or requirement of any National Securities Exchange on which the Series G Preferred Units may be listed or admitted to trading, if any. </w:t>
      </w:r>
    </w:p>
    <w:p>
      <w:pPr>
        <w:pStyle w:val="TextBody"/>
        <w:bidi w:val="0"/>
        <w:spacing w:before="120" w:after="0"/>
        <w:jc w:val="left"/>
        <w:rPr>
          <w:rFonts w:ascii="Times New Roman" w:hAnsi="Times New Roman"/>
          <w:sz w:val="20"/>
        </w:rPr>
      </w:pPr>
      <w:r>
        <w:rPr>
          <w:rFonts w:ascii="Times New Roman" w:hAnsi="Times New Roman"/>
          <w:sz w:val="20"/>
        </w:rPr>
        <w:t xml:space="preserve">(ix) </w:t>
      </w:r>
      <w:r>
        <w:rPr>
          <w:rFonts w:ascii="Times New Roman" w:hAnsi="Times New Roman"/>
          <w:i/>
          <w:sz w:val="20"/>
        </w:rPr>
        <w:t>Notices</w:t>
      </w:r>
      <w:r>
        <w:rPr>
          <w:rFonts w:ascii="Times New Roman" w:hAnsi="Times New Roman"/>
          <w:sz w:val="20"/>
        </w:rPr>
        <w:t xml:space="preserve">. All notices or other communications in respect of Series G Holders shall be sufficiently given (i) if given in writing and either delivered in person or by first class mail, postage prepaid, or (ii) if given in such other manner as may be permitted in this </w:t>
      </w:r>
      <w:r>
        <w:rPr>
          <w:rFonts w:ascii="Times New Roman" w:hAnsi="Times New Roman"/>
          <w:sz w:val="20"/>
          <w:u w:val="single"/>
        </w:rPr>
        <w:t>Section 5.12</w:t>
      </w:r>
      <w:r>
        <w:rPr>
          <w:rFonts w:ascii="Times New Roman" w:hAnsi="Times New Roman"/>
          <w:sz w:val="20"/>
        </w:rPr>
        <w:t xml:space="preserve">, the Agreement or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Other Rights; Fiduciary Duties</w:t>
      </w:r>
      <w:r>
        <w:rPr>
          <w:rFonts w:ascii="Times New Roman" w:hAnsi="Times New Roman"/>
          <w:sz w:val="20"/>
        </w:rPr>
        <w:t xml:space="preserve">. The Series G Preferred Units and the Series G Holders shall not have any designations, preferences, rights, powers or duties, other than as set forth in this Agreement or as provided by applicable law. Notwithstanding anything to the contrary in this Agreement or any duty existing at law, in equity or otherwise, to the fullest extent permitted by applicable law, neither the General Partner nor any other Indemnitee shall owe any duties, including fiduciary duties, or have any liabilities to Series G Holders, other than the implied contractual covenant of good faith and fair dealing. The General Partner and other Indemnitees shall have no duties or obligations to the Series G Holders under Sections 152.205, 152.206 or 152.204(b) of the Texas Limited Partnership Law. </w:t>
      </w:r>
    </w:p>
    <w:p>
      <w:pPr>
        <w:pStyle w:val="TextBody"/>
        <w:bidi w:val="0"/>
        <w:spacing w:before="24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Establishment of Class B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w:t>
      </w:r>
      <w:r>
        <w:rPr>
          <w:rFonts w:ascii="Times New Roman" w:hAnsi="Times New Roman"/>
          <w:sz w:val="20"/>
        </w:rPr>
        <w:t>. The Partnership hereby designates and creates a class of Partnership Securities to be designated as “Class B Units” (the “</w:t>
      </w:r>
      <w:r>
        <w:rPr>
          <w:rFonts w:ascii="Times New Roman" w:hAnsi="Times New Roman"/>
          <w:i/>
          <w:sz w:val="20"/>
        </w:rPr>
        <w:t>Class</w:t>
      </w:r>
      <w:r>
        <w:rPr>
          <w:rFonts w:ascii="Times New Roman" w:hAnsi="Times New Roman"/>
          <w:sz w:val="20"/>
        </w:rPr>
        <w:t> </w:t>
      </w:r>
      <w:r>
        <w:rPr>
          <w:rFonts w:ascii="Times New Roman" w:hAnsi="Times New Roman"/>
          <w:i/>
          <w:sz w:val="20"/>
        </w:rPr>
        <w:t>B Units</w:t>
      </w:r>
      <w:r>
        <w:rPr>
          <w:rFonts w:ascii="Times New Roman" w:hAnsi="Times New Roman"/>
          <w:sz w:val="20"/>
        </w:rPr>
        <w:t xml:space="preserve">”), having the preferences, rights, powers and duties set forth herein, including this </w:t>
      </w:r>
      <w:r>
        <w:rPr>
          <w:rFonts w:ascii="Times New Roman" w:hAnsi="Times New Roman"/>
          <w:sz w:val="20"/>
          <w:u w:val="single"/>
        </w:rPr>
        <w:t>Section 5.13</w:t>
      </w:r>
      <w:r>
        <w:rPr>
          <w:rFonts w:ascii="Times New Roman" w:hAnsi="Times New Roman"/>
          <w:sz w:val="20"/>
        </w:rPr>
        <w:t xml:space="preserve">. In accordance with </w:t>
      </w:r>
      <w:r>
        <w:rPr>
          <w:rFonts w:ascii="Times New Roman" w:hAnsi="Times New Roman"/>
          <w:sz w:val="20"/>
          <w:u w:val="single"/>
        </w:rPr>
        <w:t>Section 5.6</w:t>
      </w:r>
      <w:r>
        <w:rPr>
          <w:rFonts w:ascii="Times New Roman" w:hAnsi="Times New Roman"/>
          <w:sz w:val="20"/>
        </w:rPr>
        <w:t xml:space="preserve">, the General Partner shall have the power and authority to issue additional Class B Units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Rights of Class</w:t>
      </w:r>
      <w:r>
        <w:rPr>
          <w:rFonts w:ascii="Times New Roman" w:hAnsi="Times New Roman"/>
          <w:sz w:val="20"/>
        </w:rPr>
        <w:t> </w:t>
      </w:r>
      <w:r>
        <w:rPr>
          <w:rFonts w:ascii="Times New Roman" w:hAnsi="Times New Roman"/>
          <w:i/>
          <w:sz w:val="20"/>
        </w:rPr>
        <w:t>B Units</w:t>
      </w:r>
      <w:r>
        <w:rPr>
          <w:rFonts w:ascii="Times New Roman" w:hAnsi="Times New Roman"/>
          <w:sz w:val="20"/>
        </w:rPr>
        <w:t xml:space="preserve">. The Class B Units shall have the following rights, preferences and privileges and shall be subject to the following duties and obligations: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Initial Capital Account</w:t>
      </w:r>
      <w:r>
        <w:rPr>
          <w:rFonts w:ascii="Times New Roman" w:hAnsi="Times New Roman"/>
          <w:sz w:val="20"/>
        </w:rPr>
        <w:t xml:space="preserve">. The initial Capital Account with respect to each Class B Unit held by ETP Holdco was equal to the Class B Unit Issue Price. The initial Capital Account balance in respect of the Class B Units held by each of IPCH and Crestwood Partners immediately following the closing of the Energy Transfer Merger will be equal to IPCH’s and Crestwood Partners’ respective capital account balance with respect to its Class A Units (as defined in the limited partnership agreement of Crestwood Equity Partners LP) immediately prior to the Energy Transfer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Allocations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holders of Class B Units shall not be entitled to receive (1) any allocations of ETP Holdco Items, and (2) except as otherwise provided in this </w:t>
      </w:r>
      <w:r>
        <w:rPr>
          <w:rFonts w:ascii="Times New Roman" w:hAnsi="Times New Roman"/>
          <w:sz w:val="20"/>
          <w:u w:val="single"/>
        </w:rPr>
        <w:t>Section 5.13(b)(ii)</w:t>
      </w:r>
      <w:r>
        <w:rPr>
          <w:rFonts w:ascii="Times New Roman" w:hAnsi="Times New Roman"/>
          <w:sz w:val="20"/>
        </w:rPr>
        <w:t xml:space="preserve">, allocations of (a) Net Income pursuant to </w:t>
      </w:r>
      <w:r>
        <w:rPr>
          <w:rFonts w:ascii="Times New Roman" w:hAnsi="Times New Roman"/>
          <w:sz w:val="20"/>
          <w:u w:val="single"/>
        </w:rPr>
        <w:t>Section 6.1(a)</w:t>
      </w:r>
      <w:r>
        <w:rPr>
          <w:rFonts w:ascii="Times New Roman" w:hAnsi="Times New Roman"/>
          <w:sz w:val="20"/>
        </w:rPr>
        <w:t xml:space="preserve">, (b) Net Loss pursuant to </w:t>
      </w:r>
      <w:r>
        <w:rPr>
          <w:rFonts w:ascii="Times New Roman" w:hAnsi="Times New Roman"/>
          <w:sz w:val="20"/>
          <w:u w:val="single"/>
        </w:rPr>
        <w:t>Section 6.1(b)</w:t>
      </w:r>
      <w:r>
        <w:rPr>
          <w:rFonts w:ascii="Times New Roman" w:hAnsi="Times New Roman"/>
          <w:sz w:val="20"/>
        </w:rPr>
        <w:t xml:space="preserve">, or (c) Net Termination Gains and Net Termination Losses pursuant to </w:t>
      </w:r>
      <w:r>
        <w:rPr>
          <w:rFonts w:ascii="Times New Roman" w:hAnsi="Times New Roman"/>
          <w:sz w:val="20"/>
          <w:u w:val="single"/>
        </w:rPr>
        <w:t>Section 6.1(c)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each taxable period, the holders of the Class B Units shall be allocated, Pro Rata in proportion to the number of Class B Units of the holders, items of Partnership gross income, gain, loss or deduction (other than from ETP Holdco Items and items of Partnership depreciation, amortization and cost recovery deductions) until the aggregate amount of such items allocated to the holders of the Class B Units pursuant to this </w:t>
      </w:r>
      <w:r>
        <w:rPr>
          <w:rFonts w:ascii="Times New Roman" w:hAnsi="Times New Roman"/>
          <w:sz w:val="20"/>
          <w:u w:val="single"/>
        </w:rPr>
        <w:t>Section 5.13(b)(ii)(B)</w:t>
      </w:r>
      <w:r>
        <w:rPr>
          <w:rFonts w:ascii="Times New Roman" w:hAnsi="Times New Roman"/>
          <w:sz w:val="20"/>
        </w:rPr>
        <w:t xml:space="preserve"> for the current taxable period and all previous taxable periods is equal to the cumulative amount of all distributions made to the holders of the Class B Units pursuant to </w:t>
      </w:r>
      <w:r>
        <w:rPr>
          <w:rFonts w:ascii="Times New Roman" w:hAnsi="Times New Roman"/>
          <w:sz w:val="20"/>
          <w:u w:val="single"/>
        </w:rPr>
        <w:t>Section 5.13(b)(iii)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Items of Partnership depreciation, amortization and cost recovery deductions (other than from ETP Holdco Items) with respect to each taxable period shall be allocated to the holders of Class B Units to the extent such items would be allocated to the holders of Class B Units as if each Class B Unit was treated as a Common Unit. </w:t>
      </w:r>
    </w:p>
    <w:p>
      <w:pPr>
        <w:pStyle w:val="TextBody"/>
        <w:bidi w:val="0"/>
        <w:spacing w:before="120" w:after="0"/>
        <w:jc w:val="left"/>
        <w:rPr>
          <w:rFonts w:ascii="Times New Roman" w:hAnsi="Times New Roman"/>
          <w:sz w:val="20"/>
        </w:rPr>
      </w:pPr>
      <w:r>
        <w:rPr>
          <w:rFonts w:ascii="Times New Roman" w:hAnsi="Times New Roman"/>
          <w:sz w:val="20"/>
        </w:rPr>
        <w:t xml:space="preserve">(D) With respect to each taxable period, after the application of </w:t>
      </w:r>
      <w:r>
        <w:rPr>
          <w:rFonts w:ascii="Times New Roman" w:hAnsi="Times New Roman"/>
          <w:sz w:val="20"/>
          <w:u w:val="single"/>
        </w:rPr>
        <w:t>Section 6.1(c)(i)(B)</w:t>
      </w:r>
      <w:r>
        <w:rPr>
          <w:rFonts w:ascii="Times New Roman" w:hAnsi="Times New Roman"/>
          <w:sz w:val="20"/>
        </w:rPr>
        <w:t xml:space="preserve"> but before the application of </w:t>
      </w:r>
      <w:r>
        <w:rPr>
          <w:rFonts w:ascii="Times New Roman" w:hAnsi="Times New Roman"/>
          <w:sz w:val="20"/>
          <w:u w:val="single"/>
        </w:rPr>
        <w:t>Section 6.1(c)(i)(C)</w:t>
      </w:r>
      <w:r>
        <w:rPr>
          <w:rFonts w:ascii="Times New Roman" w:hAnsi="Times New Roman"/>
          <w:sz w:val="20"/>
        </w:rPr>
        <w:t xml:space="preserve">, Net Termination Gain (other than from ETP Holdco Items) shall be allocated to the holders of the Class B Units, until the Capital Account of each Class B Unit is equal to the Class B Unit Issue Price. </w:t>
      </w:r>
    </w:p>
    <w:p>
      <w:pPr>
        <w:pStyle w:val="TextBody"/>
        <w:bidi w:val="0"/>
        <w:spacing w:before="120" w:after="0"/>
        <w:jc w:val="left"/>
        <w:rPr>
          <w:rFonts w:ascii="Times New Roman" w:hAnsi="Times New Roman"/>
          <w:sz w:val="20"/>
        </w:rPr>
      </w:pPr>
      <w:r>
        <w:rPr>
          <w:rFonts w:ascii="Times New Roman" w:hAnsi="Times New Roman"/>
          <w:sz w:val="20"/>
        </w:rPr>
        <w:t xml:space="preserve">(E) For each taxable period, after the application of </w:t>
      </w:r>
      <w:r>
        <w:rPr>
          <w:rFonts w:ascii="Times New Roman" w:hAnsi="Times New Roman"/>
          <w:sz w:val="20"/>
          <w:u w:val="single"/>
        </w:rPr>
        <w:t>Section 6.1(c)(i)(B)</w:t>
      </w:r>
      <w:r>
        <w:rPr>
          <w:rFonts w:ascii="Times New Roman" w:hAnsi="Times New Roman"/>
          <w:sz w:val="20"/>
        </w:rPr>
        <w:t xml:space="preserve"> but before the application of </w:t>
      </w:r>
      <w:r>
        <w:rPr>
          <w:rFonts w:ascii="Times New Roman" w:hAnsi="Times New Roman"/>
          <w:sz w:val="20"/>
          <w:u w:val="single"/>
        </w:rPr>
        <w:t>Section 6.1(c)(i)(C)</w:t>
      </w:r>
      <w:r>
        <w:rPr>
          <w:rFonts w:ascii="Times New Roman" w:hAnsi="Times New Roman"/>
          <w:sz w:val="20"/>
        </w:rPr>
        <w:t xml:space="preserve">, and after making the allocations provided for in </w:t>
      </w:r>
      <w:r>
        <w:rPr>
          <w:rFonts w:ascii="Times New Roman" w:hAnsi="Times New Roman"/>
          <w:sz w:val="20"/>
          <w:u w:val="single"/>
        </w:rPr>
        <w:t>Section 5.13(b)(ii)(D)</w:t>
      </w:r>
      <w:r>
        <w:rPr>
          <w:rFonts w:ascii="Times New Roman" w:hAnsi="Times New Roman"/>
          <w:sz w:val="20"/>
        </w:rPr>
        <w:t xml:space="preserve">, the holders of the Class B Units shall be allocated, 1% of the remaining aggregate Net Termination Gain (other than from ETP Holdco Items), if any, that is to be allocated pursuant to </w:t>
      </w:r>
      <w:r>
        <w:rPr>
          <w:rFonts w:ascii="Times New Roman" w:hAnsi="Times New Roman"/>
          <w:sz w:val="20"/>
          <w:u w:val="single"/>
        </w:rPr>
        <w:t>Section 6.1(c)(i)(C)</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an allocation shall only be made to the holders of Class B Units pursuant to this </w:t>
      </w:r>
      <w:r>
        <w:rPr>
          <w:rFonts w:ascii="Times New Roman" w:hAnsi="Times New Roman"/>
          <w:sz w:val="20"/>
          <w:u w:val="single"/>
        </w:rPr>
        <w:t>Section 5.13(b)(ii)(E)</w:t>
      </w:r>
      <w:r>
        <w:rPr>
          <w:rFonts w:ascii="Times New Roman" w:hAnsi="Times New Roman"/>
          <w:sz w:val="20"/>
        </w:rPr>
        <w:t xml:space="preserve"> if the Capital Account of each Common Unit is equal to or greater than the Class B Unit Issue Price immediately prior to making such allocation. </w:t>
      </w:r>
    </w:p>
    <w:p>
      <w:pPr>
        <w:pStyle w:val="TextBody"/>
        <w:bidi w:val="0"/>
        <w:spacing w:before="120" w:after="0"/>
        <w:jc w:val="left"/>
        <w:rPr>
          <w:rFonts w:ascii="Times New Roman" w:hAnsi="Times New Roman"/>
          <w:sz w:val="20"/>
        </w:rPr>
      </w:pPr>
      <w:r>
        <w:rPr>
          <w:rFonts w:ascii="Times New Roman" w:hAnsi="Times New Roman"/>
          <w:sz w:val="20"/>
        </w:rPr>
        <w:t xml:space="preserve">(F) For each taxable period, after the application of </w:t>
      </w:r>
      <w:r>
        <w:rPr>
          <w:rFonts w:ascii="Times New Roman" w:hAnsi="Times New Roman"/>
          <w:sz w:val="20"/>
          <w:u w:val="single"/>
        </w:rPr>
        <w:t>Section 6.1(c)(ii)(B)</w:t>
      </w:r>
      <w:r>
        <w:rPr>
          <w:rFonts w:ascii="Times New Roman" w:hAnsi="Times New Roman"/>
          <w:sz w:val="20"/>
        </w:rPr>
        <w:t xml:space="preserve">, but before the application of </w:t>
      </w:r>
      <w:r>
        <w:rPr>
          <w:rFonts w:ascii="Times New Roman" w:hAnsi="Times New Roman"/>
          <w:sz w:val="20"/>
          <w:u w:val="single"/>
        </w:rPr>
        <w:t>Section 6.1(c)(ii)(C)</w:t>
      </w:r>
      <w:r>
        <w:rPr>
          <w:rFonts w:ascii="Times New Roman" w:hAnsi="Times New Roman"/>
          <w:sz w:val="20"/>
        </w:rPr>
        <w:t xml:space="preserve">, the holders of the Class B Units shall be allocated Net Termination Loss (other than from ETP Holdco Items) until the Capital Account in respect of each Class B Unit has been reduced to zero.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For the purposes of effectuating the intent of the foregoing allocation provisions, the General Partner shall have the sole discretion to make special allocations of items of Partnership gross income, gain, loss or deductions among the General Partner and the Unitholders as it deems reasonable (including, for the avoidance of doubt, to (1) avoid circularity among ETP Holdco, IPCH and Crestwood Partners and their respective ownership of Class B Units and (2) account for any future internal reorganizations or restructurings of the Partnership and/or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Distributions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For each taxable period, no portion of any Partnership cash distribution attributable to ETP Holdco Distributions shall be distributed to the holders of the Class B Units. </w:t>
      </w:r>
    </w:p>
    <w:p>
      <w:pPr>
        <w:pStyle w:val="TextBody"/>
        <w:bidi w:val="0"/>
        <w:spacing w:before="120" w:after="0"/>
        <w:jc w:val="left"/>
        <w:rPr>
          <w:rFonts w:ascii="Times New Roman" w:hAnsi="Times New Roman"/>
          <w:sz w:val="20"/>
        </w:rPr>
      </w:pPr>
      <w:r>
        <w:rPr>
          <w:rFonts w:ascii="Times New Roman" w:hAnsi="Times New Roman"/>
          <w:sz w:val="20"/>
        </w:rPr>
        <w:t>(B) Commencing with the Class B Unit Original Issuance Date, the holder of the Class B Units as of an applicable Record Date shall be entitled to receive distributions (each, a “</w:t>
      </w:r>
      <w:r>
        <w:rPr>
          <w:rFonts w:ascii="Times New Roman" w:hAnsi="Times New Roman"/>
          <w:i/>
          <w:sz w:val="20"/>
        </w:rPr>
        <w:t>Class</w:t>
      </w:r>
      <w:r>
        <w:rPr>
          <w:rFonts w:ascii="Times New Roman" w:hAnsi="Times New Roman"/>
          <w:sz w:val="20"/>
        </w:rPr>
        <w:t> </w:t>
      </w:r>
      <w:r>
        <w:rPr>
          <w:rFonts w:ascii="Times New Roman" w:hAnsi="Times New Roman"/>
          <w:i/>
          <w:sz w:val="20"/>
        </w:rPr>
        <w:t>B Unit Quarterly Distribution</w:t>
      </w:r>
      <w:r>
        <w:rPr>
          <w:rFonts w:ascii="Times New Roman" w:hAnsi="Times New Roman"/>
          <w:sz w:val="20"/>
        </w:rPr>
        <w:t xml:space="preserve">”) in cash in an amount equal to the Class B Unit Distribution Rate on all Outstanding Class B Units. Distributions shall be paid Quarterly, in arrears, within 50 days after the end of each Quarter (or the Business Day immediately thereafter). Each Record Date established for paying a Class B Unit Quarterly Distribution in respect of any Quarter shall be the same Record Date established for any distribution to be made by the Partnership in respect of other Partnership Interests pursuant to </w:t>
      </w:r>
      <w:r>
        <w:rPr>
          <w:rFonts w:ascii="Times New Roman" w:hAnsi="Times New Roman"/>
          <w:sz w:val="20"/>
          <w:u w:val="single"/>
        </w:rPr>
        <w:t>Section 6.3</w:t>
      </w:r>
      <w:r>
        <w:rPr>
          <w:rFonts w:ascii="Times New Roman" w:hAnsi="Times New Roman"/>
          <w:sz w:val="20"/>
        </w:rPr>
        <w:t xml:space="preserve">. If the Partnership is unable to pay the Class B Unit Quarterly Distribution with respect to any Quarter, (1) the amount of such accrued and unpaid distributions will accumulate until paid in full in cash and (2) the balance of such accrued and unpaid distributions shall increase at a rate of 1.5% per annum, compounded quarterly, from the date such distribution was due until the date it is paid. For the avoidance of doubt, except as set forth in this </w:t>
      </w:r>
      <w:r>
        <w:rPr>
          <w:rFonts w:ascii="Times New Roman" w:hAnsi="Times New Roman"/>
          <w:sz w:val="20"/>
          <w:u w:val="single"/>
        </w:rPr>
        <w:t>Section 5.13(b)(iii)(B)</w:t>
      </w:r>
      <w:r>
        <w:rPr>
          <w:rFonts w:ascii="Times New Roman" w:hAnsi="Times New Roman"/>
          <w:sz w:val="20"/>
        </w:rPr>
        <w:t xml:space="preserve"> or </w:t>
      </w:r>
      <w:r>
        <w:rPr>
          <w:rFonts w:ascii="Times New Roman" w:hAnsi="Times New Roman"/>
          <w:sz w:val="20"/>
          <w:u w:val="single"/>
        </w:rPr>
        <w:t>Article XII</w:t>
      </w:r>
      <w:r>
        <w:rPr>
          <w:rFonts w:ascii="Times New Roman" w:hAnsi="Times New Roman"/>
          <w:sz w:val="20"/>
        </w:rPr>
        <w:t xml:space="preserve">, the Class B Units will not be entitled to receive any distributions.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Voting Rights</w:t>
      </w:r>
      <w:r>
        <w:rPr>
          <w:rFonts w:ascii="Times New Roman" w:hAnsi="Times New Roman"/>
          <w:sz w:val="20"/>
        </w:rPr>
        <w:t xml:space="preserve">. Except as set forth in this </w:t>
      </w:r>
      <w:r>
        <w:rPr>
          <w:rFonts w:ascii="Times New Roman" w:hAnsi="Times New Roman"/>
          <w:sz w:val="20"/>
          <w:u w:val="single"/>
        </w:rPr>
        <w:t>Section 5.13(b)(iv)</w:t>
      </w:r>
      <w:r>
        <w:rPr>
          <w:rFonts w:ascii="Times New Roman" w:hAnsi="Times New Roman"/>
          <w:sz w:val="20"/>
        </w:rPr>
        <w:t xml:space="preserve"> and </w:t>
      </w:r>
      <w:r>
        <w:rPr>
          <w:rFonts w:ascii="Times New Roman" w:hAnsi="Times New Roman"/>
          <w:sz w:val="20"/>
          <w:u w:val="single"/>
        </w:rPr>
        <w:t>Section 13.3(c)</w:t>
      </w:r>
      <w:r>
        <w:rPr>
          <w:rFonts w:ascii="Times New Roman" w:hAnsi="Times New Roman"/>
          <w:sz w:val="20"/>
        </w:rPr>
        <w:t xml:space="preserve"> and except to the extent the Texas Limited Partnership Law gives the Class B Units a vote as a class on any matter, the Class B Units shall not have any voting rights. With respect to any matter on which the Class B Units are entitled to vote, each Class B Unit will be entitled to one vote on such matter. The General Partner shall not, without the affirmative vote or written consent of holders of a majority of the Class B Units then Outstanding, amend, alter, modify or change this </w:t>
      </w:r>
      <w:r>
        <w:rPr>
          <w:rFonts w:ascii="Times New Roman" w:hAnsi="Times New Roman"/>
          <w:sz w:val="20"/>
          <w:u w:val="single"/>
        </w:rPr>
        <w:t>Section 5.13</w:t>
      </w:r>
      <w:r>
        <w:rPr>
          <w:rFonts w:ascii="Times New Roman" w:hAnsi="Times New Roman"/>
          <w:sz w:val="20"/>
        </w:rPr>
        <w:t xml:space="preserve"> (or vote or consent or resolve to take such action).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Redemption and Conversion Rights</w:t>
      </w:r>
      <w:r>
        <w:rPr>
          <w:rFonts w:ascii="Times New Roman" w:hAnsi="Times New Roman"/>
          <w:sz w:val="20"/>
        </w:rPr>
        <w:t xml:space="preserve">. The Class B Units will be perpetual and shall not have any rights of redemption or conversion.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w:t>
      </w:r>
      <w:r>
        <w:rPr>
          <w:rFonts w:ascii="Times New Roman" w:hAnsi="Times New Roman"/>
          <w:i/>
          <w:sz w:val="20"/>
        </w:rPr>
        <w:t>Certificates; Book-Entry</w:t>
      </w:r>
      <w:r>
        <w:rPr>
          <w:rFonts w:ascii="Times New Roman" w:hAnsi="Times New Roman"/>
          <w:sz w:val="20"/>
        </w:rPr>
        <w:t xml:space="preserve">. Unless the General Partner shall determine otherwise, the Class B Units shall not be evidenced by Certificates. Any Certificates relating to the Class B Units that may be issued will be in such form as the General Partner may approve. The Class B Units, subject to the satisfaction of any applicable legal, regulatory and contractual requirements, may be assigned or transferred in a manner identical to the assignment and transfer of other Units.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i/>
          <w:sz w:val="20"/>
        </w:rPr>
        <w:t>Registrar and Transfer Agent</w:t>
      </w:r>
      <w:r>
        <w:rPr>
          <w:rFonts w:ascii="Times New Roman" w:hAnsi="Times New Roman"/>
          <w:sz w:val="20"/>
        </w:rPr>
        <w:t xml:space="preserve">. Unless and until the General Partner determines to assign the responsibility to another Person, the General Partner will act as the registrar and transfer agent for the Class B Units. </w:t>
      </w:r>
    </w:p>
    <w:p>
      <w:pPr>
        <w:pStyle w:val="TextBody"/>
        <w:bidi w:val="0"/>
        <w:spacing w:before="240" w:after="0"/>
        <w:jc w:val="left"/>
        <w:rPr>
          <w:rFonts w:ascii="Times New Roman" w:hAnsi="Times New Roman"/>
          <w:sz w:val="20"/>
        </w:rPr>
      </w:pPr>
      <w:r>
        <w:rPr>
          <w:rFonts w:ascii="Times New Roman" w:hAnsi="Times New Roman"/>
          <w:sz w:val="20"/>
        </w:rPr>
        <w:t xml:space="preserve">Section 5.14 </w:t>
      </w:r>
      <w:r>
        <w:rPr>
          <w:rFonts w:ascii="Times New Roman" w:hAnsi="Times New Roman"/>
          <w:sz w:val="20"/>
          <w:u w:val="single"/>
        </w:rPr>
        <w:t>Establishment of Series H Preferred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w:t>
      </w:r>
      <w:r>
        <w:rPr>
          <w:rFonts w:ascii="Times New Roman" w:hAnsi="Times New Roman"/>
          <w:sz w:val="20"/>
        </w:rPr>
        <w:t>. The Partnership hereby designates and creates a class of Partnership Securities to be designated as “6.500% Series H Fixed-Rate Reset Cumulative Redeemable Perpetual Preferred Units” (the “</w:t>
      </w:r>
      <w:r>
        <w:rPr>
          <w:rFonts w:ascii="Times New Roman" w:hAnsi="Times New Roman"/>
          <w:i/>
          <w:sz w:val="20"/>
        </w:rPr>
        <w:t>Series H Preferred Units</w:t>
      </w:r>
      <w:r>
        <w:rPr>
          <w:rFonts w:ascii="Times New Roman" w:hAnsi="Times New Roman"/>
          <w:sz w:val="20"/>
        </w:rPr>
        <w:t xml:space="preserve">”), having the preferences, rights, powers, and duties set forth herein, including this </w:t>
      </w:r>
      <w:r>
        <w:rPr>
          <w:rFonts w:ascii="Times New Roman" w:hAnsi="Times New Roman"/>
          <w:sz w:val="20"/>
          <w:u w:val="single"/>
        </w:rPr>
        <w:t>Section 5.14</w:t>
      </w:r>
      <w:r>
        <w:rPr>
          <w:rFonts w:ascii="Times New Roman" w:hAnsi="Times New Roman"/>
          <w:sz w:val="20"/>
        </w:rPr>
        <w:t xml:space="preserve">. Each Series H Preferred Unit shall be identical in all respects to every other Series H Preferred Unit, except as to the respective dates from which the Series H Liquidation Preference shall increase or from which Series H Distributions may begin accruing, to the extent such dates may differ. The Series H Preferred Units represent perpetual equity interests in the Partnership and shall not give rise to a claim by the Partnership or a Series H Holder for conversion or, except as set forth in </w:t>
      </w:r>
      <w:r>
        <w:rPr>
          <w:rFonts w:ascii="Times New Roman" w:hAnsi="Times New Roman"/>
          <w:sz w:val="20"/>
          <w:u w:val="single"/>
        </w:rPr>
        <w:t>Section 5.14(b)(iv)</w:t>
      </w:r>
      <w:r>
        <w:rPr>
          <w:rFonts w:ascii="Times New Roman" w:hAnsi="Times New Roman"/>
          <w:sz w:val="20"/>
        </w:rPr>
        <w:t xml:space="preserve">, redemption thereof at a particular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Rights of Series H Preferred Units</w:t>
      </w:r>
      <w:r>
        <w:rPr>
          <w:rFonts w:ascii="Times New Roman" w:hAnsi="Times New Roman"/>
          <w:sz w:val="20"/>
        </w:rPr>
        <w:t xml:space="preserve">. The Series H Preferred Units shall have the following rights, preferences and privileges and shall be subject to the following duties and obligations: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Series H Preferred 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authorized number of Series H Preferred Units shall be unlimited. Series H Preferred Units that are purchased or otherwise acquired by the Partnership shall be canceled. </w:t>
      </w:r>
    </w:p>
    <w:p>
      <w:pPr>
        <w:pStyle w:val="TextBody"/>
        <w:bidi w:val="0"/>
        <w:spacing w:before="120" w:after="0"/>
        <w:jc w:val="left"/>
        <w:rPr>
          <w:rFonts w:ascii="Times New Roman" w:hAnsi="Times New Roman"/>
          <w:sz w:val="20"/>
        </w:rPr>
      </w:pPr>
      <w:r>
        <w:rPr>
          <w:rFonts w:ascii="Times New Roman" w:hAnsi="Times New Roman"/>
          <w:sz w:val="20"/>
        </w:rPr>
        <w:t xml:space="preserve">(B) The Series H Preferred Units shall be represented by one or more global Certificates registered in the name of the Depositary or its nominee, and no Series H Holder shall be entitled to receive a definitive Certificate evidencing its Series H Preferred Units, unless (1) requested by a Series H Holder and consented to by the General Partner in its sole discretion, (2) otherwise required by law or (3) the Depositary gives notice of its intention to resign or is no longer eligible to act as such with respect to the Series H Preferred Units and the General Partner shall have not selected a substitute Depositary within 60 calendar days thereafter. So long as the Depositary shall have been appointed and is serving with respect to the Series H Preferred Units, payments and communications made by the Partnership to Series H Holders shall be made by making payments to, and communicating with,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Distributions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Distributions on each Outstanding Series H Preferred Unit shall be cumulative and shall accumulate at the applicable Series H Distribution Rate from and including the Series H Original Issue Date (or, for any subsequently issued and newly Outstanding Series H Preferred Units, from and including the Series H Distribution Payment Date immediately preceding the issue date of such Series H Preferred Units) until such time as the Partnership pays the Series H Distributions or redeems such Series H Preferred Unit in accordance with </w:t>
      </w:r>
      <w:r>
        <w:rPr>
          <w:rFonts w:ascii="Times New Roman" w:hAnsi="Times New Roman"/>
          <w:sz w:val="20"/>
          <w:u w:val="single"/>
        </w:rPr>
        <w:t>Section 5.14(b)(iv)</w:t>
      </w:r>
      <w:r>
        <w:rPr>
          <w:rFonts w:ascii="Times New Roman" w:hAnsi="Times New Roman"/>
          <w:sz w:val="20"/>
        </w:rPr>
        <w:t xml:space="preserve">, whether or not such Series H Distributions shall have been declared. Series H Holders shall be entitled to receive Series H Distributions from time to time out of any assets of the Partnership legally available for the payment of distributions at the Series H Distribution Rate per Series H Preferred Unit when, as, and, if declared by the General Partner. Series H Distributions, to the extent declared by the General Partner to be paid by the Partnership in accordance with this </w:t>
      </w:r>
      <w:r>
        <w:rPr>
          <w:rFonts w:ascii="Times New Roman" w:hAnsi="Times New Roman"/>
          <w:sz w:val="20"/>
          <w:u w:val="single"/>
        </w:rPr>
        <w:t>Section 5.14(b)(ii)</w:t>
      </w:r>
      <w:r>
        <w:rPr>
          <w:rFonts w:ascii="Times New Roman" w:hAnsi="Times New Roman"/>
          <w:sz w:val="20"/>
        </w:rPr>
        <w:t xml:space="preserve">, shall be paid, in Arrears, on each Series H Distribution Payment Date (other than the initial Series H Distribution, which shall be paid on November 15, 2021). Series H Distributions shall accumulate in each Series H Distribution Period from and including the preceding Series H Distribution Payment Date (other than the initial Series H Distribution Period, which shall commence on and include the Series H Original Issue Date), to, but excluding, the next Series H Distribution Payment Date for such Series H Distribution Period; </w:t>
      </w:r>
      <w:r>
        <w:rPr>
          <w:rFonts w:ascii="Times New Roman" w:hAnsi="Times New Roman"/>
          <w:sz w:val="20"/>
          <w:u w:val="single"/>
        </w:rPr>
        <w:t xml:space="preserve">provided </w:t>
      </w:r>
      <w:r>
        <w:rPr>
          <w:rFonts w:ascii="Times New Roman" w:hAnsi="Times New Roman"/>
          <w:sz w:val="20"/>
        </w:rPr>
        <w:t xml:space="preserve">that distributions shall accrue on accumulated but unpaid Series H Distributions at the Series H Distribution Rate. If any Series H Distribution Payment Date otherwise would occur on a date that is not a Business Day, declared Series H Distributions shall be paid on the immediately succeeding Business Day without the accumulation of additional distributions. All Series H Distributions that are (1) accumulated and unpaid or (2) payable by the Partnership pursuant to this </w:t>
      </w:r>
      <w:r>
        <w:rPr>
          <w:rFonts w:ascii="Times New Roman" w:hAnsi="Times New Roman"/>
          <w:sz w:val="20"/>
          <w:u w:val="single"/>
        </w:rPr>
        <w:t>Section 5.14(b)(ii)</w:t>
      </w:r>
      <w:r>
        <w:rPr>
          <w:rFonts w:ascii="Times New Roman" w:hAnsi="Times New Roman"/>
          <w:sz w:val="20"/>
        </w:rPr>
        <w:t xml:space="preserve"> shall be payable without regard to income of the Partnership and shall be treated for federal income tax purposes as guaranteed payments for the use of capital under Section 707(c) of the Code. The guaranteed payment with respect to any Series H Distribution Period shall be for the account of the holders of Series H Preferred Units as of the applicable Series H Distribution Record Date. </w:t>
      </w:r>
    </w:p>
    <w:p>
      <w:pPr>
        <w:pStyle w:val="TextBody"/>
        <w:bidi w:val="0"/>
        <w:spacing w:before="120" w:after="0"/>
        <w:jc w:val="left"/>
        <w:rPr>
          <w:rFonts w:ascii="Times New Roman" w:hAnsi="Times New Roman"/>
          <w:sz w:val="20"/>
        </w:rPr>
      </w:pPr>
      <w:r>
        <w:rPr>
          <w:rFonts w:ascii="Times New Roman" w:hAnsi="Times New Roman"/>
          <w:sz w:val="20"/>
        </w:rPr>
        <w:t>(B) Not later than 5:00 p.m., New York City time, on each Series H Distribution Payment Date, the Partnership shall pay those Series H Distributions, if any, that shall have been declared by the General Partner to Series H Holders on the Record Date for the applicable Series H Distribution. The Record Date (the “</w:t>
      </w:r>
      <w:r>
        <w:rPr>
          <w:rFonts w:ascii="Times New Roman" w:hAnsi="Times New Roman"/>
          <w:i/>
          <w:sz w:val="20"/>
        </w:rPr>
        <w:t>Series H Distribution Record Date</w:t>
      </w:r>
      <w:r>
        <w:rPr>
          <w:rFonts w:ascii="Times New Roman" w:hAnsi="Times New Roman"/>
          <w:sz w:val="20"/>
        </w:rPr>
        <w:t xml:space="preserve">”) for the payment of any Series H Distributions shall be as of the close of business on the first Business Day of the month of the applicable Series H Distribution Payment Date, except that in the case of payments of Series H Distributions in Arrears, the Series H Distribution Record Date with respect to a Series H Distribution Payment Date shall be such date as may be designated by the General Partner in accordance with this </w:t>
      </w:r>
      <w:r>
        <w:rPr>
          <w:rFonts w:ascii="Times New Roman" w:hAnsi="Times New Roman"/>
          <w:sz w:val="20"/>
          <w:u w:val="single"/>
        </w:rPr>
        <w:t>Section 5.14</w:t>
      </w:r>
      <w:r>
        <w:rPr>
          <w:rFonts w:ascii="Times New Roman" w:hAnsi="Times New Roman"/>
          <w:sz w:val="20"/>
        </w:rPr>
        <w:t xml:space="preserve">. So long as any Series H Preferred Units are Outstanding, no distribution shall be declared or paid or set aside for payment on any Series H Junior Securities (other than a distribution payable solely in Series H Junior Securities) unless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cumulative Series H Distributions have been or contemporaneously are being paid or set apart for payment on all Outstanding Series H Preferred Units (and distributions on any other Series H Parity Securities) through the most recent respective Series H Distribution Payment Date (and distribution payment date with respect to such Series H Parity Securities, if any);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notwithstanding anything to the contrary in this </w:t>
      </w:r>
      <w:r>
        <w:rPr>
          <w:rFonts w:ascii="Times New Roman" w:hAnsi="Times New Roman"/>
          <w:sz w:val="20"/>
          <w:u w:val="single"/>
        </w:rPr>
        <w:t>Section 5.14(b)(ii)(B)</w:t>
      </w:r>
      <w:r>
        <w:rPr>
          <w:rFonts w:ascii="Times New Roman" w:hAnsi="Times New Roman"/>
          <w:sz w:val="20"/>
        </w:rPr>
        <w:t xml:space="preserve">, if a distribution period with respect to a class of Series H Junior Securities or Series H Parity Securities is shorter than the Series H Distribution Period, the General Partner may declare and pay regular distributions with respect to such Series H Junior Securities or Series H Parity Securities, so long as, at the time of declaration of such distribution, (i) there are no Series H Distributions in Arrears, and (ii) the General Partner expects to have sufficient funds to pay the full distribution in respect of the Series H Preferred Units on the next successive Series H Distribution Payment Date. Accumulated Series H Distributions in Arrears for any past Series H Distribution Period may be declared by the General Partner and paid on any date fixed by the General Partner, whether or not a Series H Distribution Payment Date, to Series H Holders on the Record Date for such payment, which may not be less than 10 calendar days before such payment date. Subject to the next succeeding sentence, if all accumulated Series H Distributions in Arrears on all Outstanding Series H Preferred Units and all accumulated distributions in arrears on any Series H Parity Securities shall not have been declared and paid, or if sufficient funds for the payment thereof shall not have been set apart, payment of accumulated distributions in Arrears on the Series H Preferred Units and accumulated distributions in arrears on any such Series H Parity Securities shall be made in order of their respective distribution payment dates, commencing with the earliest distribution payment date. If less than all distributions payable with respect to all Series H Preferred Units and any other Series H Parity Securities are paid, any partial payment shall be made Pro Rata with respect to the Series H Preferred Units and any such other Series H Parity Securities entitled to a distribution payment at such time in proportion to the aggregate distribution amounts remaining due in respect of such Series H Preferred Units and such other Series H Parity Securities at such time. Subject to </w:t>
      </w:r>
      <w:r>
        <w:rPr>
          <w:rFonts w:ascii="Times New Roman" w:hAnsi="Times New Roman"/>
          <w:sz w:val="20"/>
          <w:u w:val="single"/>
        </w:rPr>
        <w:t>Section 12.4</w:t>
      </w:r>
      <w:r>
        <w:rPr>
          <w:rFonts w:ascii="Times New Roman" w:hAnsi="Times New Roman"/>
          <w:sz w:val="20"/>
        </w:rPr>
        <w:t xml:space="preserve"> and </w:t>
      </w:r>
      <w:r>
        <w:rPr>
          <w:rFonts w:ascii="Times New Roman" w:hAnsi="Times New Roman"/>
          <w:sz w:val="20"/>
          <w:u w:val="single"/>
        </w:rPr>
        <w:t>Section 5.14(b)(v)</w:t>
      </w:r>
      <w:r>
        <w:rPr>
          <w:rFonts w:ascii="Times New Roman" w:hAnsi="Times New Roman"/>
          <w:sz w:val="20"/>
        </w:rPr>
        <w:t xml:space="preserve">, Series H Holders shall not be entitled to any distribution, whether payable in cash, property or Partnership Securities, in excess of full cumulative Series H Distributions. Except insofar as distributions accrue on the amount of any accumulated and unpaid Series H Distributions as described in </w:t>
      </w:r>
      <w:r>
        <w:rPr>
          <w:rFonts w:ascii="Times New Roman" w:hAnsi="Times New Roman"/>
          <w:sz w:val="20"/>
          <w:u w:val="single"/>
        </w:rPr>
        <w:t>Section 5.14(b)(ii)(A)</w:t>
      </w:r>
      <w:r>
        <w:rPr>
          <w:rFonts w:ascii="Times New Roman" w:hAnsi="Times New Roman"/>
          <w:sz w:val="20"/>
        </w:rPr>
        <w:t xml:space="preserve">, no interest or sum of money in lieu of interest shall be payable in respect of any distribution payment which may be in Arrears on the Series H Preferred Units. So long as the Series H Preferred Units are held of record by the Depositary or its nominee, declared Series H Distributions shall be paid to the Depositary in same-day funds on each Series H Distribution Payment Date or other distribution payment date in the case of payments for Series H Distributions in Arrears. </w:t>
      </w:r>
    </w:p>
    <w:p>
      <w:pPr>
        <w:pStyle w:val="TextBody"/>
        <w:bidi w:val="0"/>
        <w:spacing w:before="120" w:after="0"/>
        <w:jc w:val="left"/>
        <w:rPr>
          <w:rFonts w:ascii="Times New Roman" w:hAnsi="Times New Roman"/>
          <w:sz w:val="20"/>
        </w:rPr>
      </w:pPr>
      <w:r>
        <w:rPr>
          <w:rFonts w:ascii="Times New Roman" w:hAnsi="Times New Roman"/>
          <w:sz w:val="20"/>
        </w:rPr>
        <w:t xml:space="preserve">(C) The Series H Distribution Rate for each Series H Reset Period will be determined by the Calculation Agent for the Series H Preferred Units using the Series H Five-year U.S. Treasury Rate, as of the applicable Series H Reset Distribution Determination Date for such Series H Reset Period. The Calculation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Agent for the Series H Preferred Units then will add the spread of 5.694% per annum to the Series H Five-year U.S. Treasury Rate as determined by the Calculation Agent as of the applicable Series H Reset Distribution Determination Date for such Series H Reset Period. Promptly following such determination by the Calculation Agent for the Series H Preferred Units, the Calculation Agent shall notify the Partnership of the Series H Distribution Rate for such Series H Reset Period. Such Calculation Agent’s determination of any Series H Distribution Rate for each Series H Reset Period and its calculation of the amount of Series H Distributions for any Series H Reset Period will be (i) available on file at the principal offices of the Partnership beginning on or after the Series H First Reset Date, (ii) made available to any Series H Holder upon request and (iii) final and binding on each Series H Holder in the absence of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(D) The Partnership will provide notice of the relevant Series H Five-year U.S. Treasury Rate as soon as practicable to the Transfer Agent and the Series H Holders.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the foregoing, unless otherwise determined by the General Partner, Series H Distributions shall be deemed to have been paid out of deductions from Available Cash with respect to the Quarter ended immediately preceding the Quarter in which the Series H Distribution is made.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Voting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anything to the contrary in this Agreement, the Series H Preferred Units shall not have any voting rights or rights to consent or approve any action or matter, except as set forth in </w:t>
      </w:r>
      <w:r>
        <w:rPr>
          <w:rFonts w:ascii="Times New Roman" w:hAnsi="Times New Roman"/>
          <w:sz w:val="20"/>
          <w:u w:val="single"/>
        </w:rPr>
        <w:t>Section 13.3(c)</w:t>
      </w:r>
      <w:r>
        <w:rPr>
          <w:rFonts w:ascii="Times New Roman" w:hAnsi="Times New Roman"/>
          <w:sz w:val="20"/>
        </w:rPr>
        <w:t xml:space="preserve">, this </w:t>
      </w:r>
      <w:r>
        <w:rPr>
          <w:rFonts w:ascii="Times New Roman" w:hAnsi="Times New Roman"/>
          <w:sz w:val="20"/>
          <w:u w:val="single"/>
        </w:rPr>
        <w:t>Section 5.14(b)(iii)</w:t>
      </w:r>
      <w:r>
        <w:rPr>
          <w:rFonts w:ascii="Times New Roman" w:hAnsi="Times New Roman"/>
          <w:sz w:val="20"/>
        </w:rPr>
        <w:t xml:space="preserve"> or as otherwise required by the Texas Limited Partnership Law.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to the contrary in this Agreement, without the affirmative vote or consent of the holders of at least 66 2/3% of the Outstanding Series H Preferred Units, voting as a separate class, the General Partner shall not adopt any amendment to this Agreement that the General Partner determines would have a material adverse effect on the powers, preferences, duties, or special rights of the Series H Preferred Units;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 subject to </w:t>
      </w:r>
      <w:r>
        <w:rPr>
          <w:rFonts w:ascii="Times New Roman" w:hAnsi="Times New Roman"/>
          <w:sz w:val="20"/>
          <w:u w:val="single"/>
        </w:rPr>
        <w:t>Section 5.14(b)(iii)(C)</w:t>
      </w:r>
      <w:r>
        <w:rPr>
          <w:rFonts w:ascii="Times New Roman" w:hAnsi="Times New Roman"/>
          <w:sz w:val="20"/>
        </w:rPr>
        <w:t xml:space="preserve">, the issuance of additional Partnership Securities (and any amendment to this Agreement in connection therewith) shall not be deemed to constitute such a material adverse effect for purposes of this </w:t>
      </w:r>
      <w:r>
        <w:rPr>
          <w:rFonts w:ascii="Times New Roman" w:hAnsi="Times New Roman"/>
          <w:sz w:val="20"/>
          <w:u w:val="single"/>
        </w:rPr>
        <w:t>Section 5.14(b)(iii)(B)</w:t>
      </w:r>
      <w:r>
        <w:rPr>
          <w:rFonts w:ascii="Times New Roman" w:hAnsi="Times New Roman"/>
          <w:sz w:val="20"/>
        </w:rPr>
        <w:t xml:space="preserve"> and (ii) for purposes of this </w:t>
      </w:r>
      <w:r>
        <w:rPr>
          <w:rFonts w:ascii="Times New Roman" w:hAnsi="Times New Roman"/>
          <w:sz w:val="20"/>
          <w:u w:val="single"/>
        </w:rPr>
        <w:t>Section 5.14(b)(iii)(B)</w:t>
      </w:r>
      <w:r>
        <w:rPr>
          <w:rFonts w:ascii="Times New Roman" w:hAnsi="Times New Roman"/>
          <w:sz w:val="20"/>
        </w:rPr>
        <w:t xml:space="preserve">, no amendment of this Agreement in connection with a merger or other transaction in which the Series H Preferred Units remain Outstanding with the terms thereof materially unchanged in any respect adverse to the Series H Holders (as determined by the General Partner) shall be deemed to materially and adversely affect the powers, preferences, duties, or special rights of the Series H Preferred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anything to the contrary in this Agreement, without the affirmative vote or consent of the holders of at least 66 2/3% of the Outstanding Series H Preferred Units, voting as a class together with holders of any other Series H Parity Securities upon which like voting rights have been conferred and are exercisable, the Partnership shall not (x) create or issue any Series H Parity Securities (including any additional Series H Preferred Units) if the cumulative distributions payable on Outstanding Series H Preferred Units (or any Series H Parity Securities, if the holders of such Series H Parity Securities vote as a class together with the Series H Holders pursuant to this </w:t>
      </w:r>
      <w:r>
        <w:rPr>
          <w:rFonts w:ascii="Times New Roman" w:hAnsi="Times New Roman"/>
          <w:sz w:val="20"/>
          <w:u w:val="single"/>
        </w:rPr>
        <w:t>Section 5.14(b)(iii)(C)</w:t>
      </w:r>
      <w:r>
        <w:rPr>
          <w:rFonts w:ascii="Times New Roman" w:hAnsi="Times New Roman"/>
          <w:sz w:val="20"/>
        </w:rPr>
        <w:t xml:space="preserve">) are in Arrears or (y) create or issue any Series H Senior Securities. </w:t>
      </w:r>
    </w:p>
    <w:p>
      <w:pPr>
        <w:pStyle w:val="TextBody"/>
        <w:bidi w:val="0"/>
        <w:spacing w:before="120" w:after="0"/>
        <w:jc w:val="left"/>
        <w:rPr>
          <w:rFonts w:ascii="Times New Roman" w:hAnsi="Times New Roman"/>
          <w:sz w:val="20"/>
        </w:rPr>
      </w:pPr>
      <w:r>
        <w:rPr>
          <w:rFonts w:ascii="Times New Roman" w:hAnsi="Times New Roman"/>
          <w:sz w:val="20"/>
        </w:rPr>
        <w:t xml:space="preserve">(D) For any matter described in this </w:t>
      </w:r>
      <w:r>
        <w:rPr>
          <w:rFonts w:ascii="Times New Roman" w:hAnsi="Times New Roman"/>
          <w:sz w:val="20"/>
          <w:u w:val="single"/>
        </w:rPr>
        <w:t>Section 5.14(b)(iii)</w:t>
      </w:r>
      <w:r>
        <w:rPr>
          <w:rFonts w:ascii="Times New Roman" w:hAnsi="Times New Roman"/>
          <w:sz w:val="20"/>
        </w:rPr>
        <w:t xml:space="preserve"> in which the Series H Holders are entitled to vote as a class (whether separately or together with the holders of any Series H Parity Securities), such Series H Holders shall be entitled to one vote per Series H Preferred Unit. Any Series H Preferred Units held by the Partnership or any of its Subsidiaries or their controlled Affiliates shall not be entitled to vote.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w:t>
      </w:r>
      <w:r>
        <w:rPr>
          <w:rFonts w:ascii="Times New Roman" w:hAnsi="Times New Roman"/>
          <w:sz w:val="20"/>
          <w:u w:val="single"/>
        </w:rPr>
        <w:t>Section 5.14(b)(iii)(B)</w:t>
      </w:r>
      <w:r>
        <w:rPr>
          <w:rFonts w:ascii="Times New Roman" w:hAnsi="Times New Roman"/>
          <w:sz w:val="20"/>
        </w:rPr>
        <w:t xml:space="preserve"> and </w:t>
      </w:r>
      <w:r>
        <w:rPr>
          <w:rFonts w:ascii="Times New Roman" w:hAnsi="Times New Roman"/>
          <w:sz w:val="20"/>
          <w:u w:val="single"/>
        </w:rPr>
        <w:t>Section 5.14(b)(iii)(C)</w:t>
      </w:r>
      <w:r>
        <w:rPr>
          <w:rFonts w:ascii="Times New Roman" w:hAnsi="Times New Roman"/>
          <w:sz w:val="20"/>
        </w:rPr>
        <w:t xml:space="preserve">, no vote of the Series H Holders shall be required if, at or prior to the time when such action is to take effect, provision is made for the redemption of all Series H Preferred Units at the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Optional Redemption; Series H Rating Event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Partnership shall have the right (i) during any Series H Redemption Period or (ii) at any time within 120 calendar days after the conclusion of any review or appeal process instituted by the Partnership following the occurrence of a Series H Rating Event, in each case, to redeem the Series H Preferred Units, which redemption may be in whole or in part, on one or more occasions (except with respect to a redemption pursuant to clause (ii) of this </w:t>
      </w:r>
      <w:r>
        <w:rPr>
          <w:rFonts w:ascii="Times New Roman" w:hAnsi="Times New Roman"/>
          <w:sz w:val="20"/>
          <w:u w:val="single"/>
        </w:rPr>
        <w:t>Section 5.14(b)(iv)(A)</w:t>
      </w:r>
      <w:r>
        <w:rPr>
          <w:rFonts w:ascii="Times New Roman" w:hAnsi="Times New Roman"/>
          <w:sz w:val="20"/>
        </w:rPr>
        <w:t xml:space="preserve"> which shall be in whole but not in part), using any source of funds legally available for such purpose. Any such redemption shall occur on a date set by the General Partner (the “</w:t>
      </w:r>
      <w:r>
        <w:rPr>
          <w:rFonts w:ascii="Times New Roman" w:hAnsi="Times New Roman"/>
          <w:i/>
          <w:sz w:val="20"/>
        </w:rPr>
        <w:t>Series H Redemption Date</w:t>
      </w:r>
      <w:r>
        <w:rPr>
          <w:rFonts w:ascii="Times New Roman" w:hAnsi="Times New Roman"/>
          <w:sz w:val="20"/>
        </w:rPr>
        <w:t xml:space="preserve">”). The Partnership shall effect any such redemption by paying cash for each Series H Preferred Unit to be redeemed equal to 100% (in the case of a redemption described in clause (i) of this </w:t>
      </w:r>
      <w:r>
        <w:rPr>
          <w:rFonts w:ascii="Times New Roman" w:hAnsi="Times New Roman"/>
          <w:sz w:val="20"/>
          <w:u w:val="single"/>
        </w:rPr>
        <w:t>Section 5.14(b)(iv)(A)</w:t>
      </w:r>
      <w:r>
        <w:rPr>
          <w:rFonts w:ascii="Times New Roman" w:hAnsi="Times New Roman"/>
          <w:sz w:val="20"/>
        </w:rPr>
        <w:t xml:space="preserve">), or 102% (in the case of a redemption described in clause (ii) of this </w:t>
      </w:r>
      <w:r>
        <w:rPr>
          <w:rFonts w:ascii="Times New Roman" w:hAnsi="Times New Roman"/>
          <w:sz w:val="20"/>
          <w:u w:val="single"/>
        </w:rPr>
        <w:t>Section 5.14(b)(iv)(A)</w:t>
      </w:r>
      <w:r>
        <w:rPr>
          <w:rFonts w:ascii="Times New Roman" w:hAnsi="Times New Roman"/>
          <w:sz w:val="20"/>
        </w:rPr>
        <w:t>), of the Series H Liquidation Preference for such Series H Preferred Unit on such Series H Redemption Date plus an amount equal to all unpaid Series H Distributions thereon from the Series H Original Issue Date to, but excluding, the Series H Redemption Date (whether or not such distributions shall have been declared) (the “</w:t>
      </w:r>
      <w:r>
        <w:rPr>
          <w:rFonts w:ascii="Times New Roman" w:hAnsi="Times New Roman"/>
          <w:i/>
          <w:sz w:val="20"/>
        </w:rPr>
        <w:t>Series H Redemption Price</w:t>
      </w:r>
      <w:r>
        <w:rPr>
          <w:rFonts w:ascii="Times New Roman" w:hAnsi="Times New Roman"/>
          <w:sz w:val="20"/>
        </w:rPr>
        <w:t xml:space="preserve">”). So long as the Series H Preferred Units to be redeemed are held of record by the Depositary or the nominee of the Depositary, the Series H Redemption Price shall be paid by the Paying Agent to the Depositary on the Series H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The Partnership shall give notice of any redemption by mail, postage prepaid, not less than 30 calendar days and not more than 60 calendar days before the scheduled Series H Redemption Date to the Series H Holders (as of 5:00 p.m. New York City time on the Business Day next preceding the day on which notice is given) of any Series H Preferred Units to be redeemed as such Series H Holders’ names appear on the books of the Transfer Agent and at the address of such Series H Holders shown therein. Such notice (the “</w:t>
      </w:r>
      <w:r>
        <w:rPr>
          <w:rFonts w:ascii="Times New Roman" w:hAnsi="Times New Roman"/>
          <w:i/>
          <w:sz w:val="20"/>
        </w:rPr>
        <w:t>Series H Redemption Notice</w:t>
      </w:r>
      <w:r>
        <w:rPr>
          <w:rFonts w:ascii="Times New Roman" w:hAnsi="Times New Roman"/>
          <w:sz w:val="20"/>
        </w:rPr>
        <w:t xml:space="preserve">”) shall state, as applicable: (1) the Series H Redemption Date, (2) the number of Series H Preferred Units to be redeemed and, if less than all Outstanding Series H Preferred Units are to be redeemed, the number (and in the case of Series H Preferred Units in certificated form, the identification) of Series H Preferred Units to be redeemed from such Series H Holder, (3) the Series H Redemption Price, (4) the place where any Series H Preferred Units in certificated form are to be redeemed and shall be presented and surrendered for payment of the Series H Redemption Price therefor (which shall occur automatically if the Certificate representing such Series H Preferred Units is issued in the name of the Depositary or its nominee), and (5) that distributions on the Series H Preferred Units to be redeemed shall cease to accumulate from and after such Series H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(C) If the Partnership elects to redeem less than all of the Outstanding Series H Preferred Units, the number of Series H Preferred Units to be redeemed shall be determined by the General Partner, and such Series H Preferred Units shall be redeemed by such method of selection as the Depositary shall determine, either Pro Rata or by lot, with adjustments to avoid redemption of fractional Series H Preferred Units. The aggregate Series H Redemption Price for any such partial redemption of the Outstanding Series H Preferred Units shall be allocated correspondingly among the redeemed Series H Preferred Units. The Series H Preferred Units not redeemed shall remain Outstanding and entitled to all the rights, preferences and duties provided in this </w:t>
      </w:r>
      <w:r>
        <w:rPr>
          <w:rFonts w:ascii="Times New Roman" w:hAnsi="Times New Roman"/>
          <w:sz w:val="20"/>
          <w:u w:val="single"/>
        </w:rPr>
        <w:t>Section 5.14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If the Partnership gives or causes to be given a Series H Redemption Notice, the Partnership shall deposit with the Paying Agent funds sufficient to redeem the Series H Preferred Units as to which such Series H Redemption Notice shall have been given, no later than 10:00 a.m. New York City time on the Series H Redemption Date, and shall give the Paying Agent irrevocable instructions and authority to pay the Series H Redemption Price to each Series H Holder whose Series H Preferred Units are to be redeemed upon surrender or deemed surrender (which shall occur automatically if the Certificate representing such Series H Preferred Units is issued in the name of the Depositary or its nominee) of the Certificates therefor as set forth in the Series H Redemption Notice. If a Series H Redemption Notice shall have been given, from and after the Series H Redemption Date, unless the Partnership defaults in providing funds sufficient for such redemption at the time and place specified for payment pursuant to the Series H Redemption Notice, all Series H Distributions on such Series H Preferred Units to be redeemed shall cease to accumulate and all rights of holders of such Series H Preferred Units as Limited Partners with respect to such Series H Preferred Units to be redeemed shall cease, except the right to receive the Series H Redemption Price, and such Series H Preferred Units shall not thereafter be transferred on the books of the Transfer Agent or be deemed to be Outstanding for any purpose whatsoever. The Series H Holders shall have no claim to the interest income,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earned on funds deposited with the Paying Agent. Any funds deposited with the Paying Agent hereunder by the Partnership for any reason, including redemption of Series H Preferred Units, that remain unclaimed or unpaid after one year after the applicable Series H Redemption Date or other payment date, as applicable, shall be, to the extent permitted by law, repaid to the Partnership upon its written request, after which repayment the Series H Holders entitled to such redemption or other payment shall have recourse only to the Partnership. Notwithstanding any Series H Redemption Notice, there shall be no redemption of any Series H Preferred Units called for redemption until funds sufficient to pay the full Series H Redemption Price of such Series H Preferred Units shall have been deposited by the Partnership with the Paying Agent. </w:t>
      </w:r>
    </w:p>
    <w:p>
      <w:pPr>
        <w:pStyle w:val="TextBody"/>
        <w:bidi w:val="0"/>
        <w:spacing w:before="120" w:after="0"/>
        <w:jc w:val="left"/>
        <w:rPr>
          <w:rFonts w:ascii="Times New Roman" w:hAnsi="Times New Roman"/>
          <w:sz w:val="20"/>
        </w:rPr>
      </w:pPr>
      <w:r>
        <w:rPr>
          <w:rFonts w:ascii="Times New Roman" w:hAnsi="Times New Roman"/>
          <w:sz w:val="20"/>
        </w:rPr>
        <w:t xml:space="preserve">(E) Any Series H Preferred Units that are redeemed or otherwise acquired by the Partnership shall be canceled. If only a portion of the Series H Preferred Units represented by a Certificate shall have been called for redemption, upon surrender of the Certificate to the Paying Agent (which shall occur automatically if the Certificate representing such Series H Preferred Units is registered in the name of the Depositary or its nominee), the Partnership shall issue and the Paying Agent shall deliver to the Series H Holders a new Certificate (or adjust the applicable book-entry account) representing the number of Series H Preferred Units represented by the surrendered Certificate that have not been called for redemption. </w:t>
      </w:r>
    </w:p>
    <w:p>
      <w:pPr>
        <w:pStyle w:val="TextBody"/>
        <w:bidi w:val="0"/>
        <w:spacing w:before="120" w:after="0"/>
        <w:jc w:val="left"/>
        <w:rPr>
          <w:rFonts w:ascii="Times New Roman" w:hAnsi="Times New Roman"/>
          <w:sz w:val="20"/>
        </w:rPr>
      </w:pPr>
      <w:r>
        <w:rPr>
          <w:rFonts w:ascii="Times New Roman" w:hAnsi="Times New Roman"/>
          <w:sz w:val="20"/>
        </w:rPr>
        <w:t xml:space="preserve">(F) Notwithstanding anything to the contrary in this </w:t>
      </w:r>
      <w:r>
        <w:rPr>
          <w:rFonts w:ascii="Times New Roman" w:hAnsi="Times New Roman"/>
          <w:sz w:val="20"/>
          <w:u w:val="single"/>
        </w:rPr>
        <w:t>Section 5.14</w:t>
      </w:r>
      <w:r>
        <w:rPr>
          <w:rFonts w:ascii="Times New Roman" w:hAnsi="Times New Roman"/>
          <w:sz w:val="20"/>
        </w:rPr>
        <w:t xml:space="preserve">, in the event that full cumulative distributions on the Series H Preferred Units and any Series H Parity Securities shall not have been paid or declared and set aside for payment, the Partnership shall not be permitted to repurchase, redeem or otherwise acquire, in whole or in part, any Series H Preferred Units or Series H Parity Securities except pursuant to a purchase or exchange offer made on the same relative terms to all Series H Holders and holders of any Series H Parity Securities. Subject to </w:t>
      </w:r>
      <w:r>
        <w:rPr>
          <w:rFonts w:ascii="Times New Roman" w:hAnsi="Times New Roman"/>
          <w:sz w:val="20"/>
          <w:u w:val="single"/>
        </w:rPr>
        <w:t>Section 4.9</w:t>
      </w:r>
      <w:r>
        <w:rPr>
          <w:rFonts w:ascii="Times New Roman" w:hAnsi="Times New Roman"/>
          <w:sz w:val="20"/>
        </w:rPr>
        <w:t xml:space="preserve">, so long as any Series H Preferred Units are Outstanding, the Partnership shall not be permitted to redeem, repurchase or otherwise acquire any Common Units or any other Series H Junior Securities unless full cumulative distributions on the Series H Preferred Units and any Series H Parity Securities for all prior and the then-ending Series H Distribution Periods, with respect to the Series H Preferred Units, and all prior and then ending distribution periods, with respect to any such Series H Parity Securities, shall have been paid or declared and set aside for payment.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Liquidation Rights</w:t>
      </w:r>
      <w:r>
        <w:rPr>
          <w:rFonts w:ascii="Times New Roman" w:hAnsi="Times New Roman"/>
          <w:sz w:val="20"/>
        </w:rPr>
        <w:t xml:space="preserve">. In the event of the dissolution and winding up of the Partnership under </w:t>
      </w:r>
      <w:r>
        <w:rPr>
          <w:rFonts w:ascii="Times New Roman" w:hAnsi="Times New Roman"/>
          <w:sz w:val="20"/>
          <w:u w:val="single"/>
        </w:rPr>
        <w:t>Section 12.4</w:t>
      </w:r>
      <w:r>
        <w:rPr>
          <w:rFonts w:ascii="Times New Roman" w:hAnsi="Times New Roman"/>
          <w:sz w:val="20"/>
        </w:rPr>
        <w:t xml:space="preserve"> or a sale, exchange, or other disposition of all or substantially all of the assets of the Partnership, either voluntary or involuntary, the Record Holders of the Series H Preferred Units shall be entitled to receive, out of the assets of the Partnership available for distribution to the Partners or any Assignees, prior and in preference to any distribution of any assets of the Partnership to the Record Holders of any other class or series of Partnership Interests (other than Series H Senior Securities or Series H Parity Securities), (i) first, any accumulated and unpaid distributions on the Series 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Preferred Units (regardless of whether previously declared) and (ii) then, any positive value in each such holder’s Capital Account in respect of such Series H Preferred Units. If in the year of such dissolution and winding up, or sale, exchange, or other disposition of all or substantially all of the assets of the Partnership, any such Record Holder’s Capital Account in respect of such Series H Preferred Units is less than the aggregate Series H Base Liquidation Preference of such Series H Preferred Units, then, notwithstanding anything to the contrary contained in this Agreement, and prior to any other allocation pursuant to this Agreement for such year and any distribution pursuant to the preceding sentence (other than any allocations or distributions made with respect to any other Series H Parity Securities upon which like allocation and distribution rights have been conferred), items of gross income and gain shall be allocated to all Unitholders then holding Series H Preferred Units, Pro Rata, until the Capital Account in respect of each Outstanding Series H Preferred Unit is equal to the Series H Base Liquidation Preference (and no other allocation pursuant to this Agreement shall reverse the effect of such allocation);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in the event that like allocation rights have been conferred upon other Series H Parity Securities (including pursuant to </w:t>
      </w:r>
      <w:r>
        <w:rPr>
          <w:rFonts w:ascii="Times New Roman" w:hAnsi="Times New Roman"/>
          <w:sz w:val="20"/>
          <w:u w:val="single"/>
        </w:rPr>
        <w:t>Sections 5.11(b)(v)</w:t>
      </w:r>
      <w:r>
        <w:rPr>
          <w:rFonts w:ascii="Times New Roman" w:hAnsi="Times New Roman"/>
          <w:sz w:val="20"/>
        </w:rPr>
        <w:t xml:space="preserve"> and </w:t>
      </w:r>
      <w:r>
        <w:rPr>
          <w:rFonts w:ascii="Times New Roman" w:hAnsi="Times New Roman"/>
          <w:sz w:val="20"/>
          <w:u w:val="single"/>
        </w:rPr>
        <w:t>5.12(b)(v)</w:t>
      </w:r>
      <w:r>
        <w:rPr>
          <w:rFonts w:ascii="Times New Roman" w:hAnsi="Times New Roman"/>
          <w:sz w:val="20"/>
        </w:rPr>
        <w:t xml:space="preserve">), then items of gross income and gain shall be allocated to all Unitholders then holding Series H Preferred Units and such Series H Parity Securities, Pro Rata, until the Capital Account in respect of each Outstanding Series H Preferred Unit and such Series H Parity Security is equal to the applicable liquidation preference (and no other allocation pursuant to this Agreement shall reverse the effect of such allocation). If in the year of such dissolution and winding up any such Record Holder’s Capital Account in respect of such Series H Preferred Units is less than the aggregate Series H Base Liquidation Preference of such Series H Preferred Units after the application of the preceding sentence, then to the extent permitted by applicable law, but otherwise notwithstanding anything to the contrary contained in this Agreement, items of gross income and gain for any preceding taxable year(s) with respect to which IRS Form 1065 Schedules K-1 have not been filed by the Partnership shall be reallocated to all Unitholders then holding Series H Preferred Units, Pro Rata, until the Capital Account in respect of each such Outstanding Series H Preferred Unit after making allocations pursuant to this and the immediately preceding sentence is equal to the Series H Base Liquidation Preference (and no other allocation pursuant to this Agreement shall reverse the effect of such allocation);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in the event like allocation rights have been conferred upon other Series H Parity Securities (including pursuant to </w:t>
      </w:r>
      <w:r>
        <w:rPr>
          <w:rFonts w:ascii="Times New Roman" w:hAnsi="Times New Roman"/>
          <w:sz w:val="20"/>
          <w:u w:val="single"/>
        </w:rPr>
        <w:t xml:space="preserve">Sections 5.11(b)(v) </w:t>
      </w:r>
      <w:r>
        <w:rPr>
          <w:rFonts w:ascii="Times New Roman" w:hAnsi="Times New Roman"/>
          <w:sz w:val="20"/>
        </w:rPr>
        <w:t xml:space="preserve">and </w:t>
      </w:r>
      <w:r>
        <w:rPr>
          <w:rFonts w:ascii="Times New Roman" w:hAnsi="Times New Roman"/>
          <w:sz w:val="20"/>
          <w:u w:val="single"/>
        </w:rPr>
        <w:t>5.12(b)(v)</w:t>
      </w:r>
      <w:r>
        <w:rPr>
          <w:rFonts w:ascii="Times New Roman" w:hAnsi="Times New Roman"/>
          <w:sz w:val="20"/>
        </w:rPr>
        <w:t xml:space="preserve">), then any such items of gross income and gain shall be reallocated to all Unitholders then holding Series H Preferred Units and such Series H Parity Securities, Pro Rata, until the Capital Account in respect of each Outstanding Series H Preferred Unit and such Series H Parity Security after making allocations pursuant to this and the immediately preceding sentence is equal to the applicable liquidation preference (and no other allocation pursuant to this Agreement shall reverse the effect of such allocation). After such allocations have been made to the Outstanding Series H Preferred Units and any Series H Parity Securities, as applicable, any remaining Net Termination Gain or Net Termination Loss shall be allocated to the Partners pursuant to </w:t>
      </w:r>
      <w:r>
        <w:rPr>
          <w:rFonts w:ascii="Times New Roman" w:hAnsi="Times New Roman"/>
          <w:sz w:val="20"/>
          <w:u w:val="single"/>
        </w:rPr>
        <w:t>Section 6.1(c)</w:t>
      </w:r>
      <w:r>
        <w:rPr>
          <w:rFonts w:ascii="Times New Roman" w:hAnsi="Times New Roman"/>
          <w:sz w:val="20"/>
        </w:rPr>
        <w:t xml:space="preserve"> or </w:t>
      </w:r>
      <w:r>
        <w:rPr>
          <w:rFonts w:ascii="Times New Roman" w:hAnsi="Times New Roman"/>
          <w:sz w:val="20"/>
          <w:u w:val="single"/>
        </w:rPr>
        <w:t>Section 6.1(d)</w:t>
      </w:r>
      <w:r>
        <w:rPr>
          <w:rFonts w:ascii="Times New Roman" w:hAnsi="Times New Roman"/>
          <w:sz w:val="20"/>
        </w:rPr>
        <w:t xml:space="preserve">, as the case may be. At the time of the dissolution of the Partnership, subject to Sections 11.053 and 153.210 of the Texas Limited Partnership Law, the Record Holders of the Series H Preferred Units shall become entitled to receive any distributions in respect of the Series H Preferred Units that are accrued and unpaid as of the date of such distribution, and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have the status of, and shall be entitled to all remedies available to, a creditor of the Partnership, and such entitlement of the Record Holders of the Series H Preferred Units to such accrued and unpaid distributions shall have priority over any entitlement of any other Partners or Assignees (other than holders of any Series H Senior Securities or Series H Parity Securities) with respect to any distributions by the Partnership to such other Partners or Assignees;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General Partner, as such, will have no liability for any obligations with respect to such distributions to any Record Holder(s) of Series H Preferred Units.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i/>
          <w:sz w:val="20"/>
        </w:rPr>
        <w:t>Rank</w:t>
      </w:r>
      <w:r>
        <w:rPr>
          <w:rFonts w:ascii="Times New Roman" w:hAnsi="Times New Roman"/>
          <w:sz w:val="20"/>
        </w:rPr>
        <w:t xml:space="preserve">. The Series H Preferred Units shall each be deemed to rank as to distributions on such Partnership Securities and distributions upon liquidation of the Partnership: </w:t>
      </w:r>
    </w:p>
    <w:p>
      <w:pPr>
        <w:pStyle w:val="TextBody"/>
        <w:bidi w:val="0"/>
        <w:spacing w:before="120" w:after="0"/>
        <w:jc w:val="left"/>
        <w:rPr>
          <w:rFonts w:ascii="Times New Roman" w:hAnsi="Times New Roman"/>
          <w:sz w:val="20"/>
        </w:rPr>
      </w:pPr>
      <w:r>
        <w:rPr>
          <w:rFonts w:ascii="Times New Roman" w:hAnsi="Times New Roman"/>
          <w:sz w:val="20"/>
        </w:rPr>
        <w:t xml:space="preserve">(A) senior to any Series H Junior Securities; </w:t>
      </w:r>
    </w:p>
    <w:p>
      <w:pPr>
        <w:pStyle w:val="TextBody"/>
        <w:bidi w:val="0"/>
        <w:spacing w:before="120" w:after="0"/>
        <w:jc w:val="left"/>
        <w:rPr>
          <w:rFonts w:ascii="Times New Roman" w:hAnsi="Times New Roman"/>
          <w:sz w:val="20"/>
        </w:rPr>
      </w:pPr>
      <w:r>
        <w:rPr>
          <w:rFonts w:ascii="Times New Roman" w:hAnsi="Times New Roman"/>
          <w:sz w:val="20"/>
        </w:rPr>
        <w:t xml:space="preserve">(B) on a parity with any Series H Parity Securities; </w:t>
      </w:r>
    </w:p>
    <w:p>
      <w:pPr>
        <w:pStyle w:val="TextBody"/>
        <w:bidi w:val="0"/>
        <w:spacing w:before="120" w:after="0"/>
        <w:jc w:val="left"/>
        <w:rPr>
          <w:rFonts w:ascii="Times New Roman" w:hAnsi="Times New Roman"/>
          <w:sz w:val="20"/>
        </w:rPr>
      </w:pPr>
      <w:r>
        <w:rPr>
          <w:rFonts w:ascii="Times New Roman" w:hAnsi="Times New Roman"/>
          <w:sz w:val="20"/>
        </w:rPr>
        <w:t xml:space="preserve">(C) junior to any Series H Senior Securities; and </w:t>
      </w:r>
    </w:p>
    <w:p>
      <w:pPr>
        <w:pStyle w:val="TextBody"/>
        <w:bidi w:val="0"/>
        <w:spacing w:before="120" w:after="0"/>
        <w:jc w:val="left"/>
        <w:rPr>
          <w:rFonts w:ascii="Times New Roman" w:hAnsi="Times New Roman"/>
          <w:sz w:val="20"/>
        </w:rPr>
      </w:pPr>
      <w:r>
        <w:rPr>
          <w:rFonts w:ascii="Times New Roman" w:hAnsi="Times New Roman"/>
          <w:sz w:val="20"/>
        </w:rPr>
        <w:t xml:space="preserve">(D) junior to all existing and future indebtedness of the Partnership and other liabilities with respect to assets available to satisfy claims against the Partnership.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i/>
          <w:sz w:val="20"/>
        </w:rPr>
        <w:t>No Sinking Fund</w:t>
      </w:r>
      <w:r>
        <w:rPr>
          <w:rFonts w:ascii="Times New Roman" w:hAnsi="Times New Roman"/>
          <w:sz w:val="20"/>
        </w:rPr>
        <w:t xml:space="preserve">. The Series H Preferred Units shall not have the benefit of any sinking fund.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i/>
          <w:sz w:val="20"/>
        </w:rPr>
        <w:t>Record Holders</w:t>
      </w:r>
      <w:r>
        <w:rPr>
          <w:rFonts w:ascii="Times New Roman" w:hAnsi="Times New Roman"/>
          <w:sz w:val="20"/>
        </w:rPr>
        <w:t xml:space="preserve">. To the fullest extent permitted by applicable law, the General Partner, the Partnership, the Transfer Agent, and the Paying Agent may deem and treat any Series H Holder as the true, lawful, and absolute owner of the applicable Series H Preferred Units for all purposes, and none of the General Partner, the Partnership, the Transfer Agent or the Paying Agent shall be affected by any notice to the contrary, except as otherwise provided by law or any applicable rule, regulation, guideline or requirement of any National Securities Exchange on which the Series H Preferred Units may be listed or admitted to trading, if any. </w:t>
      </w:r>
    </w:p>
    <w:p>
      <w:pPr>
        <w:pStyle w:val="TextBody"/>
        <w:bidi w:val="0"/>
        <w:spacing w:before="120" w:after="0"/>
        <w:jc w:val="left"/>
        <w:rPr>
          <w:rFonts w:ascii="Times New Roman" w:hAnsi="Times New Roman"/>
          <w:sz w:val="20"/>
        </w:rPr>
      </w:pPr>
      <w:r>
        <w:rPr>
          <w:rFonts w:ascii="Times New Roman" w:hAnsi="Times New Roman"/>
          <w:sz w:val="20"/>
        </w:rPr>
        <w:t xml:space="preserve">(ix) </w:t>
      </w:r>
      <w:r>
        <w:rPr>
          <w:rFonts w:ascii="Times New Roman" w:hAnsi="Times New Roman"/>
          <w:i/>
          <w:sz w:val="20"/>
        </w:rPr>
        <w:t>Notices</w:t>
      </w:r>
      <w:r>
        <w:rPr>
          <w:rFonts w:ascii="Times New Roman" w:hAnsi="Times New Roman"/>
          <w:sz w:val="20"/>
        </w:rPr>
        <w:t xml:space="preserve">. All notices or other communications in respect of Series H Holders shall be sufficiently given (i) if given in writing and either delivered in person or by first class mail, postage prepaid, or (ii) if given in such other manner as may be permitted in this </w:t>
      </w:r>
      <w:r>
        <w:rPr>
          <w:rFonts w:ascii="Times New Roman" w:hAnsi="Times New Roman"/>
          <w:sz w:val="20"/>
          <w:u w:val="single"/>
        </w:rPr>
        <w:t>Section 5.14</w:t>
      </w:r>
      <w:r>
        <w:rPr>
          <w:rFonts w:ascii="Times New Roman" w:hAnsi="Times New Roman"/>
          <w:sz w:val="20"/>
        </w:rPr>
        <w:t xml:space="preserve">, this Agreement or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Other Rights; Fiduciary Duties</w:t>
      </w:r>
      <w:r>
        <w:rPr>
          <w:rFonts w:ascii="Times New Roman" w:hAnsi="Times New Roman"/>
          <w:sz w:val="20"/>
        </w:rPr>
        <w:t xml:space="preserve">. The Series H Preferred Units and the Series H Holders shall not have any designations, preferences, rights, powers or duties, other than as set forth in this Agreement or as provided by applicable law. Notwithstanding anything to the contrary in this Agreement or any duty existing at law, in equity or otherwise, to the fullest extent permitted by applicable law, neither the General Partner nor any other Indemnitee shall owe any duties, including fiduciary duties, or have any liabilities to Series H Holders, other than the implied contractual covenant of good faith and fair dealing. The General Partner and other Indemnitees shall have no duties or obligations to the Series H Holders under Sections 152.205, 152.206 or 152.204(b) of the Texas Limited Partnership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5.15 </w:t>
      </w:r>
      <w:r>
        <w:rPr>
          <w:rFonts w:ascii="Times New Roman" w:hAnsi="Times New Roman"/>
          <w:sz w:val="20"/>
          <w:u w:val="single"/>
        </w:rPr>
        <w:t>Establishment of Series I Preferred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w:t>
      </w:r>
      <w:r>
        <w:rPr>
          <w:rFonts w:ascii="Times New Roman" w:hAnsi="Times New Roman"/>
          <w:sz w:val="20"/>
        </w:rPr>
        <w:t>. The Partnership hereby designates and creates a class of Partnership Securities to be designated as “</w:t>
      </w:r>
      <w:r>
        <w:rPr>
          <w:rFonts w:ascii="Times New Roman" w:hAnsi="Times New Roman"/>
          <w:i/>
          <w:sz w:val="20"/>
        </w:rPr>
        <w:t>Series I Fixed Rate Perpetual Preferred Units</w:t>
      </w:r>
      <w:r>
        <w:rPr>
          <w:rFonts w:ascii="Times New Roman" w:hAnsi="Times New Roman"/>
          <w:sz w:val="20"/>
        </w:rPr>
        <w:t>” (the “</w:t>
      </w:r>
      <w:r>
        <w:rPr>
          <w:rFonts w:ascii="Times New Roman" w:hAnsi="Times New Roman"/>
          <w:i/>
          <w:sz w:val="20"/>
        </w:rPr>
        <w:t>Series I Preferred Units</w:t>
      </w:r>
      <w:r>
        <w:rPr>
          <w:rFonts w:ascii="Times New Roman" w:hAnsi="Times New Roman"/>
          <w:sz w:val="20"/>
        </w:rPr>
        <w:t xml:space="preserve">”), having the preferences, rights, powers, and duties set forth herein, including this </w:t>
      </w:r>
      <w:r>
        <w:rPr>
          <w:rFonts w:ascii="Times New Roman" w:hAnsi="Times New Roman"/>
          <w:sz w:val="20"/>
          <w:u w:val="single"/>
        </w:rPr>
        <w:t>Section 5.15</w:t>
      </w:r>
      <w:r>
        <w:rPr>
          <w:rFonts w:ascii="Times New Roman" w:hAnsi="Times New Roman"/>
          <w:sz w:val="20"/>
        </w:rPr>
        <w:t xml:space="preserve">. Each Series I Preferred Unit shall be identical in all respects to every other Series I Preferred Unit, except as to the respective dates from which the Series I Liquidation Preference shall increase or from which Series I Distributions may begin accruing, to the extent such dates may differ. The Series I Preferred Units represent perpetual equity interests in the Partnership and shall not give rise to a claim by the Partnership or a Series I Holder for conversion or, except as set forth in </w:t>
      </w:r>
      <w:r>
        <w:rPr>
          <w:rFonts w:ascii="Times New Roman" w:hAnsi="Times New Roman"/>
          <w:sz w:val="20"/>
          <w:u w:val="single"/>
        </w:rPr>
        <w:t>Section 5.15</w:t>
      </w:r>
      <w:r>
        <w:rPr>
          <w:rFonts w:ascii="Times New Roman" w:hAnsi="Times New Roman"/>
          <w:sz w:val="20"/>
        </w:rPr>
        <w:t xml:space="preserve">, redemption thereof at a particular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Conversion of Series I Preferred 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One or more Series I Holders may elect, each in its own discretion, (A) at any time, to convert all or any portion of the Series I Preferred Units held by such electing Series I Holder(s) in an aggregate amount equaling or exceeding the Minimum Conversion Amount into Common Units, at the then-applicable Series I Conversion Ratio, subject to payment of any accrued but unpaid distributions to the date of conversion in accordance with </w:t>
      </w:r>
      <w:r>
        <w:rPr>
          <w:rFonts w:ascii="Times New Roman" w:hAnsi="Times New Roman"/>
          <w:sz w:val="20"/>
          <w:u w:val="single"/>
        </w:rPr>
        <w:t>Section 5.15(b)(iv)</w:t>
      </w:r>
      <w:r>
        <w:rPr>
          <w:rFonts w:ascii="Times New Roman" w:hAnsi="Times New Roman"/>
          <w:sz w:val="20"/>
        </w:rPr>
        <w:t xml:space="preserve">, and (B) in the event of any voluntary liquidation, dissolution or winding up of the Partnership, to convert all or any portion of the Series I Preferred Units held by such Series I Holder(s), at the then-applicable Series I Conversion Ratio, subject to payment of any accrued but unpaid distributions to the date of conversion in accordance with </w:t>
      </w:r>
      <w:r>
        <w:rPr>
          <w:rFonts w:ascii="Times New Roman" w:hAnsi="Times New Roman"/>
          <w:sz w:val="20"/>
          <w:u w:val="single"/>
        </w:rPr>
        <w:t>Section 5.15(b)(iv)</w:t>
      </w:r>
      <w:r>
        <w:rPr>
          <w:rFonts w:ascii="Times New Roman" w:hAnsi="Times New Roman"/>
          <w:sz w:val="20"/>
        </w:rPr>
        <w:t xml:space="preserve">, in each case, by delivery of: (A) written notice to the Partnership, in the form set forth as </w:t>
      </w:r>
      <w:r>
        <w:rPr>
          <w:rFonts w:ascii="Times New Roman" w:hAnsi="Times New Roman"/>
          <w:sz w:val="20"/>
          <w:u w:val="single"/>
        </w:rPr>
        <w:t>Exhibit B</w:t>
      </w:r>
      <w:r>
        <w:rPr>
          <w:rFonts w:ascii="Times New Roman" w:hAnsi="Times New Roman"/>
          <w:sz w:val="20"/>
        </w:rPr>
        <w:t xml:space="preserve"> hereto, setting forth the number of Series I Preferred Units it holds and the number of Series I Preferred Units it is electing to convert, and (B) if such Series I Preferred Units are in certificated form, a Series I Preferred Unit Certificate to the Transfer Agent representing an amount of Series I Preferred Units at least equal to the amount such Series I Holder is electing to convert (or an instruction letter to the Transfer Agent if the Series I Preferred Units are in book-entry form), together with such additional information as may be requested by the Transfer Agent, </w:t>
      </w:r>
      <w:r>
        <w:rPr>
          <w:rFonts w:ascii="Times New Roman" w:hAnsi="Times New Roman"/>
          <w:sz w:val="20"/>
          <w:u w:val="single"/>
        </w:rPr>
        <w:t xml:space="preserve">provided </w:t>
      </w:r>
      <w:r>
        <w:rPr>
          <w:rFonts w:ascii="Times New Roman" w:hAnsi="Times New Roman"/>
          <w:sz w:val="20"/>
        </w:rPr>
        <w:t>that with respect to any Series I Change of Control, such delivery shall be made by the later of (x) 5 Business Days from receipt of notice from the Partnership of such Series I Change of Control and (y) 20 Business Days prior to the anticipated closing date (which anticipated closing date shall be specified by the Partnership in such notice and shall be based on the Partnership’s reasonable best estimate of such anticipated closing date at the time of providing such notice) of such Series I Change of Control (the “</w:t>
      </w:r>
      <w:r>
        <w:rPr>
          <w:rFonts w:ascii="Times New Roman" w:hAnsi="Times New Roman"/>
          <w:i/>
          <w:sz w:val="20"/>
        </w:rPr>
        <w:t>Series I COC Election</w:t>
      </w:r>
      <w:r>
        <w:rPr>
          <w:rFonts w:ascii="Times New Roman" w:hAnsi="Times New Roman"/>
          <w:sz w:val="20"/>
        </w:rPr>
        <w:t xml:space="preserve">”). Such Series I COC Election shall be irrevocable unless (a) any material terms related to the Series I Change of Control consideration are changed or (b) the expected closing date of the Series I Change of Control is pushed back by more than 20 Business Days;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any Series I Holder that made a Series I COC Election shall have until the later of (x) 5 Business Days from receipt of notice from the Partnership of the occurrence of any of the events in clause (a) or (b) or (y) 20 Business Days prior to the new anticipated closing date (which new anticipated closing date shall be specified by the Partnership in such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shall be based on the Partnership’s reasonable best estimate of such new anticipated closing date at the time of providing such notice) of any Series I Change of Control to provide notice to the Partnership that such Series I Holder is revoking its Series I COC Election and if such notice is not provided within such period, the Series I COC Election shall be irrevocable. Thereafter, the Partnership shall take all such actions as are necessary or appropriate to complete such conversion in accordance with this </w:t>
      </w:r>
      <w:r>
        <w:rPr>
          <w:rFonts w:ascii="Times New Roman" w:hAnsi="Times New Roman"/>
          <w:sz w:val="20"/>
          <w:u w:val="single"/>
        </w:rPr>
        <w:t>Section 5.15(b)</w:t>
      </w:r>
      <w:r>
        <w:rPr>
          <w:rFonts w:ascii="Times New Roman" w:hAnsi="Times New Roman"/>
          <w:sz w:val="20"/>
        </w:rPr>
        <w:t xml:space="preserve">, </w:t>
      </w:r>
      <w:r>
        <w:rPr>
          <w:rFonts w:ascii="Times New Roman" w:hAnsi="Times New Roman"/>
          <w:sz w:val="20"/>
          <w:u w:val="single"/>
        </w:rPr>
        <w:t xml:space="preserve">provided </w:t>
      </w:r>
      <w:r>
        <w:rPr>
          <w:rFonts w:ascii="Times New Roman" w:hAnsi="Times New Roman"/>
          <w:sz w:val="20"/>
        </w:rPr>
        <w:t xml:space="preserve">that such conversion shall be consummated prior to the tenth Business Day following the date of receipt of notice by the Partnership (or, in the event of a Series I Change of Control, prior to such Series I Change of Control). In the case of any Certificate representing Series I Preferred Units which are converted in part only, upon such conversion the Transfer Agent shall authenticate and deliver to the Series I Holder thereof, at the expense of the Partnership, a new Certificate representing the number of Series I Preferred Units not so converted. </w:t>
      </w:r>
    </w:p>
    <w:p>
      <w:pPr>
        <w:pStyle w:val="TextBody"/>
        <w:bidi w:val="0"/>
        <w:spacing w:before="120" w:after="0"/>
        <w:jc w:val="left"/>
        <w:rPr>
          <w:rFonts w:ascii="Times New Roman" w:hAnsi="Times New Roman"/>
          <w:sz w:val="20"/>
        </w:rPr>
      </w:pPr>
      <w:r>
        <w:rPr>
          <w:rFonts w:ascii="Times New Roman" w:hAnsi="Times New Roman"/>
          <w:sz w:val="20"/>
        </w:rPr>
        <w:t xml:space="preserve">(ii) At any time, and </w:t>
      </w:r>
      <w:r>
        <w:rPr>
          <w:rFonts w:ascii="Times New Roman" w:hAnsi="Times New Roman"/>
          <w:sz w:val="20"/>
          <w:u w:val="single"/>
        </w:rPr>
        <w:t xml:space="preserve">provided </w:t>
      </w:r>
      <w:r>
        <w:rPr>
          <w:rFonts w:ascii="Times New Roman" w:hAnsi="Times New Roman"/>
          <w:sz w:val="20"/>
        </w:rPr>
        <w:t xml:space="preserve">that the average daily trading volume of the Common Units on the National Securities Exchange upon which such Common Units are listed or admitted to trading was at least 1,168,750 Common Units (subject to appropriate adjustments in accordance with </w:t>
      </w:r>
      <w:r>
        <w:rPr>
          <w:rFonts w:ascii="Times New Roman" w:hAnsi="Times New Roman"/>
          <w:sz w:val="20"/>
          <w:u w:val="single"/>
        </w:rPr>
        <w:t>Section 5.15(b)(xi)</w:t>
      </w:r>
      <w:r>
        <w:rPr>
          <w:rFonts w:ascii="Times New Roman" w:hAnsi="Times New Roman"/>
          <w:sz w:val="20"/>
        </w:rPr>
        <w:t xml:space="preserve">) for 20-trading days over the 30-trading day period ending on the close of trading on the trading day immediately prior to the date of delivery of notice by the Partnership pursuant to this </w:t>
      </w:r>
      <w:r>
        <w:rPr>
          <w:rFonts w:ascii="Times New Roman" w:hAnsi="Times New Roman"/>
          <w:sz w:val="20"/>
          <w:u w:val="single"/>
        </w:rPr>
        <w:t>Section 5.15(b)(ii)</w:t>
      </w:r>
      <w:r>
        <w:rPr>
          <w:rFonts w:ascii="Times New Roman" w:hAnsi="Times New Roman"/>
          <w:sz w:val="20"/>
        </w:rPr>
        <w:t xml:space="preserve">, if the VWAP Price for 20 trading days over the 30-trading day period ending on the close of trading on the trading day immediately prior to the date of delivery of notice by the Partnership to any Series I Holder of exercise of its conversion right pursuant to this </w:t>
      </w:r>
      <w:r>
        <w:rPr>
          <w:rFonts w:ascii="Times New Roman" w:hAnsi="Times New Roman"/>
          <w:sz w:val="20"/>
          <w:u w:val="single"/>
        </w:rPr>
        <w:t>Section 5.15(b)(ii)</w:t>
      </w:r>
      <w:r>
        <w:rPr>
          <w:rFonts w:ascii="Times New Roman" w:hAnsi="Times New Roman"/>
          <w:sz w:val="20"/>
        </w:rPr>
        <w:t xml:space="preserve"> is greater than (x) 150% of the Series I Preferred Unit Price divided by (y) the then applicable Series I Conversion Ratio, the General Partner, in its sole discretion, may convert all or a portion of the Outstanding Series I Preferred Units into Common Units, at the then-applicable Series I Conversion Ratio, subject to payment of any accrued but unpaid distributions to the date of conversion in accordance with </w:t>
      </w:r>
      <w:r>
        <w:rPr>
          <w:rFonts w:ascii="Times New Roman" w:hAnsi="Times New Roman"/>
          <w:sz w:val="20"/>
          <w:u w:val="single"/>
        </w:rPr>
        <w:t>Section 5.15(b)(iv)</w:t>
      </w:r>
      <w:r>
        <w:rPr>
          <w:rFonts w:ascii="Times New Roman" w:hAnsi="Times New Roman"/>
          <w:sz w:val="20"/>
        </w:rPr>
        <w:t xml:space="preserve">; </w:t>
      </w:r>
      <w:r>
        <w:rPr>
          <w:rFonts w:ascii="Times New Roman" w:hAnsi="Times New Roman"/>
          <w:sz w:val="20"/>
          <w:u w:val="single"/>
        </w:rPr>
        <w:t xml:space="preserve">provided </w:t>
      </w:r>
      <w:r>
        <w:rPr>
          <w:rFonts w:ascii="Times New Roman" w:hAnsi="Times New Roman"/>
          <w:sz w:val="20"/>
        </w:rPr>
        <w:t xml:space="preserve">that if the General Partner elects to convert less than all of the Outstanding Series I Preferred Units, such conversion shall be effected on a Pro Rata basis among the Outstanding Series I Preferred Units, including any Outstanding Series I PIK Units. The Partnership shall deliver to each Series I Holder a written notice at least 5 Business Days prior to the date of the expected conversion. Immediately as of the close of business on the date of conversion pursuant to this </w:t>
      </w:r>
      <w:r>
        <w:rPr>
          <w:rFonts w:ascii="Times New Roman" w:hAnsi="Times New Roman"/>
          <w:sz w:val="20"/>
          <w:u w:val="single"/>
        </w:rPr>
        <w:t>Section 5.15(b)(ii)</w:t>
      </w:r>
      <w:r>
        <w:rPr>
          <w:rFonts w:ascii="Times New Roman" w:hAnsi="Times New Roman"/>
          <w:sz w:val="20"/>
        </w:rPr>
        <w:t xml:space="preserve">, which date shall be prior to the fifth Business Day following the date of delivery of notice by the Partnership, all or such portion of the Outstanding Series I Preferred Units shall automatically convert into Common Units, at the then-applicable Series I Conversion Ratio, subject to payment of any accrued but unpaid distributions to the date of conversion in accordance with </w:t>
      </w:r>
      <w:r>
        <w:rPr>
          <w:rFonts w:ascii="Times New Roman" w:hAnsi="Times New Roman"/>
          <w:sz w:val="20"/>
          <w:u w:val="single"/>
        </w:rPr>
        <w:t>Section 5.15(b)(iv)</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(iii) At any time, provided</w:t>
      </w:r>
      <w:r>
        <w:rPr>
          <w:rFonts w:ascii="Times New Roman" w:hAnsi="Times New Roman"/>
          <w:sz w:val="20"/>
          <w:u w:val="single"/>
        </w:rPr>
        <w:t xml:space="preserve"> </w:t>
      </w:r>
      <w:r>
        <w:rPr>
          <w:rFonts w:ascii="Times New Roman" w:hAnsi="Times New Roman"/>
          <w:sz w:val="20"/>
        </w:rPr>
        <w:t xml:space="preserve">that the average daily trading volume of the Common Units on the National Securities Exchange upon which such Common Units are listed or admitted to trading was at least 1,168,750 Common Units (subject to appropriate adjustment in accordance with </w:t>
      </w:r>
      <w:r>
        <w:rPr>
          <w:rFonts w:ascii="Times New Roman" w:hAnsi="Times New Roman"/>
          <w:sz w:val="20"/>
          <w:u w:val="single"/>
        </w:rPr>
        <w:t>Section 5.15(b)(xi)</w:t>
      </w:r>
      <w:r>
        <w:rPr>
          <w:rFonts w:ascii="Times New Roman" w:hAnsi="Times New Roman"/>
          <w:sz w:val="20"/>
        </w:rPr>
        <w:t xml:space="preserve">) for 20-trading days over the 30-trading day period ending on the close of trading on the trading day immediately prior to the date of delivery of notice by the Partnership pursuant to this </w:t>
      </w:r>
      <w:r>
        <w:rPr>
          <w:rFonts w:ascii="Times New Roman" w:hAnsi="Times New Roman"/>
          <w:sz w:val="20"/>
          <w:u w:val="single"/>
        </w:rPr>
        <w:t>Section 5.15(b)(iii)</w:t>
      </w:r>
      <w:r>
        <w:rPr>
          <w:rFonts w:ascii="Times New Roman" w:hAnsi="Times New Roman"/>
          <w:sz w:val="20"/>
        </w:rPr>
        <w:t xml:space="preserve">, if the VWAP Price for 20 trading days over the 30-trading day period ending on the close of trading on the trading day immediately prior to the date of delivery of notice by the Partnership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Series I Holder of exercise of its conversion right pursuant to this </w:t>
      </w:r>
      <w:r>
        <w:rPr>
          <w:rFonts w:ascii="Times New Roman" w:hAnsi="Times New Roman"/>
          <w:sz w:val="20"/>
          <w:u w:val="single"/>
        </w:rPr>
        <w:t>Section 5.15(b)(iii)</w:t>
      </w:r>
      <w:r>
        <w:rPr>
          <w:rFonts w:ascii="Times New Roman" w:hAnsi="Times New Roman"/>
          <w:sz w:val="20"/>
        </w:rPr>
        <w:t xml:space="preserve"> is greater than (x) the Series I Preferred Unit Price divided by (y) the then-applicable Series I Conversion Ratio, the General Partner, in its sole discretion, may convert all, but not less than all, of the Outstanding Series I Preferred Units into a number of Common Units equal to the Adjusted Conversion Amount. The Partnership shall deliver to each Series I Holder a written notice at least 5 Business Days prior to the date of the expected conversion. Immediately as of the close of business on the date of conversion pursuant to this </w:t>
      </w:r>
      <w:r>
        <w:rPr>
          <w:rFonts w:ascii="Times New Roman" w:hAnsi="Times New Roman"/>
          <w:sz w:val="20"/>
          <w:u w:val="single"/>
        </w:rPr>
        <w:t>Section 5.15(b)(iii)</w:t>
      </w:r>
      <w:r>
        <w:rPr>
          <w:rFonts w:ascii="Times New Roman" w:hAnsi="Times New Roman"/>
          <w:sz w:val="20"/>
        </w:rPr>
        <w:t xml:space="preserve">, which date shall be prior to the fifth Business Day following the date of delivery of notice by the Partnership, all Outstanding Series I Preferred Units shall automatically convert into Common Units, subject to payment of any accrued but unpaid distributions to the date of conversion in accordance with </w:t>
      </w:r>
      <w:r>
        <w:rPr>
          <w:rFonts w:ascii="Times New Roman" w:hAnsi="Times New Roman"/>
          <w:sz w:val="20"/>
          <w:u w:val="single"/>
        </w:rPr>
        <w:t>Section 5.15(b)(iv)</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The Partnership shall make a cash payment to any Series I Holder with respect to any Series I Preferred Units converted pursuant to this </w:t>
      </w:r>
      <w:r>
        <w:rPr>
          <w:rFonts w:ascii="Times New Roman" w:hAnsi="Times New Roman"/>
          <w:sz w:val="20"/>
          <w:u w:val="single"/>
        </w:rPr>
        <w:t>Section 5.15(b)</w:t>
      </w:r>
      <w:r>
        <w:rPr>
          <w:rFonts w:ascii="Times New Roman" w:hAnsi="Times New Roman"/>
          <w:sz w:val="20"/>
        </w:rPr>
        <w:t xml:space="preserve"> to account for any accrued but unpaid distributions on such Series I Preferred Units as of the date of such conversion. </w:t>
      </w:r>
    </w:p>
    <w:p>
      <w:pPr>
        <w:pStyle w:val="TextBody"/>
        <w:bidi w:val="0"/>
        <w:spacing w:before="120" w:after="0"/>
        <w:jc w:val="left"/>
        <w:rPr>
          <w:rFonts w:ascii="Times New Roman" w:hAnsi="Times New Roman"/>
          <w:sz w:val="20"/>
        </w:rPr>
      </w:pPr>
      <w:r>
        <w:rPr>
          <w:rFonts w:ascii="Times New Roman" w:hAnsi="Times New Roman"/>
          <w:sz w:val="20"/>
        </w:rPr>
        <w:t xml:space="preserve">(v) Upon conversion, the rights of a holder of converted Series I Preferred Units as a Series I Holder shall cease with respect to such converted Series I Preferred Units, including any rights under this Agreement with respect to Series I Holders, and such Person shall continue to be a Limited Partner and have the rights of a holder of Common Units under this Agreement. Each Series I Preferred Unit shall, upon its Series I Conversion Date, be deemed to be transferred to, and canceled by, the Partnership in exchange for the issuance of the Common Unit(s) into which such Series I Preferred Unit converted. Notwithstanding the foregoing, as the result of a conversion, a holder shall not lose or relinquish any claims or rights of action such holder may then or thereafter have as a result of such holder’s ownership of the converted Series I Preferred Units. </w:t>
      </w:r>
    </w:p>
    <w:p>
      <w:pPr>
        <w:pStyle w:val="TextBody"/>
        <w:bidi w:val="0"/>
        <w:spacing w:before="120" w:after="0"/>
        <w:jc w:val="left"/>
        <w:rPr>
          <w:rFonts w:ascii="Times New Roman" w:hAnsi="Times New Roman"/>
          <w:sz w:val="20"/>
        </w:rPr>
      </w:pPr>
      <w:r>
        <w:rPr>
          <w:rFonts w:ascii="Times New Roman" w:hAnsi="Times New Roman"/>
          <w:sz w:val="20"/>
        </w:rPr>
        <w:t xml:space="preserve">(vi) The Partnership shall pay any documentary, stamp or similar issue or transfer taxes or duties relating to the issuance or delivery of Common Units upon conversion of the Series I Preferred Units. However, the holder shall pay any tax or duty which may be payable relating to any transfer involving the issuance or delivery of Common Units in a name other than the holder’s name. The Transfer Agent may refuse to deliver the Certificate representing Common Units (or notation of book-entry) being issued in a name other than the holder’s name until the Transfer Agent receives a sum sufficient to pay any tax or duties due because the Units are to be issued in a name other than the holder’s name. Nothing herein shall preclude any tax withholding required by law or regulation. </w:t>
      </w:r>
    </w:p>
    <w:p>
      <w:pPr>
        <w:pStyle w:val="TextBody"/>
        <w:bidi w:val="0"/>
        <w:spacing w:before="120" w:after="0"/>
        <w:jc w:val="left"/>
        <w:rPr>
          <w:rFonts w:ascii="Times New Roman" w:hAnsi="Times New Roman"/>
          <w:sz w:val="20"/>
        </w:rPr>
      </w:pPr>
      <w:r>
        <w:rPr>
          <w:rFonts w:ascii="Times New Roman" w:hAnsi="Times New Roman"/>
          <w:sz w:val="20"/>
        </w:rPr>
        <w:t xml:space="preserve">(vii) The Partnership shall keep free from preemptive rights a sufficient number of Common Units to permit the conversion of all outstanding Series I Preferred Units into Common Units to the extent provided in, and in accordance with, this </w:t>
      </w:r>
      <w:r>
        <w:rPr>
          <w:rFonts w:ascii="Times New Roman" w:hAnsi="Times New Roman"/>
          <w:sz w:val="20"/>
          <w:u w:val="single"/>
        </w:rPr>
        <w:t>Section 5.15(b)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All Common Units delivered upon conversion of the Series I Preferred Units in accordance with this </w:t>
      </w:r>
      <w:r>
        <w:rPr>
          <w:rFonts w:ascii="Times New Roman" w:hAnsi="Times New Roman"/>
          <w:sz w:val="20"/>
          <w:u w:val="single"/>
        </w:rPr>
        <w:t>Section 5.15(b)</w:t>
      </w:r>
      <w:r>
        <w:rPr>
          <w:rFonts w:ascii="Times New Roman" w:hAnsi="Times New Roman"/>
          <w:sz w:val="20"/>
        </w:rPr>
        <w:t xml:space="preserve"> shall be (1) newly issued, (2) duly authorized, validly issued fully paid and non-assessable Limited Partner Interests in the Partnership, except as such non-assessability may be affected by Section 153.112 of the Texas Limited Partnership Law, and shall be free from preemptive rights and free of any lien, claim, rights or encumbrances, other than those arising under the Texas Limited Partnership Law or this Agreement and (3) with respect to Common Units delivered upon a conversion in accordance with </w:t>
      </w:r>
      <w:r>
        <w:rPr>
          <w:rFonts w:ascii="Times New Roman" w:hAnsi="Times New Roman"/>
          <w:sz w:val="20"/>
          <w:u w:val="single"/>
        </w:rPr>
        <w:t>Section 5.15(b)(ii)</w:t>
      </w:r>
      <w:r>
        <w:rPr>
          <w:rFonts w:ascii="Times New Roman" w:hAnsi="Times New Roman"/>
          <w:sz w:val="20"/>
        </w:rPr>
        <w:t xml:space="preserve"> or (iii), registered for public resale under the Securities Act, pursuant to an effective registration statement that is then available for the resale of such Common Units. </w:t>
      </w:r>
    </w:p>
    <w:p>
      <w:pPr>
        <w:pStyle w:val="TextBody"/>
        <w:bidi w:val="0"/>
        <w:spacing w:before="120" w:after="0"/>
        <w:jc w:val="left"/>
        <w:rPr>
          <w:rFonts w:ascii="Times New Roman" w:hAnsi="Times New Roman"/>
          <w:sz w:val="20"/>
        </w:rPr>
      </w:pPr>
      <w:r>
        <w:rPr>
          <w:rFonts w:ascii="Times New Roman" w:hAnsi="Times New Roman"/>
          <w:sz w:val="20"/>
        </w:rPr>
        <w:t xml:space="preserve">(ix) The Partnership shall comply with all applicable securities laws regulating the offer and delivery of any Common Units upon conversion of Series I Preferred Units and, if the Common Units are then listed or quoted on any National Securities Exchange or other market, shall list or cause to have quoted and keep listed and quoted the Common Units issuable upon conversion of the Series I Preferred Units to the extent permitted or required by the rules of such exchange or market. </w:t>
      </w:r>
    </w:p>
    <w:p>
      <w:pPr>
        <w:pStyle w:val="TextBody"/>
        <w:bidi w:val="0"/>
        <w:spacing w:before="120" w:after="0"/>
        <w:jc w:val="left"/>
        <w:rPr>
          <w:rFonts w:ascii="Times New Roman" w:hAnsi="Times New Roman"/>
          <w:sz w:val="20"/>
        </w:rPr>
      </w:pPr>
      <w:r>
        <w:rPr>
          <w:rFonts w:ascii="Times New Roman" w:hAnsi="Times New Roman"/>
          <w:sz w:val="20"/>
        </w:rPr>
        <w:t xml:space="preserve">(x) Notwithstanding anything to the contrary contained herein, in connection with any conversion of Series I Preferred Units pursuant to </w:t>
      </w:r>
      <w:r>
        <w:rPr>
          <w:rFonts w:ascii="Times New Roman" w:hAnsi="Times New Roman"/>
          <w:sz w:val="20"/>
          <w:u w:val="single"/>
        </w:rPr>
        <w:t>Section 5.15(b)(i)</w:t>
      </w:r>
      <w:r>
        <w:rPr>
          <w:rFonts w:ascii="Times New Roman" w:hAnsi="Times New Roman"/>
          <w:sz w:val="20"/>
        </w:rPr>
        <w:t xml:space="preserve"> or (ii), (A) each Series I Preferred Unit must be converted together with all Series I PIK Units issued as distributions thereon, and (B) each Series I PIK Unit must be converted together with the Series I Preferred Unit in connection with which such Series I PIK Unit was distributed;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in the event that compliance with this </w:t>
      </w:r>
      <w:r>
        <w:rPr>
          <w:rFonts w:ascii="Times New Roman" w:hAnsi="Times New Roman"/>
          <w:sz w:val="20"/>
          <w:u w:val="single"/>
        </w:rPr>
        <w:t>Section 5.15(b)(x)</w:t>
      </w:r>
      <w:r>
        <w:rPr>
          <w:rFonts w:ascii="Times New Roman" w:hAnsi="Times New Roman"/>
          <w:sz w:val="20"/>
        </w:rPr>
        <w:t xml:space="preserve"> would result in the conversion of any fractional Series I Preferred Unit or Series I PIK Unit, the number of Series I Preferred Units or Series I PIK Units to be converted shall be rounded down to the nearest whole Series I Preferred Unit or Series I PIK Unit,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(xi) If, after the Series I Original Issue Date, the Partnership (A) makes a distribution on its Common Units in Common Units, (B) subdivides or splits its outstanding Common Units into a greater number of Common Units, (C) combines or reclassifies its Common Units into a smaller number of Common Units or (D) issues by reclassification of its Common Units any Partnership Interests (including any reclassification in connection with a merger, consolidation or business combination in which the Partnership is the Surviving Business Entity), then the Series I Conversion Ratio in effect at the time of the Series I Distribution Record Date for such distribution or of the effective date of such subdivision, split, combination, or reclassification shall be proportionately adjusted so that the conversion of the Series I Preferred Units after such time shall entitle the holder to receive the aggregate number of Common Units (or shares of any Partnership Interests into which such shares of Common Units would have been combined, consolidated, merged or reclassified pursuant to clauses (C) and (D) above) that such holder would have been entitled to receive if the Series I Preferred Units had been converted into Common Units immediately prior to such Record Date or effective date, as the case may be, and in the case of a merger, consolidation or business combination in which the Partnership is the Surviving Business Entity, the Partnership shall provide effective provisions to ensure that the provisions in this </w:t>
      </w:r>
      <w:r>
        <w:rPr>
          <w:rFonts w:ascii="Times New Roman" w:hAnsi="Times New Roman"/>
          <w:sz w:val="20"/>
          <w:u w:val="single"/>
        </w:rPr>
        <w:t>Section 5.15</w:t>
      </w:r>
      <w:r>
        <w:rPr>
          <w:rFonts w:ascii="Times New Roman" w:hAnsi="Times New Roman"/>
          <w:sz w:val="20"/>
        </w:rPr>
        <w:t xml:space="preserve"> relating to the Series I Preferred Units shall not be abridged or amended and that the Series I Preferred Units shall thereafter retain the same powers, preferences and relative participating, optional and other special rights, and the qualifications, limitations and restrictions thereon,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Series I Preferred Units had immediately prior to such transaction or event. An adjustment made pursuant to this </w:t>
      </w:r>
      <w:r>
        <w:rPr>
          <w:rFonts w:ascii="Times New Roman" w:hAnsi="Times New Roman"/>
          <w:sz w:val="20"/>
          <w:u w:val="single"/>
        </w:rPr>
        <w:t>Section 5.15(b)(xi)</w:t>
      </w:r>
      <w:r>
        <w:rPr>
          <w:rFonts w:ascii="Times New Roman" w:hAnsi="Times New Roman"/>
          <w:sz w:val="20"/>
        </w:rPr>
        <w:t xml:space="preserve"> shall become effective immediately after the Record Date in the case of a distribution and shall become effective immediately after the effective date in the case of a subdivision, combination, reclassification (including any reclassification in connection with a merger, consolidation or business combination in which the Partnership is the Surviving Business Entity) or split. Such adjustment shall be made successively whenever any event described above shall occur.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Distributions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Beginning with the first Quarter ending after the Series I Original Issue Date, the Series I Holders as of the applicable Record Date (each, a “</w:t>
      </w:r>
      <w:r>
        <w:rPr>
          <w:rFonts w:ascii="Times New Roman" w:hAnsi="Times New Roman"/>
          <w:i/>
          <w:sz w:val="20"/>
        </w:rPr>
        <w:t>Series I Distribution Record Date</w:t>
      </w:r>
      <w:r>
        <w:rPr>
          <w:rFonts w:ascii="Times New Roman" w:hAnsi="Times New Roman"/>
          <w:sz w:val="20"/>
        </w:rPr>
        <w:t xml:space="preserve">”) shall be entitled to receive distributions in accordance with the following provisions: </w:t>
      </w:r>
    </w:p>
    <w:p>
      <w:pPr>
        <w:pStyle w:val="TextBody"/>
        <w:bidi w:val="0"/>
        <w:spacing w:before="120" w:after="0"/>
        <w:jc w:val="left"/>
        <w:rPr>
          <w:rFonts w:ascii="Times New Roman" w:hAnsi="Times New Roman"/>
          <w:sz w:val="20"/>
        </w:rPr>
      </w:pPr>
      <w:r>
        <w:rPr>
          <w:rFonts w:ascii="Times New Roman" w:hAnsi="Times New Roman"/>
          <w:sz w:val="20"/>
        </w:rPr>
        <w:t xml:space="preserve">(A) The Partnership shall pay a cumulative distribution of $0.2111 per Quarter in respect of each Outstanding Series I Preferred Unit, subject to adjustment in accordance with </w:t>
      </w:r>
      <w:r>
        <w:rPr>
          <w:rFonts w:ascii="Times New Roman" w:hAnsi="Times New Roman"/>
          <w:sz w:val="20"/>
          <w:u w:val="single"/>
        </w:rPr>
        <w:t>Sections 5.15(c)(i)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(the “</w:t>
      </w:r>
      <w:r>
        <w:rPr>
          <w:rFonts w:ascii="Times New Roman" w:hAnsi="Times New Roman"/>
          <w:i/>
          <w:sz w:val="20"/>
        </w:rPr>
        <w:t>Series I Preferred Unit Distribution Rate</w:t>
      </w:r>
      <w:r>
        <w:rPr>
          <w:rFonts w:ascii="Times New Roman" w:hAnsi="Times New Roman"/>
          <w:sz w:val="20"/>
        </w:rPr>
        <w:t>” and such distribution, a “</w:t>
      </w:r>
      <w:r>
        <w:rPr>
          <w:rFonts w:ascii="Times New Roman" w:hAnsi="Times New Roman"/>
          <w:i/>
          <w:sz w:val="20"/>
        </w:rPr>
        <w:t>Series I Distribution</w:t>
      </w:r>
      <w:r>
        <w:rPr>
          <w:rFonts w:ascii="Times New Roman" w:hAnsi="Times New Roman"/>
          <w:sz w:val="20"/>
        </w:rPr>
        <w:t xml:space="preserve">”). For the avoidance of doubt, the Series I Preferred Unit Distribution Rate for the first Quarter ending after the Series I Original Issue Date shall be calculated for a full Quarter, notwithstanding the fact that the Series I Preferred Units may have been issued after the beginning of such Quarter as a result of the Series I Original Issue Date occurring during such Quarter. </w:t>
      </w:r>
    </w:p>
    <w:p>
      <w:pPr>
        <w:pStyle w:val="TextBody"/>
        <w:bidi w:val="0"/>
        <w:spacing w:before="120" w:after="0"/>
        <w:jc w:val="left"/>
        <w:rPr>
          <w:rFonts w:ascii="Times New Roman" w:hAnsi="Times New Roman"/>
          <w:sz w:val="20"/>
        </w:rPr>
      </w:pPr>
      <w:r>
        <w:rPr>
          <w:rFonts w:ascii="Times New Roman" w:hAnsi="Times New Roman"/>
          <w:sz w:val="20"/>
        </w:rPr>
        <w:t xml:space="preserve">(B) Each Series I Distribution paid for any Quarter shall be paid in cash at the Series I Preferred Unit Distribution Rate unless (x) no distribution is made with respect to such Quarter pursuant to </w:t>
      </w:r>
      <w:r>
        <w:rPr>
          <w:rFonts w:ascii="Times New Roman" w:hAnsi="Times New Roman"/>
          <w:sz w:val="20"/>
          <w:u w:val="single"/>
        </w:rPr>
        <w:t>Section 6.3</w:t>
      </w:r>
      <w:r>
        <w:rPr>
          <w:rFonts w:ascii="Times New Roman" w:hAnsi="Times New Roman"/>
          <w:sz w:val="20"/>
        </w:rPr>
        <w:t xml:space="preserve"> with respect to the Series I Parity Securities and Series I Junior Securities (including the Common Units, the Class A Units, the Class B Units or the General Partner Interest) and (y) the Partnership’s Available Cash is insufficient to pay the Series I Distribution;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for purposes of this </w:t>
      </w:r>
      <w:r>
        <w:rPr>
          <w:rFonts w:ascii="Times New Roman" w:hAnsi="Times New Roman"/>
          <w:sz w:val="20"/>
          <w:u w:val="single"/>
        </w:rPr>
        <w:t>Section 5.15(c)(i)(B)</w:t>
      </w:r>
      <w:r>
        <w:rPr>
          <w:rFonts w:ascii="Times New Roman" w:hAnsi="Times New Roman"/>
          <w:sz w:val="20"/>
        </w:rPr>
        <w:t xml:space="preserve">, Available Cash shall not include any deduction to provide funds for distributions under </w:t>
      </w:r>
      <w:r>
        <w:rPr>
          <w:rFonts w:ascii="Times New Roman" w:hAnsi="Times New Roman"/>
          <w:sz w:val="20"/>
          <w:u w:val="single"/>
        </w:rPr>
        <w:t>Section 6.3</w:t>
      </w:r>
      <w:r>
        <w:rPr>
          <w:rFonts w:ascii="Times New Roman" w:hAnsi="Times New Roman"/>
          <w:sz w:val="20"/>
        </w:rPr>
        <w:t xml:space="preserve"> in respect of any one or more of the next four Quarters. If the Partnership fails to pay in full in cash any distribution (or portion thereof) which any Series I Holder accrues and is entitled to receive pursuant to this </w:t>
      </w:r>
      <w:r>
        <w:rPr>
          <w:rFonts w:ascii="Times New Roman" w:hAnsi="Times New Roman"/>
          <w:sz w:val="20"/>
          <w:u w:val="single"/>
        </w:rPr>
        <w:t>Section 5.15(c)(i)(B)</w:t>
      </w:r>
      <w:r>
        <w:rPr>
          <w:rFonts w:ascii="Times New Roman" w:hAnsi="Times New Roman"/>
          <w:sz w:val="20"/>
        </w:rPr>
        <w:t xml:space="preserve">, then (x) the amount of such accrued and unpaid distributions will accumulate until paid in full in cash and (y) the Partnership shall not be permitted to, and shall not, declare or make (i) any distributions in respect of any Series I Junior Securities and (ii) any distributions in respect of any Series I Parity Securities, unless and until all accrued and unpaid distributions on the Series I Preferred Units have been paid in full in cash.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anything in this </w:t>
      </w:r>
      <w:r>
        <w:rPr>
          <w:rFonts w:ascii="Times New Roman" w:hAnsi="Times New Roman"/>
          <w:sz w:val="20"/>
          <w:u w:val="single"/>
        </w:rPr>
        <w:t>Section 5.15(c)</w:t>
      </w:r>
      <w:r>
        <w:rPr>
          <w:rFonts w:ascii="Times New Roman" w:hAnsi="Times New Roman"/>
          <w:sz w:val="20"/>
        </w:rPr>
        <w:t xml:space="preserve"> to the contrary, with respect to Series I Preferred Units that are converted into Common Units, the holder thereof shall not be entitled to a Series I Distribution and a Common Unit distribution with respect to the same period, but shall be entitled only to the distribution to be paid based upon the class of Units held as of the close of business on the applicable Record Date, together with all accrued but unpaid distributions on the converted Series I Preferred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Subject to and without limiting the other provisions of this </w:t>
      </w:r>
      <w:r>
        <w:rPr>
          <w:rFonts w:ascii="Times New Roman" w:hAnsi="Times New Roman"/>
          <w:sz w:val="20"/>
          <w:u w:val="single"/>
        </w:rPr>
        <w:t>Section 5.15</w:t>
      </w:r>
      <w:r>
        <w:rPr>
          <w:rFonts w:ascii="Times New Roman" w:hAnsi="Times New Roman"/>
          <w:sz w:val="20"/>
        </w:rPr>
        <w:t xml:space="preserve">, each Series I Preferred Unit shall have the right to receive, and will share pro rata with holders of Common Units (as if the Series I Preferred Units had converted into Common Units at the then-applicable Series I Conversion Ratio) in, any portion of any cash distribution made in the normal course pursuant to </w:t>
      </w:r>
      <w:r>
        <w:rPr>
          <w:rFonts w:ascii="Times New Roman" w:hAnsi="Times New Roman"/>
          <w:sz w:val="20"/>
          <w:u w:val="single"/>
        </w:rPr>
        <w:t>Section 6.3</w:t>
      </w:r>
      <w:r>
        <w:rPr>
          <w:rFonts w:ascii="Times New Roman" w:hAnsi="Times New Roman"/>
          <w:sz w:val="20"/>
        </w:rPr>
        <w:t xml:space="preserve"> (a “</w:t>
      </w:r>
      <w:r>
        <w:rPr>
          <w:rFonts w:ascii="Times New Roman" w:hAnsi="Times New Roman"/>
          <w:i/>
          <w:sz w:val="20"/>
        </w:rPr>
        <w:t>Quarterly Distribution</w:t>
      </w:r>
      <w:r>
        <w:rPr>
          <w:rFonts w:ascii="Times New Roman" w:hAnsi="Times New Roman"/>
          <w:sz w:val="20"/>
        </w:rPr>
        <w:t>”) that is in excess of the Series I Specified Distribution Amount. For purposes of this paragraph, “</w:t>
      </w:r>
      <w:r>
        <w:rPr>
          <w:rFonts w:ascii="Times New Roman" w:hAnsi="Times New Roman"/>
          <w:i/>
          <w:sz w:val="20"/>
        </w:rPr>
        <w:t>Series I Specified Distribution Amount</w:t>
      </w:r>
      <w:r>
        <w:rPr>
          <w:rFonts w:ascii="Times New Roman" w:hAnsi="Times New Roman"/>
          <w:sz w:val="20"/>
        </w:rPr>
        <w:t xml:space="preserve">” means an amount that is the greater of (A) the amount of the highest previously paid Quarterly Distribution, on a per Common Unit basis, after the date of the Energy Transfer Merger (as adjusted for combinations, splits, subdivision and similar transactions) and (B) the amount equal to 115% of the Quarterly Distribution, on a per Common Unit basis, for the immediately preceding Quarter. </w:t>
      </w:r>
    </w:p>
    <w:p>
      <w:pPr>
        <w:pStyle w:val="TextBody"/>
        <w:bidi w:val="0"/>
        <w:spacing w:before="120" w:after="0"/>
        <w:jc w:val="left"/>
        <w:rPr>
          <w:rFonts w:ascii="Times New Roman" w:hAnsi="Times New Roman"/>
          <w:sz w:val="20"/>
        </w:rPr>
      </w:pPr>
      <w:r>
        <w:rPr>
          <w:rFonts w:ascii="Times New Roman" w:hAnsi="Times New Roman"/>
          <w:sz w:val="20"/>
        </w:rPr>
        <w:t xml:space="preserve">(iv) Subject to and without limiting the other provisions of this </w:t>
      </w:r>
      <w:r>
        <w:rPr>
          <w:rFonts w:ascii="Times New Roman" w:hAnsi="Times New Roman"/>
          <w:sz w:val="20"/>
          <w:u w:val="single"/>
        </w:rPr>
        <w:t>Section 5.15</w:t>
      </w:r>
      <w:r>
        <w:rPr>
          <w:rFonts w:ascii="Times New Roman" w:hAnsi="Times New Roman"/>
          <w:sz w:val="20"/>
        </w:rPr>
        <w:t xml:space="preserve">, at any time there are accrued but unpaid distributions on the Series I Preferred Units, no special distributions shall be permitted. </w:t>
      </w:r>
    </w:p>
    <w:p>
      <w:pPr>
        <w:pStyle w:val="TextBody"/>
        <w:bidi w:val="0"/>
        <w:spacing w:before="120" w:after="0"/>
        <w:jc w:val="left"/>
        <w:rPr>
          <w:rFonts w:ascii="Times New Roman" w:hAnsi="Times New Roman"/>
          <w:sz w:val="20"/>
        </w:rPr>
      </w:pPr>
      <w:r>
        <w:rPr>
          <w:rFonts w:ascii="Times New Roman" w:hAnsi="Times New Roman"/>
          <w:sz w:val="20"/>
        </w:rPr>
        <w:t xml:space="preserve">(v) All distributions payable on the Series I Preferred Units shall be paid Quarterly, in Arrears, on the earlier of: (A) the date that distributions are made on the Common Units for such Quarter pursuant to </w:t>
      </w:r>
      <w:r>
        <w:rPr>
          <w:rFonts w:ascii="Times New Roman" w:hAnsi="Times New Roman"/>
          <w:sz w:val="20"/>
          <w:u w:val="single"/>
        </w:rPr>
        <w:t>Section 6.3(a)</w:t>
      </w:r>
      <w:r>
        <w:rPr>
          <w:rFonts w:ascii="Times New Roman" w:hAnsi="Times New Roman"/>
          <w:sz w:val="20"/>
        </w:rPr>
        <w:t xml:space="preserve">, and (B) the date that is forty-five (45) days after the end of such Quarter. </w:t>
      </w:r>
    </w:p>
    <w:p>
      <w:pPr>
        <w:pStyle w:val="TextBody"/>
        <w:bidi w:val="0"/>
        <w:spacing w:before="120" w:after="0"/>
        <w:jc w:val="left"/>
        <w:rPr>
          <w:rFonts w:ascii="Times New Roman" w:hAnsi="Times New Roman"/>
          <w:sz w:val="20"/>
        </w:rPr>
      </w:pPr>
      <w:r>
        <w:rPr>
          <w:rFonts w:ascii="Times New Roman" w:hAnsi="Times New Roman"/>
          <w:sz w:val="20"/>
        </w:rPr>
        <w:t xml:space="preserve">(vi) For the avoidance of doubt, any Available Cash that is distributed pursuant to </w:t>
      </w:r>
      <w:r>
        <w:rPr>
          <w:rFonts w:ascii="Times New Roman" w:hAnsi="Times New Roman"/>
          <w:sz w:val="20"/>
          <w:u w:val="single"/>
        </w:rPr>
        <w:t>Section 6.3</w:t>
      </w:r>
      <w:r>
        <w:rPr>
          <w:rFonts w:ascii="Times New Roman" w:hAnsi="Times New Roman"/>
          <w:sz w:val="20"/>
        </w:rPr>
        <w:t xml:space="preserve"> shall be distributed in accordance with this </w:t>
      </w:r>
      <w:r>
        <w:rPr>
          <w:rFonts w:ascii="Times New Roman" w:hAnsi="Times New Roman"/>
          <w:sz w:val="20"/>
          <w:u w:val="single"/>
        </w:rPr>
        <w:t>Section 5.15(c)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Voting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Notwithstanding anything to the contrary in this Agreement, the Series I Preferred Units shall not have any voting rights or rights to consent or approve any action or matter, except as set forth in </w:t>
      </w:r>
      <w:r>
        <w:rPr>
          <w:rFonts w:ascii="Times New Roman" w:hAnsi="Times New Roman"/>
          <w:sz w:val="20"/>
          <w:u w:val="single"/>
        </w:rPr>
        <w:t>Section 13.3(c)</w:t>
      </w:r>
      <w:r>
        <w:rPr>
          <w:rFonts w:ascii="Times New Roman" w:hAnsi="Times New Roman"/>
          <w:sz w:val="20"/>
        </w:rPr>
        <w:t xml:space="preserve">, this </w:t>
      </w:r>
      <w:r>
        <w:rPr>
          <w:rFonts w:ascii="Times New Roman" w:hAnsi="Times New Roman"/>
          <w:sz w:val="20"/>
          <w:u w:val="single"/>
        </w:rPr>
        <w:t>Section 5.15(d)</w:t>
      </w:r>
      <w:r>
        <w:rPr>
          <w:rFonts w:ascii="Times New Roman" w:hAnsi="Times New Roman"/>
          <w:sz w:val="20"/>
        </w:rPr>
        <w:t xml:space="preserve"> or as otherwise required by Texas law.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anything to the contrary in this Agreement, without the affirmative vote or consent of the holders of at least 66 2/3% of the Outstanding Series I Preferred Units, voting as a separate class, the General Partner shall not adopt any amendment to this Agreement that the General Partner determines would have a material adverse effect on the rights, powers, preferences, duties or special rights of the Series I Preferred Units;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 subject to </w:t>
      </w:r>
      <w:r>
        <w:rPr>
          <w:rFonts w:ascii="Times New Roman" w:hAnsi="Times New Roman"/>
          <w:sz w:val="20"/>
          <w:u w:val="single"/>
        </w:rPr>
        <w:t>Section 5.15(d)(iii)</w:t>
      </w:r>
      <w:r>
        <w:rPr>
          <w:rFonts w:ascii="Times New Roman" w:hAnsi="Times New Roman"/>
          <w:sz w:val="20"/>
        </w:rPr>
        <w:t xml:space="preserve">, the issuance of additional Partnership Interests (and any amendment to this Agreement in connection therewith) shall not be deemed to constitute such a material adverse effect for purposes of this </w:t>
      </w:r>
      <w:r>
        <w:rPr>
          <w:rFonts w:ascii="Times New Roman" w:hAnsi="Times New Roman"/>
          <w:sz w:val="20"/>
          <w:u w:val="single"/>
        </w:rPr>
        <w:t>Section 5.15(d)(ii)</w:t>
      </w:r>
      <w:r>
        <w:rPr>
          <w:rFonts w:ascii="Times New Roman" w:hAnsi="Times New Roman"/>
          <w:sz w:val="20"/>
        </w:rPr>
        <w:t xml:space="preserve"> and (ii) for purposes of this </w:t>
      </w:r>
      <w:r>
        <w:rPr>
          <w:rFonts w:ascii="Times New Roman" w:hAnsi="Times New Roman"/>
          <w:sz w:val="20"/>
          <w:u w:val="single"/>
        </w:rPr>
        <w:t>Section 5.15(d)(ii)</w:t>
      </w:r>
      <w:r>
        <w:rPr>
          <w:rFonts w:ascii="Times New Roman" w:hAnsi="Times New Roman"/>
          <w:sz w:val="20"/>
        </w:rPr>
        <w:t xml:space="preserve">, no amendment of this Agreement in connection with a merger or other transaction in which the Series I Preferred Units remain Outstanding with the terms thereof materially unchanged in any respect adverse to the Series I Holders (as determined by the General Partner) shall be deemed to materially and adversely affect the rights, powers, privileges or preferences of the Series I Preferred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Notwithstanding anything to the contrary in this Agreement, without the affirmative vote or consent of the holders of at least 66 2/3% of the Outstanding Series I Preferred Units, voting as a class, together with the holders of any other Series I Parity Securities upon which like voting rights have been conferred and are exercisable, the Partnership shall not (x) create or issue any Series I Parity Securities (including any additional Series I Preferred Units) if the cumulative distributions payable on Outstanding Series I Preferred Units (or any Series I Parity Securities, if the holders of such Series I Parity Securities vote as a class together with the Series I Holders pursuant to </w:t>
      </w:r>
      <w:r>
        <w:rPr>
          <w:rFonts w:ascii="Times New Roman" w:hAnsi="Times New Roman"/>
          <w:sz w:val="20"/>
          <w:u w:val="single"/>
        </w:rPr>
        <w:t>Section 5.15(c)</w:t>
      </w:r>
      <w:r>
        <w:rPr>
          <w:rFonts w:ascii="Times New Roman" w:hAnsi="Times New Roman"/>
          <w:sz w:val="20"/>
        </w:rPr>
        <w:t xml:space="preserve">) through the most recent payment date have not been paid on all Outstanding Series I Preferred Units or (y) create or issue any Series I Senior Securities. </w:t>
      </w:r>
    </w:p>
    <w:p>
      <w:pPr>
        <w:pStyle w:val="TextBody"/>
        <w:bidi w:val="0"/>
        <w:spacing w:before="120" w:after="0"/>
        <w:jc w:val="left"/>
        <w:rPr>
          <w:rFonts w:ascii="Times New Roman" w:hAnsi="Times New Roman"/>
          <w:sz w:val="20"/>
        </w:rPr>
      </w:pPr>
      <w:r>
        <w:rPr>
          <w:rFonts w:ascii="Times New Roman" w:hAnsi="Times New Roman"/>
          <w:sz w:val="20"/>
        </w:rPr>
        <w:t xml:space="preserve">(iv) For any matter described in this </w:t>
      </w:r>
      <w:r>
        <w:rPr>
          <w:rFonts w:ascii="Times New Roman" w:hAnsi="Times New Roman"/>
          <w:sz w:val="20"/>
          <w:u w:val="single"/>
        </w:rPr>
        <w:t>Section 5.15(d)</w:t>
      </w:r>
      <w:r>
        <w:rPr>
          <w:rFonts w:ascii="Times New Roman" w:hAnsi="Times New Roman"/>
          <w:sz w:val="20"/>
        </w:rPr>
        <w:t xml:space="preserve"> in which the Series I Holders are entitled to vote as a class (whether separately or together with the holders of any Series I Parity Securities), such Series I Holders shall be entitled to one vote per Series I Preferred Unit. Any Series I Preferred Units held by the Partnership or any of its Subsidiaries or their controlled Affiliates shall not be entitled to vote.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Series I Change of Control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In the event of a Series I Cash COC Event, the Series I Holders shall convert the Outstanding Series I Preferred Units into Common Units immediately prior to the closing of the Series I Cash COC Event at a conversion ratio equal to the greater of (A) the Series I Conversion Ratio and (B) the quotient of (1) the product of (a) the Series I Preferred Unit Price, multiplied by (b) the Series I Cash COC Conversion Premium, divided by (2) the VWAP Price for the 10 consecutive trading days ending immediately prior to the date of closing of the Series I Cash COC Event, subject to a $1.00 per unit floor on Common Units received, subject to payment of any accrued but unpaid distributions to the date of conversion in accordance with </w:t>
      </w:r>
      <w:r>
        <w:rPr>
          <w:rFonts w:ascii="Times New Roman" w:hAnsi="Times New Roman"/>
          <w:sz w:val="20"/>
          <w:u w:val="single"/>
        </w:rPr>
        <w:t>Section 5.15(b)(iv)</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If a Series I Change of Control (other than a Series I Cash COC Event) occurs, then each Series I Holder shall, at its sole election: </w:t>
      </w:r>
    </w:p>
    <w:p>
      <w:pPr>
        <w:pStyle w:val="TextBody"/>
        <w:bidi w:val="0"/>
        <w:spacing w:before="120" w:after="0"/>
        <w:jc w:val="left"/>
        <w:rPr>
          <w:rFonts w:ascii="Times New Roman" w:hAnsi="Times New Roman"/>
          <w:sz w:val="20"/>
        </w:rPr>
      </w:pPr>
      <w:r>
        <w:rPr>
          <w:rFonts w:ascii="Times New Roman" w:hAnsi="Times New Roman"/>
          <w:sz w:val="20"/>
        </w:rPr>
        <w:t xml:space="preserve">(A) convert all, but not less than all, Series I Preferred Units held by such Series I Holder into Common Units, at the then-applicable Series I Conversion Ratio, subject to payment of any accrued but unpaid distributions to the date of conversion in accordance with </w:t>
      </w:r>
      <w:r>
        <w:rPr>
          <w:rFonts w:ascii="Times New Roman" w:hAnsi="Times New Roman"/>
          <w:sz w:val="20"/>
          <w:u w:val="single"/>
        </w:rPr>
        <w:t>Section 5.15(b)(iv)</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if (1) either (x) the Partnership is not the Surviving Business Entity or (y) the Partnership is the Surviving Business Entity of a Series I Change of Control but the Common Units are no longer listed or admitted to trading on a National Securities Exchange and (2) the consideration per Common Unit received by the holders of Common Units in such Series I Change of Control exceeds $1.00, then, at the election of such Series I Holder, the Partnership shall use its best efforts to deliver or to cause to be delivered to the Series I Holders, in exchange for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Series I Preferred Units upon such Series I Change of Control, a security in the Surviving Business Entity that has substantially similar terms, including with respect to economics and structural protections, as the Series I Preferred Units (a “</w:t>
      </w:r>
      <w:r>
        <w:rPr>
          <w:rFonts w:ascii="Times New Roman" w:hAnsi="Times New Roman"/>
          <w:i/>
          <w:sz w:val="20"/>
        </w:rPr>
        <w:t>Substantially Equivalent Security</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if the Partnership is unable to deliver or cause to be delivered a Substantially Equivalent Security to any such electing Series I Holder in connection with such Series I Change of Control, each such Series I Holder shall be entitled to (x) take any action otherwise permitted by clause (A), (C) or (D) of this </w:t>
      </w:r>
      <w:r>
        <w:rPr>
          <w:rFonts w:ascii="Times New Roman" w:hAnsi="Times New Roman"/>
          <w:sz w:val="20"/>
          <w:u w:val="single"/>
        </w:rPr>
        <w:t>Section 5.15(e)(ii)</w:t>
      </w:r>
      <w:r>
        <w:rPr>
          <w:rFonts w:ascii="Times New Roman" w:hAnsi="Times New Roman"/>
          <w:sz w:val="20"/>
        </w:rPr>
        <w:t xml:space="preserve">, or (y) convert the Series I Preferred Units held by such Series I Holder immediately prior to such Series I Change of Control (other than (in the case of clauses (1) and (2) below) any Series I PIK Units, which, solely with respect to a Series I Change of Control contemplated by this </w:t>
      </w:r>
      <w:r>
        <w:rPr>
          <w:rFonts w:ascii="Times New Roman" w:hAnsi="Times New Roman"/>
          <w:sz w:val="20"/>
          <w:u w:val="single"/>
        </w:rPr>
        <w:t>Section 5.15(e)(ii)(B)</w:t>
      </w:r>
      <w:r>
        <w:rPr>
          <w:rFonts w:ascii="Times New Roman" w:hAnsi="Times New Roman"/>
          <w:sz w:val="20"/>
        </w:rPr>
        <w:t xml:space="preserve">, shall be extinguished for no consideration upon the closing of such Series I Change of Control) into a number of Common Units equal to: the quotient of (a) (i) 160% multiplied by the Series I Preferred Unit Price plus (ii) accrued and unpaid distributions as of the effective date of the conversion with respect to the Series I Preferred Units held by such electing Series I Holder (including any distributions paid at the Series I Deficiency Rate), divided by (b) 0.97 multiplied by the VWAP Price for the 10 consecutive trading days ending immediately prior to the date of the closing of such Series I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(C) if the Partnership is the Surviving Business Entity of such Series I Change of Control and the consideration per Common Unit received by the holders of Common Units in such Series I Change of Control exceeds $1.00, continue to hold Series I Preferred Units; or </w:t>
      </w:r>
    </w:p>
    <w:p>
      <w:pPr>
        <w:pStyle w:val="TextBody"/>
        <w:bidi w:val="0"/>
        <w:spacing w:before="120" w:after="0"/>
        <w:jc w:val="left"/>
        <w:rPr>
          <w:rFonts w:ascii="Times New Roman" w:hAnsi="Times New Roman"/>
          <w:sz w:val="20"/>
        </w:rPr>
      </w:pPr>
      <w:r>
        <w:rPr>
          <w:rFonts w:ascii="Times New Roman" w:hAnsi="Times New Roman"/>
          <w:sz w:val="20"/>
        </w:rPr>
        <w:t xml:space="preserve">(D) require the Partnership to redeem the Series I Preferred Units held by such Series I Holder at a price per Series I Preferred Unit equal to 101% of the Series I Preferred Unit Price plus accrued and unpaid distributions to the date of such redemption with respect to each of the Series I Preferred Units held by such electing Series I Holder. Any redemption pursuant to this sub-clause (D) shall, in the sole discretion of the General Partner, be paid in either cash or a number of Common Units equal to quotient of (1) the product of (a) 101% of the Series I Preferred Unit Price, multiplied by (b) the number of Series I Preferred Units owned by such Series I Holder that the Partnership has elected to redeem “in kind,” divided by (2) the greater of (i) $1.00 and (ii) the product of (x) 0.92 multiplied by (y) the VWAP Price for the 10 consecutive trading days ending immediately prior to such redemption date. Notwithstanding the preceding, the Partnership shall have no obligation to redeem any such Series I Preferred Units in cash unless such redemption complies with the restricted payments covenant in the Crestwood Indentures.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 of this </w:t>
      </w:r>
      <w:r>
        <w:rPr>
          <w:rFonts w:ascii="Times New Roman" w:hAnsi="Times New Roman"/>
          <w:sz w:val="20"/>
          <w:u w:val="single"/>
        </w:rPr>
        <w:t>Section 5.15(e)</w:t>
      </w:r>
      <w:r>
        <w:rPr>
          <w:rFonts w:ascii="Times New Roman" w:hAnsi="Times New Roman"/>
          <w:sz w:val="20"/>
        </w:rPr>
        <w:t xml:space="preserve">, any Series I Change of Control in which the consideration to be received by the holders of Common Units has a value of less than $1.00 per Common Unit shall require the affirmative vote of the then-applicable Series I Voting Threshold of the Outstanding Series I Preferred Units, voting separately as a class with one vote per Series I Preferred Unit.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Common Units delivered upon any conversion or redemption of the Series I Preferred Units in accordance with this </w:t>
      </w:r>
      <w:r>
        <w:rPr>
          <w:rFonts w:ascii="Times New Roman" w:hAnsi="Times New Roman"/>
          <w:sz w:val="20"/>
          <w:u w:val="single"/>
        </w:rPr>
        <w:t>Section 5.15(e)</w:t>
      </w:r>
      <w:r>
        <w:rPr>
          <w:rFonts w:ascii="Times New Roman" w:hAnsi="Times New Roman"/>
          <w:sz w:val="20"/>
        </w:rPr>
        <w:t xml:space="preserve"> shall be (1) newly issued and (2) duly authorized, validly issued, fully paid and non-assessable Limited Partner Interests in the Partnership, except as such non-assessability may be affected by Section 153.112 of the Texas Limited Partnership Law, and shall be free from preemptive rights and free of any lien, claim, rights or encumbrances, other than those arising under the Texas Limited Partnership Law or the Agreement.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Certificates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If requested by a Series I Holder, the Series I Preferred Units shall be evidenced by certificates in such form as the Board of Directors may approve and, subject to the satisfaction of any applicable legal, regulatory and contractual requirements, may be assigned or transferred in a manner identical to the assignment and transfer of other Units; unless and until the Board of Directors determines to assign the responsibility to another Person, the General Partner will act as the Transfer Agent for the Series I Preferred Units. The certificates evidencing Series I Preferred Units shall be separately identified and shall not bear the same CUSIP number as the certificates evidencing Common Units. </w:t>
      </w:r>
    </w:p>
    <w:p>
      <w:pPr>
        <w:pStyle w:val="TextBody"/>
        <w:bidi w:val="0"/>
        <w:spacing w:before="120" w:after="0"/>
        <w:jc w:val="left"/>
        <w:rPr>
          <w:rFonts w:ascii="Times New Roman" w:hAnsi="Times New Roman"/>
          <w:sz w:val="20"/>
        </w:rPr>
      </w:pPr>
      <w:r>
        <w:rPr>
          <w:rFonts w:ascii="Times New Roman" w:hAnsi="Times New Roman"/>
          <w:sz w:val="20"/>
        </w:rPr>
        <w:t xml:space="preserve">(ii) The certificate(s) representing the Series I Preferred Units may be imprinted with a legend in substantially the following form: </w:t>
      </w:r>
    </w:p>
    <w:p>
      <w:pPr>
        <w:pStyle w:val="TextBody"/>
        <w:bidi w:val="0"/>
        <w:spacing w:before="120" w:after="0"/>
        <w:jc w:val="left"/>
        <w:rPr/>
      </w:pPr>
      <w:r>
        <w:rPr/>
        <w:t>“</w:t>
      </w:r>
      <w:r>
        <w:rPr>
          <w:rFonts w:ascii="Times New Roman" w:hAnsi="Times New Roman"/>
          <w:sz w:val="20"/>
        </w:rPr>
        <w:t xml:space="preserve">THESE SECURITIES HAVE NOT BEEN REGISTERED UNDER THE SECURITIES ACT OF 1933, AS AMENDED, OR ANY STATE SECURITIES LAWS. THESE SECURITIES MAY NOT BE SOLD, OFFERED FOR SALE, PLEDGED, HYPOTHECATED OR OTHERWISE TRANSFERRED IN THE ABSENCE OF A REGISTRATION STATEMENT IN EFFECT WITH RESPECT TO THE SECURITIES UNDER SUCH ACT OR PURSUANT TO AN EXEMPTION FROM REGISTRATION THEREUNDER AND, IN THE CASE OF A TRANSACTION EXEMPT FROM REGISTRATION, UNLESS SOLD PURSUANT TO RULE 144 UNDER SUCH ACT OR THE ISSUER HAS RECEIVED DOCUMENTATION REASONABLY SATISFACTORY TO IT THAT SUCH TRANSACTION DOES NOT REQUIRE REGISTRATION UNDER SUCH ACT. THIS SECURITY IS SUBJECT TO CERTAIN RESTRICTIONS ON TRANSFER SET FORTH IN THE AGREEMENT OF LIMITED PARTNERSHIP OF THE PARTNERSHIP, AS AMENDED, A COPY OF WHICH MAY BE OBTAINED FROM THE PARTNERSHIP AT ITS PRINCIPAL EXECUTIVE OFFICES.”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 sale of Series I Preferred Units pursuant to an effective registration statement or in reliance on Rule 144 of the rules and regulations promulgated under the Securities Act, upon receipt by the Partnership of such information as the Partnership reasonably deems necessary to determine that the sale of the Series I Preferred Units is made in compliance with Rule 144, the Partnership shall remove or cause to be removed the restrictive legend from the certificate(s) representing such Series I Preferred Units (or the book-entry account maintained by the Transfer Agent), and the Partnership shall bear all costs associated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Liquidation Rights</w:t>
      </w:r>
      <w:r>
        <w:rPr>
          <w:rFonts w:ascii="Times New Roman" w:hAnsi="Times New Roman"/>
          <w:sz w:val="20"/>
        </w:rPr>
        <w:t xml:space="preserve">. In the event of the dissolution and winding up of the Partnership under </w:t>
      </w:r>
      <w:r>
        <w:rPr>
          <w:rFonts w:ascii="Times New Roman" w:hAnsi="Times New Roman"/>
          <w:sz w:val="20"/>
          <w:u w:val="single"/>
        </w:rPr>
        <w:t>Section 12.4</w:t>
      </w:r>
      <w:r>
        <w:rPr>
          <w:rFonts w:ascii="Times New Roman" w:hAnsi="Times New Roman"/>
          <w:sz w:val="20"/>
        </w:rPr>
        <w:t xml:space="preserve"> or a sale, exchange, or other disposition of all or substantially all of the assets of the Partnership, either voluntary or involuntary, the Record Holders of the Series I Preferred Units shall be entitled to receive, out of the assets of the Partnership available for distribution to the Partners or any Assignees, prior and in preference to any distribution of any assets of the Partnership to the Record Holders of any other class or series of Partnership Interests (other than Series I Senior Securities or Series I Parity Securities), the positive value in each such holder’s Capital Account in respect of such Series I Preferred Units. If in the year of such dissolution and winding up, or sale, exchange, or other disposition of all or substantially all of the assets of the Partnership, any such Record Holder’s Capital Account in respect of such Series I Preferred Units is less than the aggregate Series I Base Liquidation Preference of such Series I Preferred Units, then, notwithstanding anything to the contrary contained in this Agreement, and prior to any other allocation pursuant to this Agreement for such year and any distribution pursuant to the preceding sentence (other than any allocations or distributions made with respect to any other Series I Parity Securities upon which like allocation and distribution rights have been conferred), items of gross income and gain shall be allocated to all Unitholders then holding Series I Preferred Units, Pro Rata, until the Capital Account in respect of each Outstanding Series I Preferred Unit is equal to the Series I Base Liquidation Preference (and no other allocation pursuant to this Agreement shall reverse the effect of such allocation);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in the event that like allocation rights have been conferred upon other Series I Parity Securities (including pursuant to </w:t>
      </w:r>
      <w:r>
        <w:rPr>
          <w:rFonts w:ascii="Times New Roman" w:hAnsi="Times New Roman"/>
          <w:sz w:val="20"/>
          <w:u w:val="single"/>
        </w:rPr>
        <w:t>Sections 5.11(b)(v)</w:t>
      </w:r>
      <w:r>
        <w:rPr>
          <w:rFonts w:ascii="Times New Roman" w:hAnsi="Times New Roman"/>
          <w:sz w:val="20"/>
        </w:rPr>
        <w:t xml:space="preserve">, </w:t>
      </w:r>
      <w:r>
        <w:rPr>
          <w:rFonts w:ascii="Times New Roman" w:hAnsi="Times New Roman"/>
          <w:sz w:val="20"/>
          <w:u w:val="single"/>
        </w:rPr>
        <w:t>5.12(b)(v)</w:t>
      </w:r>
      <w:r>
        <w:rPr>
          <w:rFonts w:ascii="Times New Roman" w:hAnsi="Times New Roman"/>
          <w:sz w:val="20"/>
        </w:rPr>
        <w:t xml:space="preserve"> and </w:t>
      </w:r>
      <w:r>
        <w:rPr>
          <w:rFonts w:ascii="Times New Roman" w:hAnsi="Times New Roman"/>
          <w:sz w:val="20"/>
          <w:u w:val="single"/>
        </w:rPr>
        <w:t>5.14(b)(v)</w:t>
      </w:r>
      <w:r>
        <w:rPr>
          <w:rFonts w:ascii="Times New Roman" w:hAnsi="Times New Roman"/>
          <w:sz w:val="20"/>
        </w:rPr>
        <w:t xml:space="preserve">), then items of gross income and gain shall be allocated to all Unitholders then holding Series I Preferred Units and such Series I Parity Securities, Pro Rata, until the Capital Account in respect of each Outstanding Series I Preferred Unit and such Series I Parity Security is equal to the applicable liquidation preference (and no other allocation pursuant to this Agreement shall reverse the effect of such allocation). If in the year of such dissolution and winding up any such Record Holder’s Capital Account in respect of such Series I Preferred Units is less than the aggregate Series I Base Liquidation Preference of such Series I Preferred Units after the application of the preceding sentence, then to the extent permitted by applicable law, but otherwise notwithstanding anything to the contrary contained in this Agreement, items of gross income and gain for any preceding taxable year(s) with respect to which IRS Form 1065 Schedules K-1 have not been filed by the Partnership shall be reallocated to all Unitholders then holding Series I Preferred Units, Pro Rata, until the Capital Account in respect of each such Outstanding Series I Preferred Unit after making allocations pursuant to this and the immediately preceding sentence is equal to the Series I Base Liquidation Preference (and no other allocation pursuant to this Agreement shall reverse the effect of such allocation);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in the event like allocation rights have been conferred upon other Series I Parity Securities (including pursuant to </w:t>
      </w:r>
      <w:r>
        <w:rPr>
          <w:rFonts w:ascii="Times New Roman" w:hAnsi="Times New Roman"/>
          <w:sz w:val="20"/>
          <w:u w:val="single"/>
        </w:rPr>
        <w:t>Sections 5.11(b)(v)</w:t>
      </w:r>
      <w:r>
        <w:rPr>
          <w:rFonts w:ascii="Times New Roman" w:hAnsi="Times New Roman"/>
          <w:sz w:val="20"/>
        </w:rPr>
        <w:t xml:space="preserve">, </w:t>
      </w:r>
      <w:r>
        <w:rPr>
          <w:rFonts w:ascii="Times New Roman" w:hAnsi="Times New Roman"/>
          <w:sz w:val="20"/>
          <w:u w:val="single"/>
        </w:rPr>
        <w:t>5.12(b)(v)</w:t>
      </w:r>
      <w:r>
        <w:rPr>
          <w:rFonts w:ascii="Times New Roman" w:hAnsi="Times New Roman"/>
          <w:sz w:val="20"/>
        </w:rPr>
        <w:t xml:space="preserve"> and </w:t>
      </w:r>
      <w:r>
        <w:rPr>
          <w:rFonts w:ascii="Times New Roman" w:hAnsi="Times New Roman"/>
          <w:sz w:val="20"/>
          <w:u w:val="single"/>
        </w:rPr>
        <w:t>5.14(b)(v)</w:t>
      </w:r>
      <w:r>
        <w:rPr>
          <w:rFonts w:ascii="Times New Roman" w:hAnsi="Times New Roman"/>
          <w:sz w:val="20"/>
        </w:rPr>
        <w:t xml:space="preserve">), then any such items of gross income and gain shall be reallocated to all Unitholders then holding Series I Preferred Units and such Series I Parity Securities, Pro Rata, until the Capital Account in respect of each Outstanding Series I Preferred Unit and such Series I Parity Security after making allocations pursuant to this and the immediately preceding sentence is equal to the applicable liquidation preference (and no other allocation pursuant to this Agreement shall reverse the effect of such allocation). After such allocations have been made to the Outstanding Series I Preferred Units and any Series I Parity Securities, as applicable, any remaining Net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Gain or Net Termination Loss shall be allocated to the Partners pursuant to </w:t>
      </w:r>
      <w:r>
        <w:rPr>
          <w:rFonts w:ascii="Times New Roman" w:hAnsi="Times New Roman"/>
          <w:sz w:val="20"/>
          <w:u w:val="single"/>
        </w:rPr>
        <w:t>Section 6.1(c)</w:t>
      </w:r>
      <w:r>
        <w:rPr>
          <w:rFonts w:ascii="Times New Roman" w:hAnsi="Times New Roman"/>
          <w:sz w:val="20"/>
        </w:rPr>
        <w:t xml:space="preserve"> or </w:t>
      </w:r>
      <w:r>
        <w:rPr>
          <w:rFonts w:ascii="Times New Roman" w:hAnsi="Times New Roman"/>
          <w:sz w:val="20"/>
          <w:u w:val="single"/>
        </w:rPr>
        <w:t>Section 6.1(d)</w:t>
      </w:r>
      <w:r>
        <w:rPr>
          <w:rFonts w:ascii="Times New Roman" w:hAnsi="Times New Roman"/>
          <w:sz w:val="20"/>
        </w:rPr>
        <w:t xml:space="preserve">, as the case may be. At the time of the dissolution of the Partnership, subject to Sections 11.053 and 153.210 of the Texas Limited Partnership Law, the Record Holders of the Series I Preferred Units shall become entitled to receive any distributions in respect of the Series I Preferred Units that are accrued and unpaid as of the date of such distribution, and shall have the status of, and shall be entitled to all remedies available to, a creditor of the Partnership, and such entitlement of the Record Holders of the Series I Preferred Units to such accrued and unpaid distributions shall have priority over any entitlement of any other Partners or Assignees (other than holders of any Series I Senior Securities or Series I Parity Securities) with respect to any distributions by the Partnership to such other Partners or Assignees;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General Partner, as such, will have no liability for any obligations with respect to such distributions to any Record Holder(s) of Series I Preferred Units.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Rank</w:t>
      </w:r>
      <w:r>
        <w:rPr>
          <w:rFonts w:ascii="Times New Roman" w:hAnsi="Times New Roman"/>
          <w:sz w:val="20"/>
        </w:rPr>
        <w:t xml:space="preserve">. The Series I Preferred Units shall each be deemed to rank as to distributions on such Partnership Securities and distributions upon liquidation of the Partnership: </w:t>
      </w:r>
    </w:p>
    <w:p>
      <w:pPr>
        <w:pStyle w:val="TextBody"/>
        <w:bidi w:val="0"/>
        <w:spacing w:before="120" w:after="0"/>
        <w:jc w:val="left"/>
        <w:rPr>
          <w:rFonts w:ascii="Times New Roman" w:hAnsi="Times New Roman"/>
          <w:sz w:val="20"/>
        </w:rPr>
      </w:pPr>
      <w:r>
        <w:rPr>
          <w:rFonts w:ascii="Times New Roman" w:hAnsi="Times New Roman"/>
          <w:sz w:val="20"/>
        </w:rPr>
        <w:t xml:space="preserve">(i) senior to any Series I Junior Securities; </w:t>
      </w:r>
    </w:p>
    <w:p>
      <w:pPr>
        <w:pStyle w:val="TextBody"/>
        <w:bidi w:val="0"/>
        <w:spacing w:before="120" w:after="0"/>
        <w:jc w:val="left"/>
        <w:rPr>
          <w:rFonts w:ascii="Times New Roman" w:hAnsi="Times New Roman"/>
          <w:sz w:val="20"/>
        </w:rPr>
      </w:pPr>
      <w:r>
        <w:rPr>
          <w:rFonts w:ascii="Times New Roman" w:hAnsi="Times New Roman"/>
          <w:sz w:val="20"/>
        </w:rPr>
        <w:t xml:space="preserve">(ii) on a parity with any Series I Parity Securities; </w:t>
      </w:r>
    </w:p>
    <w:p>
      <w:pPr>
        <w:pStyle w:val="TextBody"/>
        <w:bidi w:val="0"/>
        <w:spacing w:before="120" w:after="0"/>
        <w:jc w:val="left"/>
        <w:rPr>
          <w:rFonts w:ascii="Times New Roman" w:hAnsi="Times New Roman"/>
          <w:sz w:val="20"/>
        </w:rPr>
      </w:pPr>
      <w:r>
        <w:rPr>
          <w:rFonts w:ascii="Times New Roman" w:hAnsi="Times New Roman"/>
          <w:sz w:val="20"/>
        </w:rPr>
        <w:t xml:space="preserve">(iii) junior to any Series I Senior Securities; and </w:t>
      </w:r>
    </w:p>
    <w:p>
      <w:pPr>
        <w:pStyle w:val="TextBody"/>
        <w:bidi w:val="0"/>
        <w:spacing w:before="120" w:after="0"/>
        <w:jc w:val="left"/>
        <w:rPr>
          <w:rFonts w:ascii="Times New Roman" w:hAnsi="Times New Roman"/>
          <w:sz w:val="20"/>
        </w:rPr>
      </w:pPr>
      <w:r>
        <w:rPr>
          <w:rFonts w:ascii="Times New Roman" w:hAnsi="Times New Roman"/>
          <w:sz w:val="20"/>
        </w:rPr>
        <w:t xml:space="preserve">(iv) junior to all existing and future indebtedness of the Partnership and other liabilities with respect to assets available to satisfy claims against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No Sinking Fund</w:t>
      </w:r>
      <w:r>
        <w:rPr>
          <w:rFonts w:ascii="Times New Roman" w:hAnsi="Times New Roman"/>
          <w:sz w:val="20"/>
        </w:rPr>
        <w:t xml:space="preserve">. The Series I Preferred Units shall not have the benefit of any sinking fund.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Record Holders</w:t>
      </w:r>
      <w:r>
        <w:rPr>
          <w:rFonts w:ascii="Times New Roman" w:hAnsi="Times New Roman"/>
          <w:sz w:val="20"/>
        </w:rPr>
        <w:t xml:space="preserve">. To the fullest extent permitted by applicable law, the General Partner, the Partnership, the Transfer Agent, and the Paying Agent may deem and treat any Series I Holder as the true, lawful, and absolute owner of the applicable Series I Preferred Units for all purposes, and none of the General Partner, the Partnership, the Transfer Agent or the Paying Agent shall be affected by any notice to the contrary, except as otherwise provided by law or any applicable rule, regulation, guideline or requirement of any National Securities Exchange on which the Series I Preferred Units may be listed or admitted to trading, if any.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Notices</w:t>
      </w:r>
      <w:r>
        <w:rPr>
          <w:rFonts w:ascii="Times New Roman" w:hAnsi="Times New Roman"/>
          <w:sz w:val="20"/>
        </w:rPr>
        <w:t xml:space="preserve">. All notices or other communications in respect of Series I Holders shall be sufficiently given (i) if given in writing and either delivered in person or by first class mail, postage prepaid, or (ii) if given in such other manner as may be permitted in this </w:t>
      </w:r>
      <w:r>
        <w:rPr>
          <w:rFonts w:ascii="Times New Roman" w:hAnsi="Times New Roman"/>
          <w:sz w:val="20"/>
          <w:u w:val="single"/>
        </w:rPr>
        <w:t>Section 5.15</w:t>
      </w:r>
      <w:r>
        <w:rPr>
          <w:rFonts w:ascii="Times New Roman" w:hAnsi="Times New Roman"/>
          <w:sz w:val="20"/>
        </w:rPr>
        <w:t xml:space="preserve">, this Agreement or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Other Rights</w:t>
      </w:r>
      <w:r>
        <w:rPr>
          <w:rFonts w:ascii="Times New Roman" w:hAnsi="Times New Roman"/>
          <w:sz w:val="20"/>
        </w:rPr>
        <w:t xml:space="preserve">. The Series I Preferred Units and the Series I Holders shall not have any designations, preferences, rights, powers or duties, other than as set forth in this Agreement or as provided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Right to Acquire Series I Preferred 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Notwithstanding any other provision of this Agreement, if at any time not more than 20% of the total Outstanding Series I Preferred Units is held by Persons other than the General Partner and its Affiliates, the General Partner shall then have the right, which right it may assign and transfer in whole or in part to the Partnership or any Affiliate of the General Partner, exercisable in its sole discretion, to purchase all, but not less than all, of such Series I Preferred Units then Outstanding held by Persons other than the General Partner and its Affiliates, at the greater of (x) the Series I Current Market Price as of the date three days prior to the date that the notice described in </w:t>
      </w:r>
      <w:r>
        <w:rPr>
          <w:rFonts w:ascii="Times New Roman" w:hAnsi="Times New Roman"/>
          <w:sz w:val="20"/>
          <w:u w:val="single"/>
        </w:rPr>
        <w:t>Section 5.15(m)(ii)</w:t>
      </w:r>
      <w:r>
        <w:rPr>
          <w:rFonts w:ascii="Times New Roman" w:hAnsi="Times New Roman"/>
          <w:sz w:val="20"/>
        </w:rPr>
        <w:t xml:space="preserve"> is mailed and (y) the highest price paid by a General Partner or any of its Affiliates for any such Limited Partner Interest of such class purchased during the 90-day period preceding the date that the notice described in </w:t>
      </w:r>
      <w:r>
        <w:rPr>
          <w:rFonts w:ascii="Times New Roman" w:hAnsi="Times New Roman"/>
          <w:sz w:val="20"/>
          <w:u w:val="single"/>
        </w:rPr>
        <w:t>Section 5.15(m)(ii)</w:t>
      </w:r>
      <w:r>
        <w:rPr>
          <w:rFonts w:ascii="Times New Roman" w:hAnsi="Times New Roman"/>
          <w:sz w:val="20"/>
        </w:rPr>
        <w:t xml:space="preserve"> is mailed. As used in this Agreement, “</w:t>
      </w:r>
      <w:r>
        <w:rPr>
          <w:rFonts w:ascii="Times New Roman" w:hAnsi="Times New Roman"/>
          <w:i/>
          <w:sz w:val="20"/>
        </w:rPr>
        <w:t>Series I Current Market Price</w:t>
      </w:r>
      <w:r>
        <w:rPr>
          <w:rFonts w:ascii="Times New Roman" w:hAnsi="Times New Roman"/>
          <w:sz w:val="20"/>
        </w:rPr>
        <w:t xml:space="preserve">” as of any date of the Series I Preferred Units means the average of the daily Closing Price per Series I Preferred Unit for the 20 consecutive Trading Days immediately prior to such date. </w:t>
      </w:r>
    </w:p>
    <w:p>
      <w:pPr>
        <w:pStyle w:val="TextBody"/>
        <w:bidi w:val="0"/>
        <w:spacing w:before="120" w:after="0"/>
        <w:jc w:val="left"/>
        <w:rPr>
          <w:rFonts w:ascii="Times New Roman" w:hAnsi="Times New Roman"/>
          <w:sz w:val="20"/>
        </w:rPr>
      </w:pPr>
      <w:r>
        <w:rPr>
          <w:rFonts w:ascii="Times New Roman" w:hAnsi="Times New Roman"/>
          <w:sz w:val="20"/>
        </w:rPr>
        <w:t xml:space="preserve">(ii) If the General Partner, any Affiliate of the General Partner or the Partnership elects to exercise the right to purchase the Series I Preferred Units granted pursuant to </w:t>
      </w:r>
      <w:r>
        <w:rPr>
          <w:rFonts w:ascii="Times New Roman" w:hAnsi="Times New Roman"/>
          <w:sz w:val="20"/>
          <w:u w:val="single"/>
        </w:rPr>
        <w:t>Section 5.15(m)(i)</w:t>
      </w:r>
      <w:r>
        <w:rPr>
          <w:rFonts w:ascii="Times New Roman" w:hAnsi="Times New Roman"/>
          <w:sz w:val="20"/>
        </w:rPr>
        <w:t xml:space="preserve">, the General Partner shall deliver to the Transfer Agent the Notice of Election to Purchase and shall cause the Transfer Agent to mail a copy of such Notice of Election to Purchase to the Record Holders of Series I Preferred Units (as of a Record Date selected by the General Partner) at least 10, but not more than 60, days prior to the Purchase Date. Such Notice of Election to Purchase shall also be published for a period of at least three consecutive days in at least two daily newspapers of general circulation printed in the English language and published in the Borough of Manhattan, New York. The Notice of Election to Purchase shall specify the Purchase Date and the price (determined in accordance with </w:t>
      </w:r>
      <w:r>
        <w:rPr>
          <w:rFonts w:ascii="Times New Roman" w:hAnsi="Times New Roman"/>
          <w:sz w:val="20"/>
          <w:u w:val="single"/>
        </w:rPr>
        <w:t>Section 5.15(m)(i)</w:t>
      </w:r>
      <w:r>
        <w:rPr>
          <w:rFonts w:ascii="Times New Roman" w:hAnsi="Times New Roman"/>
          <w:sz w:val="20"/>
        </w:rPr>
        <w:t xml:space="preserve">) at which Series I Preferred Units will be purchased and state that the General Partner, its Affiliate or the Partnership, as the case may be, elects to purchase such Series I Preferred Units, upon surrender of Certificates representing such Series I Preferred Units in exchange for payment, at such office or offices of the Transfer Agent as the Transfer Agent may specify, or as may be required by any National Securities Exchange on which such Series I Preferred Units are listed or admitted to trading. Any such Notice of Election to Purchase mailed to a Record Holder of Series I Preferred Units at his address as reflected in the records of the Transfer Agent shall be conclusively presumed to have been given regardless of whether the owner receives such notice. On or prior to the Purchase Date, the General Partner, its Affiliate or the Partnership, as the case may be, shall deposit with the Transfer Agent cash in an amount sufficient to pay the aggregate purchase price of all of such Series I Preferred Units to be purchased in accordance with this </w:t>
      </w:r>
      <w:r>
        <w:rPr>
          <w:rFonts w:ascii="Times New Roman" w:hAnsi="Times New Roman"/>
          <w:sz w:val="20"/>
          <w:u w:val="single"/>
        </w:rPr>
        <w:t>Section 5.15(m)</w:t>
      </w:r>
      <w:r>
        <w:rPr>
          <w:rFonts w:ascii="Times New Roman" w:hAnsi="Times New Roman"/>
          <w:sz w:val="20"/>
        </w:rPr>
        <w:t xml:space="preserve">. If the Notice of Election to Purchase shall have been duly given as aforesaid at least 10 days prior to the Purchase Date, and if on or prior to the Purchase Date the deposit described in the preceding sentence has been made for the benefit of the holders of Series I Preferred Units subject to purchase as provided herein, then from and after the Purchase Date, notwithstanding that any Certificate shall not have been surrendered for purchase, all rights of the holders of such Series I Preferred Units shall thereupon cease, except the right to receive the purchase price (determined in accordance with </w:t>
      </w:r>
      <w:r>
        <w:rPr>
          <w:rFonts w:ascii="Times New Roman" w:hAnsi="Times New Roman"/>
          <w:sz w:val="20"/>
          <w:u w:val="single"/>
        </w:rPr>
        <w:t>Section 5.15(m)(i)</w:t>
      </w:r>
      <w:r>
        <w:rPr>
          <w:rFonts w:ascii="Times New Roman" w:hAnsi="Times New Roman"/>
          <w:sz w:val="20"/>
        </w:rPr>
        <w:t xml:space="preserve">) for Series I Preferred Units therefor, without interest, upon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surrender to the Transfer Agent of the Certificates representing such Series I Preferred Units, and such Series I Preferred Units shall thereupon be deemed to be transferred to the General Partner, its Affiliate or the Partnership, as the case may be, on the record books of the Transfer Agent and the Partnership, and the General Partner or any Affiliate of the General Partner, or the Partnership, as the case may be, shall be deemed to be the owner of all such Series I Preferred Units from and after the Purchase Date and shall have all rights as the owner of such Series I Preferred Units. </w:t>
      </w:r>
    </w:p>
    <w:p>
      <w:pPr>
        <w:pStyle w:val="TextBody"/>
        <w:bidi w:val="0"/>
        <w:spacing w:before="120" w:after="0"/>
        <w:jc w:val="left"/>
        <w:rPr>
          <w:rFonts w:ascii="Times New Roman" w:hAnsi="Times New Roman"/>
          <w:sz w:val="20"/>
        </w:rPr>
      </w:pPr>
      <w:r>
        <w:rPr>
          <w:rFonts w:ascii="Times New Roman" w:hAnsi="Times New Roman"/>
          <w:sz w:val="20"/>
        </w:rPr>
        <w:t xml:space="preserve">(iii) At any time from and after the Purchase Date, a holder of an Outstanding Series I Preferred Unit subject to purchase as provided in this </w:t>
      </w:r>
      <w:r>
        <w:rPr>
          <w:rFonts w:ascii="Times New Roman" w:hAnsi="Times New Roman"/>
          <w:sz w:val="20"/>
          <w:u w:val="single"/>
        </w:rPr>
        <w:t>Section 5.15(m)</w:t>
      </w:r>
      <w:r>
        <w:rPr>
          <w:rFonts w:ascii="Times New Roman" w:hAnsi="Times New Roman"/>
          <w:sz w:val="20"/>
        </w:rPr>
        <w:t xml:space="preserve"> may surrender his Certificate evidencing such Series I Preferred Unit to the Transfer Agent in exchange for payment of the amount described in </w:t>
      </w:r>
      <w:r>
        <w:rPr>
          <w:rFonts w:ascii="Times New Roman" w:hAnsi="Times New Roman"/>
          <w:sz w:val="20"/>
          <w:u w:val="single"/>
        </w:rPr>
        <w:t>Section 5.15(m)</w:t>
      </w:r>
      <w:r>
        <w:rPr>
          <w:rFonts w:ascii="Times New Roman" w:hAnsi="Times New Roman"/>
          <w:sz w:val="20"/>
        </w:rPr>
        <w:t xml:space="preserve">, therefor, without interest thereon.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ALLOCATIONS AND DISTRIBUTIONS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Allocations for Capital Account Purposes</w:t>
      </w:r>
      <w:r>
        <w:rPr>
          <w:rFonts w:ascii="Times New Roman" w:hAnsi="Times New Roman"/>
          <w:sz w:val="20"/>
        </w:rPr>
        <w:t xml:space="preserve">. For purposes of maintaining Capital Accounts and in determining the rights of the Partners among themselves, the Partnership’s items of income, gain, loss and deduction (computed in accordance with </w:t>
      </w:r>
      <w:r>
        <w:rPr>
          <w:rFonts w:ascii="Times New Roman" w:hAnsi="Times New Roman"/>
          <w:sz w:val="20"/>
          <w:u w:val="single"/>
        </w:rPr>
        <w:t>Section 5.5(b)</w:t>
      </w:r>
      <w:r>
        <w:rPr>
          <w:rFonts w:ascii="Times New Roman" w:hAnsi="Times New Roman"/>
          <w:sz w:val="20"/>
        </w:rPr>
        <w:t xml:space="preserve">) shall be allocated among the Partners in each taxable year (or portion thereof) as provided herein below.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Net Income</w:t>
      </w:r>
      <w:r>
        <w:rPr>
          <w:rFonts w:ascii="Times New Roman" w:hAnsi="Times New Roman"/>
          <w:sz w:val="20"/>
        </w:rPr>
        <w:t xml:space="preserve">. After giving effect to the special allocations set forth in </w:t>
      </w:r>
      <w:r>
        <w:rPr>
          <w:rFonts w:ascii="Times New Roman" w:hAnsi="Times New Roman"/>
          <w:sz w:val="20"/>
          <w:u w:val="single"/>
        </w:rPr>
        <w:t>Section 6.1(d)</w:t>
      </w:r>
      <w:r>
        <w:rPr>
          <w:rFonts w:ascii="Times New Roman" w:hAnsi="Times New Roman"/>
          <w:sz w:val="20"/>
        </w:rPr>
        <w:t xml:space="preserve"> and as otherwise provided in </w:t>
      </w:r>
      <w:r>
        <w:rPr>
          <w:rFonts w:ascii="Times New Roman" w:hAnsi="Times New Roman"/>
          <w:sz w:val="20"/>
          <w:u w:val="single"/>
        </w:rPr>
        <w:t>Article V</w:t>
      </w:r>
      <w:r>
        <w:rPr>
          <w:rFonts w:ascii="Times New Roman" w:hAnsi="Times New Roman"/>
          <w:sz w:val="20"/>
        </w:rPr>
        <w:t xml:space="preserve">, Net Income for each taxable year and all items of income, gain, loss and deduction taken into account in computing Net Income for such taxable year shall be allocated as follows: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First</w:t>
      </w:r>
      <w:r>
        <w:rPr>
          <w:rFonts w:ascii="Times New Roman" w:hAnsi="Times New Roman"/>
          <w:sz w:val="20"/>
        </w:rPr>
        <w:t xml:space="preserve">, 100% to the General Partner until the aggregate Net Income allocated to the General Partner pursuant to this </w:t>
      </w:r>
      <w:r>
        <w:rPr>
          <w:rFonts w:ascii="Times New Roman" w:hAnsi="Times New Roman"/>
          <w:sz w:val="20"/>
          <w:u w:val="single"/>
        </w:rPr>
        <w:t>Section 6.1(a)(i)</w:t>
      </w:r>
      <w:r>
        <w:rPr>
          <w:rFonts w:ascii="Times New Roman" w:hAnsi="Times New Roman"/>
          <w:sz w:val="20"/>
        </w:rPr>
        <w:t xml:space="preserve"> for the current taxable year and all previous taxable years is equal to the aggregate Net Losses allocated to the General Partner pursuant to </w:t>
      </w:r>
      <w:r>
        <w:rPr>
          <w:rFonts w:ascii="Times New Roman" w:hAnsi="Times New Roman"/>
          <w:sz w:val="20"/>
          <w:u w:val="single"/>
        </w:rPr>
        <w:t>Section 6.1(b)(iv)</w:t>
      </w:r>
      <w:r>
        <w:rPr>
          <w:rFonts w:ascii="Times New Roman" w:hAnsi="Times New Roman"/>
          <w:sz w:val="20"/>
        </w:rPr>
        <w:t xml:space="preserve"> for all previous taxable years;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Second</w:t>
      </w:r>
      <w:r>
        <w:rPr>
          <w:rFonts w:ascii="Times New Roman" w:hAnsi="Times New Roman"/>
          <w:sz w:val="20"/>
        </w:rPr>
        <w:t xml:space="preserve">, to all Series B Holders, Series G Holders, Series H Holders and Series I Holders, in proportion to, and to the extent of the Net Loss allocated to such Series B Holders, Series G Holders, Series H Holders and Series I Holders pursuant to </w:t>
      </w:r>
      <w:r>
        <w:rPr>
          <w:rFonts w:ascii="Times New Roman" w:hAnsi="Times New Roman"/>
          <w:sz w:val="20"/>
          <w:u w:val="single"/>
        </w:rPr>
        <w:t>Section 6.1(b)(iii)</w:t>
      </w:r>
      <w:r>
        <w:rPr>
          <w:rFonts w:ascii="Times New Roman" w:hAnsi="Times New Roman"/>
          <w:sz w:val="20"/>
        </w:rPr>
        <w:t xml:space="preserve"> for all previous taxable years, until the aggregate amount of Net Income allocated to such Series B Holders, Series G Holders, Series H Holders and Series I Holders pursuant to this </w:t>
      </w:r>
      <w:r>
        <w:rPr>
          <w:rFonts w:ascii="Times New Roman" w:hAnsi="Times New Roman"/>
          <w:sz w:val="20"/>
          <w:u w:val="single"/>
        </w:rPr>
        <w:t>Section 6.1(a)(ii)</w:t>
      </w:r>
      <w:r>
        <w:rPr>
          <w:rFonts w:ascii="Times New Roman" w:hAnsi="Times New Roman"/>
          <w:sz w:val="20"/>
        </w:rPr>
        <w:t xml:space="preserve"> for the current and all previous taxable years is equal to the aggregate amount of Net Loss allocated to such Series B Holders, Series G Holders, Series H Holders and Series I Holders pursuant to </w:t>
      </w:r>
      <w:r>
        <w:rPr>
          <w:rFonts w:ascii="Times New Roman" w:hAnsi="Times New Roman"/>
          <w:sz w:val="20"/>
          <w:u w:val="single"/>
        </w:rPr>
        <w:t>Section 6.1(b)(iii)</w:t>
      </w:r>
      <w:r>
        <w:rPr>
          <w:rFonts w:ascii="Times New Roman" w:hAnsi="Times New Roman"/>
          <w:sz w:val="20"/>
        </w:rPr>
        <w:t xml:space="preserve"> for all previous taxable years; </w:t>
      </w:r>
      <w:r>
        <w:rPr>
          <w:rFonts w:ascii="Times New Roman" w:hAnsi="Times New Roman"/>
          <w:sz w:val="20"/>
          <w:u w:val="single"/>
        </w:rPr>
        <w:t xml:space="preserve">provided </w:t>
      </w:r>
      <w:r>
        <w:rPr>
          <w:rFonts w:ascii="Times New Roman" w:hAnsi="Times New Roman"/>
          <w:sz w:val="20"/>
        </w:rPr>
        <w:t xml:space="preserve">that in no event shall Net Income be allocated to any such Series B Holders, Series G Holders, Series H Holders and Series I Holders to cause its Capital Account in respect of a Series B Preferred Unit, a Series G Preferred Unit, a Series H Preferred Unit or a Series I Preferred Unit to exceed the Series B Base Liquidation Preference, the Series G Base Liquidation Preference, the Series H Base Liquidation Preference or the Series I Base Liquidation Preference in respect of such Series B Preferred Units, Series G Preferred Units, Series H Preferred Units or Series I Preferred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Third</w:t>
      </w:r>
      <w:r>
        <w:rPr>
          <w:rFonts w:ascii="Times New Roman" w:hAnsi="Times New Roman"/>
          <w:sz w:val="20"/>
        </w:rPr>
        <w:t xml:space="preserve">, 100% to the Unitholders (other than Series B Holders, Series G Holders, Series H Holders and Series I Holders), in accordance with their respective Percentage Interests, until the aggregate Net Income allocated to such Unitholders pursuant to this </w:t>
      </w:r>
      <w:r>
        <w:rPr>
          <w:rFonts w:ascii="Times New Roman" w:hAnsi="Times New Roman"/>
          <w:sz w:val="20"/>
          <w:u w:val="single"/>
        </w:rPr>
        <w:t>Section 6.1(a)(iii)</w:t>
      </w:r>
      <w:r>
        <w:rPr>
          <w:rFonts w:ascii="Times New Roman" w:hAnsi="Times New Roman"/>
          <w:sz w:val="20"/>
        </w:rPr>
        <w:t xml:space="preserve"> for the current taxable year and all previous taxable years is equal to the aggregate Net Losses allocated to such Unitholders pursuant to </w:t>
      </w:r>
      <w:r>
        <w:rPr>
          <w:rFonts w:ascii="Times New Roman" w:hAnsi="Times New Roman"/>
          <w:sz w:val="20"/>
          <w:u w:val="single"/>
        </w:rPr>
        <w:t>Section 6.1(b)(ii)</w:t>
      </w:r>
      <w:r>
        <w:rPr>
          <w:rFonts w:ascii="Times New Roman" w:hAnsi="Times New Roman"/>
          <w:sz w:val="20"/>
        </w:rPr>
        <w:t xml:space="preserve"> for all previous taxable years; and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Fourth</w:t>
      </w:r>
      <w:r>
        <w:rPr>
          <w:rFonts w:ascii="Times New Roman" w:hAnsi="Times New Roman"/>
          <w:sz w:val="20"/>
        </w:rPr>
        <w:t xml:space="preserve">, the balance, if any, 100% to the Unitholders in accordance with their respective Percentage Interests.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Net Losses</w:t>
      </w:r>
      <w:r>
        <w:rPr>
          <w:rFonts w:ascii="Times New Roman" w:hAnsi="Times New Roman"/>
          <w:sz w:val="20"/>
        </w:rPr>
        <w:t xml:space="preserve">. After giving effect to the special allocations set forth in </w:t>
      </w:r>
      <w:r>
        <w:rPr>
          <w:rFonts w:ascii="Times New Roman" w:hAnsi="Times New Roman"/>
          <w:sz w:val="20"/>
          <w:u w:val="single"/>
        </w:rPr>
        <w:t>Section 6.1(d)</w:t>
      </w:r>
      <w:r>
        <w:rPr>
          <w:rFonts w:ascii="Times New Roman" w:hAnsi="Times New Roman"/>
          <w:sz w:val="20"/>
        </w:rPr>
        <w:t xml:space="preserve"> and as otherwise provided in </w:t>
      </w:r>
      <w:r>
        <w:rPr>
          <w:rFonts w:ascii="Times New Roman" w:hAnsi="Times New Roman"/>
          <w:sz w:val="20"/>
          <w:u w:val="single"/>
        </w:rPr>
        <w:t>Article V</w:t>
      </w:r>
      <w:r>
        <w:rPr>
          <w:rFonts w:ascii="Times New Roman" w:hAnsi="Times New Roman"/>
          <w:sz w:val="20"/>
        </w:rPr>
        <w:t xml:space="preserve">, Net Losses for each taxable year and all items of income, gain, loss and deduction taken into account in computing Net Losses for such taxable year shall be allocated as follows: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First</w:t>
      </w:r>
      <w:r>
        <w:rPr>
          <w:rFonts w:ascii="Times New Roman" w:hAnsi="Times New Roman"/>
          <w:sz w:val="20"/>
        </w:rPr>
        <w:t xml:space="preserve">, 100% to the Unitholders, in accordance with their respective Percentage Interests, until the aggregate Net Losses allocated pursuant to this </w:t>
      </w:r>
      <w:r>
        <w:rPr>
          <w:rFonts w:ascii="Times New Roman" w:hAnsi="Times New Roman"/>
          <w:sz w:val="20"/>
          <w:u w:val="single"/>
        </w:rPr>
        <w:t>Section 6.1(b)(i)</w:t>
      </w:r>
      <w:r>
        <w:rPr>
          <w:rFonts w:ascii="Times New Roman" w:hAnsi="Times New Roman"/>
          <w:sz w:val="20"/>
        </w:rPr>
        <w:t xml:space="preserve"> for the current taxable year and all previous taxable years is equal to the aggregate Net Income allocated to such Unitholders pursuant to </w:t>
      </w:r>
      <w:r>
        <w:rPr>
          <w:rFonts w:ascii="Times New Roman" w:hAnsi="Times New Roman"/>
          <w:sz w:val="20"/>
          <w:u w:val="single"/>
        </w:rPr>
        <w:t>Section 6.1(a)(iv)</w:t>
      </w:r>
      <w:r>
        <w:rPr>
          <w:rFonts w:ascii="Times New Roman" w:hAnsi="Times New Roman"/>
          <w:sz w:val="20"/>
        </w:rPr>
        <w:t xml:space="preserve"> for all previous taxable years, </w:t>
      </w:r>
      <w:r>
        <w:rPr>
          <w:rFonts w:ascii="Times New Roman" w:hAnsi="Times New Roman"/>
          <w:sz w:val="20"/>
          <w:u w:val="single"/>
        </w:rPr>
        <w:t xml:space="preserve">provided </w:t>
      </w:r>
      <w:r>
        <w:rPr>
          <w:rFonts w:ascii="Times New Roman" w:hAnsi="Times New Roman"/>
          <w:sz w:val="20"/>
        </w:rPr>
        <w:t xml:space="preserve">that the Net Losses shall not be allocated pursuant to this </w:t>
      </w:r>
      <w:r>
        <w:rPr>
          <w:rFonts w:ascii="Times New Roman" w:hAnsi="Times New Roman"/>
          <w:sz w:val="20"/>
          <w:u w:val="single"/>
        </w:rPr>
        <w:t>Section 6.1(b)(i)</w:t>
      </w:r>
      <w:r>
        <w:rPr>
          <w:rFonts w:ascii="Times New Roman" w:hAnsi="Times New Roman"/>
          <w:sz w:val="20"/>
        </w:rPr>
        <w:t xml:space="preserve"> to the extent that such allocation would cause any Unitholder to have a deficit balance in its Adjusted Capital Account at the end of such taxable year (or increase any existing deficit balance in its Adjusted Capital Account);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Second</w:t>
      </w:r>
      <w:r>
        <w:rPr>
          <w:rFonts w:ascii="Times New Roman" w:hAnsi="Times New Roman"/>
          <w:sz w:val="20"/>
        </w:rPr>
        <w:t xml:space="preserve">, 100% to the Unitholders (other than Series B Holders, Series G Holders, Series H Holders and Series I Holders) in accordance with their respective Percentage Interests;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Net Losses shall not be allocated pursuant to this </w:t>
      </w:r>
      <w:r>
        <w:rPr>
          <w:rFonts w:ascii="Times New Roman" w:hAnsi="Times New Roman"/>
          <w:sz w:val="20"/>
          <w:u w:val="single"/>
        </w:rPr>
        <w:t>Section 6.1(b)(ii)</w:t>
      </w:r>
      <w:r>
        <w:rPr>
          <w:rFonts w:ascii="Times New Roman" w:hAnsi="Times New Roman"/>
          <w:sz w:val="20"/>
        </w:rPr>
        <w:t xml:space="preserve"> to the extent that such allocation would cause any Unitholder to have a deficit balance in its Adjusted Capital Account at the end of such taxable year (or increase any existing deficit balance in its Adjusted Capital Account);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Third</w:t>
      </w:r>
      <w:r>
        <w:rPr>
          <w:rFonts w:ascii="Times New Roman" w:hAnsi="Times New Roman"/>
          <w:sz w:val="20"/>
        </w:rPr>
        <w:t xml:space="preserve">, to all Series B Holders, Series G Holders, Series H Holders and Series I Holders, in proportion to their respective positive Adjusted Capital Account balances, until the Adjusted Capital Account in respect of each Series B Preferred Unit, Series G Preferred Unit, Series H Preferred Unit and Series I Preferred Unit then Outstanding has been reduced to zero; and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Fourth</w:t>
      </w:r>
      <w:r>
        <w:rPr>
          <w:rFonts w:ascii="Times New Roman" w:hAnsi="Times New Roman"/>
          <w:sz w:val="20"/>
        </w:rPr>
        <w:t xml:space="preserve">, the balance, if any, 100% to the General Partner.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Net Termination Gains and Losses</w:t>
      </w:r>
      <w:r>
        <w:rPr>
          <w:rFonts w:ascii="Times New Roman" w:hAnsi="Times New Roman"/>
          <w:sz w:val="20"/>
        </w:rPr>
        <w:t xml:space="preserve">. After giving effect to the special allocations set forth in </w:t>
      </w:r>
      <w:r>
        <w:rPr>
          <w:rFonts w:ascii="Times New Roman" w:hAnsi="Times New Roman"/>
          <w:sz w:val="20"/>
          <w:u w:val="single"/>
        </w:rPr>
        <w:t>Section 6.1(d)</w:t>
      </w:r>
      <w:r>
        <w:rPr>
          <w:rFonts w:ascii="Times New Roman" w:hAnsi="Times New Roman"/>
          <w:sz w:val="20"/>
        </w:rPr>
        <w:t xml:space="preserve"> and as otherwise provided in </w:t>
      </w:r>
      <w:r>
        <w:rPr>
          <w:rFonts w:ascii="Times New Roman" w:hAnsi="Times New Roman"/>
          <w:sz w:val="20"/>
          <w:u w:val="single"/>
        </w:rPr>
        <w:t>Article V</w:t>
      </w:r>
      <w:r>
        <w:rPr>
          <w:rFonts w:ascii="Times New Roman" w:hAnsi="Times New Roman"/>
          <w:sz w:val="20"/>
        </w:rPr>
        <w:t xml:space="preserve">, all items of income, gain, loss and deduction taken into account in computing Net Termination Gain or Net Termination Loss for such taxable year shall be allocated in the same manner as such Net Termination Gain or Net Termination Loss is allocated hereunder. All allocations under this </w:t>
      </w:r>
      <w:r>
        <w:rPr>
          <w:rFonts w:ascii="Times New Roman" w:hAnsi="Times New Roman"/>
          <w:sz w:val="20"/>
          <w:u w:val="single"/>
        </w:rPr>
        <w:t>Section 6.1(c)</w:t>
      </w:r>
      <w:r>
        <w:rPr>
          <w:rFonts w:ascii="Times New Roman" w:hAnsi="Times New Roman"/>
          <w:sz w:val="20"/>
        </w:rPr>
        <w:t xml:space="preserve"> shall be made after Capital Account balances have been adjusted by all other allocations provided under this </w:t>
      </w:r>
      <w:r>
        <w:rPr>
          <w:rFonts w:ascii="Times New Roman" w:hAnsi="Times New Roman"/>
          <w:sz w:val="20"/>
          <w:u w:val="single"/>
        </w:rPr>
        <w:t>Section 6.1</w:t>
      </w:r>
      <w:r>
        <w:rPr>
          <w:rFonts w:ascii="Times New Roman" w:hAnsi="Times New Roman"/>
          <w:sz w:val="20"/>
        </w:rPr>
        <w:t xml:space="preserve"> and after all distributions pursuant to </w:t>
      </w:r>
      <w:r>
        <w:rPr>
          <w:rFonts w:ascii="Times New Roman" w:hAnsi="Times New Roman"/>
          <w:sz w:val="20"/>
          <w:u w:val="single"/>
        </w:rPr>
        <w:t>Section 6.3</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solely for purposes of this </w:t>
      </w:r>
      <w:r>
        <w:rPr>
          <w:rFonts w:ascii="Times New Roman" w:hAnsi="Times New Roman"/>
          <w:sz w:val="20"/>
          <w:u w:val="single"/>
        </w:rPr>
        <w:t>Section 6.1(c)</w:t>
      </w:r>
      <w:r>
        <w:rPr>
          <w:rFonts w:ascii="Times New Roman" w:hAnsi="Times New Roman"/>
          <w:sz w:val="20"/>
        </w:rPr>
        <w:t xml:space="preserve">, Capital Accounts shall not be adjusted for distributions made pursuant to </w:t>
      </w:r>
      <w:r>
        <w:rPr>
          <w:rFonts w:ascii="Times New Roman" w:hAnsi="Times New Roman"/>
          <w:sz w:val="20"/>
          <w:u w:val="single"/>
        </w:rPr>
        <w:t>Section 12.4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If a Net Termination Gain is recognized (or deemed recognized pursuant to </w:t>
      </w:r>
      <w:r>
        <w:rPr>
          <w:rFonts w:ascii="Times New Roman" w:hAnsi="Times New Roman"/>
          <w:sz w:val="20"/>
          <w:u w:val="single"/>
        </w:rPr>
        <w:t>Section 5.5(d)</w:t>
      </w:r>
      <w:r>
        <w:rPr>
          <w:rFonts w:ascii="Times New Roman" w:hAnsi="Times New Roman"/>
          <w:sz w:val="20"/>
        </w:rPr>
        <w:t xml:space="preserve">) such Net Termination Gain shall be allocated among the Partners in the following manner (and the Capital Accounts of the Partners shall be increased by the amount so allocated in each of the following subclauses, in the order listed, before an allocation is made pursuant to the next succeeding subclause):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First</w:t>
      </w:r>
      <w:r>
        <w:rPr>
          <w:rFonts w:ascii="Times New Roman" w:hAnsi="Times New Roman"/>
          <w:sz w:val="20"/>
        </w:rPr>
        <w:t xml:space="preserve">, to each Unitholder having a deficit balance in its Capital Account, in the proportion that such deficit balance bears to the total deficit balances in the Capital Accounts of all Partners, until each such Partner has been allocated Net Termination Gain equal to any such deficit balance in its Capital Account;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Second</w:t>
      </w:r>
      <w:r>
        <w:rPr>
          <w:rFonts w:ascii="Times New Roman" w:hAnsi="Times New Roman"/>
          <w:sz w:val="20"/>
        </w:rPr>
        <w:t xml:space="preserve">, to all Series B Holders, Series G Holders, Series H Holders and Series I Holders, Pro Rata, until the Capital Account in respect of each Outstanding Series B Preferred Unit, Series G Preferred Unit, Series H Preferred Unit and Series I Preferred Unit equals the Series B Base Liquidation Preference, the Series G Base Liquidation Preference, the Series H Base Liquidation Preference or the Series I Base Liquidation Preference; and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Third</w:t>
      </w:r>
      <w:r>
        <w:rPr>
          <w:rFonts w:ascii="Times New Roman" w:hAnsi="Times New Roman"/>
          <w:sz w:val="20"/>
        </w:rPr>
        <w:t xml:space="preserve">, to all Unitholders in accordance with their Percentage Interests. </w:t>
      </w:r>
    </w:p>
    <w:p>
      <w:pPr>
        <w:pStyle w:val="TextBody"/>
        <w:bidi w:val="0"/>
        <w:spacing w:before="120" w:after="0"/>
        <w:jc w:val="left"/>
        <w:rPr>
          <w:rFonts w:ascii="Times New Roman" w:hAnsi="Times New Roman"/>
          <w:sz w:val="20"/>
        </w:rPr>
      </w:pPr>
      <w:r>
        <w:rPr>
          <w:rFonts w:ascii="Times New Roman" w:hAnsi="Times New Roman"/>
          <w:sz w:val="20"/>
        </w:rPr>
        <w:t xml:space="preserve">(ii) If a Net Termination Loss is recognized (or deemed recognized pursuant to </w:t>
      </w:r>
      <w:r>
        <w:rPr>
          <w:rFonts w:ascii="Times New Roman" w:hAnsi="Times New Roman"/>
          <w:sz w:val="20"/>
          <w:u w:val="single"/>
        </w:rPr>
        <w:t>Section 5.5(d)</w:t>
      </w:r>
      <w:r>
        <w:rPr>
          <w:rFonts w:ascii="Times New Roman" w:hAnsi="Times New Roman"/>
          <w:sz w:val="20"/>
        </w:rPr>
        <w:t xml:space="preserve">), such Net Termination Loss shall be allocated among the Partners in the following manner: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First</w:t>
      </w:r>
      <w:r>
        <w:rPr>
          <w:rFonts w:ascii="Times New Roman" w:hAnsi="Times New Roman"/>
          <w:sz w:val="20"/>
        </w:rPr>
        <w:t xml:space="preserve">, to all Unitholders in accordance with their Percentage Interests until the Adjusted Capital Account in respect of each Unit then Outstanding has been reduced to zero;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Second</w:t>
      </w:r>
      <w:r>
        <w:rPr>
          <w:rFonts w:ascii="Times New Roman" w:hAnsi="Times New Roman"/>
          <w:sz w:val="20"/>
        </w:rPr>
        <w:t xml:space="preserve">, to all Series B Holders, Series G Holders, Series H Holders and Series I Holders, in proportion to their Adjusted Capital Account balances, until the Adjusted Capital Account in respect of each Series B Preferred Unit, Series G Preferred Unit, Series H Preferred Unit or Series I Preferred Unit then Outstanding has been reduced to zero; and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Third</w:t>
      </w:r>
      <w:r>
        <w:rPr>
          <w:rFonts w:ascii="Times New Roman" w:hAnsi="Times New Roman"/>
          <w:sz w:val="20"/>
        </w:rPr>
        <w:t xml:space="preserve">, the balance, if any, 100% to the General Partner.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Special Allocations</w:t>
      </w:r>
      <w:r>
        <w:rPr>
          <w:rFonts w:ascii="Times New Roman" w:hAnsi="Times New Roman"/>
          <w:sz w:val="20"/>
        </w:rPr>
        <w:t xml:space="preserve">. Notwithstanding any other provision of this </w:t>
      </w:r>
      <w:r>
        <w:rPr>
          <w:rFonts w:ascii="Times New Roman" w:hAnsi="Times New Roman"/>
          <w:sz w:val="20"/>
          <w:u w:val="single"/>
        </w:rPr>
        <w:t>Section 6.1</w:t>
      </w:r>
      <w:r>
        <w:rPr>
          <w:rFonts w:ascii="Times New Roman" w:hAnsi="Times New Roman"/>
          <w:sz w:val="20"/>
        </w:rPr>
        <w:t xml:space="preserve">, the following special allocations shall be made for such taxable period: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Partnership Minimum Gain Chargeback</w:t>
      </w:r>
      <w:r>
        <w:rPr>
          <w:rFonts w:ascii="Times New Roman" w:hAnsi="Times New Roman"/>
          <w:sz w:val="20"/>
        </w:rPr>
        <w:t xml:space="preserve">. Notwithstanding any other provision of this </w:t>
      </w:r>
      <w:r>
        <w:rPr>
          <w:rFonts w:ascii="Times New Roman" w:hAnsi="Times New Roman"/>
          <w:sz w:val="20"/>
          <w:u w:val="single"/>
        </w:rPr>
        <w:t>Section 6.1</w:t>
      </w:r>
      <w:r>
        <w:rPr>
          <w:rFonts w:ascii="Times New Roman" w:hAnsi="Times New Roman"/>
          <w:sz w:val="20"/>
        </w:rPr>
        <w:t xml:space="preserve">, if there is a net decrease in Partnership Minimum Gain during any Partnership taxable period, each Partner shall be allocated items of Partnership income and gain for such period (and, if necessary, subsequent periods) in the manner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amounts provided in Treasury Regulation Sections 1.704-2(f)(6), 1.704-2(g)(2) and 1.704-2(j)(2)(i), or any successor provision. For purposes of this </w:t>
      </w:r>
      <w:r>
        <w:rPr>
          <w:rFonts w:ascii="Times New Roman" w:hAnsi="Times New Roman"/>
          <w:sz w:val="20"/>
          <w:u w:val="single"/>
        </w:rPr>
        <w:t>Section 6.1(d)</w:t>
      </w:r>
      <w:r>
        <w:rPr>
          <w:rFonts w:ascii="Times New Roman" w:hAnsi="Times New Roman"/>
          <w:sz w:val="20"/>
        </w:rPr>
        <w:t xml:space="preserve">, each Partner’s Adjusted Capital Account balance shall be determined, and the allocation of income or gain required hereunder shall be effected, prior to the application of any other allocations pursuant to this </w:t>
      </w:r>
      <w:r>
        <w:rPr>
          <w:rFonts w:ascii="Times New Roman" w:hAnsi="Times New Roman"/>
          <w:sz w:val="20"/>
          <w:u w:val="single"/>
        </w:rPr>
        <w:t>Section 6.1(d)</w:t>
      </w:r>
      <w:r>
        <w:rPr>
          <w:rFonts w:ascii="Times New Roman" w:hAnsi="Times New Roman"/>
          <w:sz w:val="20"/>
        </w:rPr>
        <w:t xml:space="preserve"> with respect to such taxable period (other than an allocation pursuant to </w:t>
      </w:r>
      <w:r>
        <w:rPr>
          <w:rFonts w:ascii="Times New Roman" w:hAnsi="Times New Roman"/>
          <w:sz w:val="20"/>
          <w:u w:val="single"/>
        </w:rPr>
        <w:t>Sections 6.1(d)(v)</w:t>
      </w:r>
      <w:r>
        <w:rPr>
          <w:rFonts w:ascii="Times New Roman" w:hAnsi="Times New Roman"/>
          <w:sz w:val="20"/>
        </w:rPr>
        <w:t xml:space="preserve"> and </w:t>
      </w:r>
      <w:r>
        <w:rPr>
          <w:rFonts w:ascii="Times New Roman" w:hAnsi="Times New Roman"/>
          <w:sz w:val="20"/>
          <w:u w:val="single"/>
        </w:rPr>
        <w:t>6.1(d)(vi)</w:t>
      </w:r>
      <w:r>
        <w:rPr>
          <w:rFonts w:ascii="Times New Roman" w:hAnsi="Times New Roman"/>
          <w:sz w:val="20"/>
        </w:rPr>
        <w:t xml:space="preserve">). This </w:t>
      </w:r>
      <w:r>
        <w:rPr>
          <w:rFonts w:ascii="Times New Roman" w:hAnsi="Times New Roman"/>
          <w:sz w:val="20"/>
          <w:u w:val="single"/>
        </w:rPr>
        <w:t>Section 6.1(d)(i)</w:t>
      </w:r>
      <w:r>
        <w:rPr>
          <w:rFonts w:ascii="Times New Roman" w:hAnsi="Times New Roman"/>
          <w:sz w:val="20"/>
        </w:rPr>
        <w:t xml:space="preserve"> is intended to comply with the Partnership Minimum Gain chargeback requirement in Treasury Regulation Section 1.704-2(f) and shall be interpreted consistently therewith.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Chargeback of Partner Nonrecourse Debt Minimum Gain</w:t>
      </w:r>
      <w:r>
        <w:rPr>
          <w:rFonts w:ascii="Times New Roman" w:hAnsi="Times New Roman"/>
          <w:sz w:val="20"/>
        </w:rPr>
        <w:t xml:space="preserve">. Notwithstanding the other provisions of this </w:t>
      </w:r>
      <w:r>
        <w:rPr>
          <w:rFonts w:ascii="Times New Roman" w:hAnsi="Times New Roman"/>
          <w:sz w:val="20"/>
          <w:u w:val="single"/>
        </w:rPr>
        <w:t>Section 6.1</w:t>
      </w:r>
      <w:r>
        <w:rPr>
          <w:rFonts w:ascii="Times New Roman" w:hAnsi="Times New Roman"/>
          <w:sz w:val="20"/>
        </w:rPr>
        <w:t xml:space="preserve"> (other than </w:t>
      </w:r>
      <w:r>
        <w:rPr>
          <w:rFonts w:ascii="Times New Roman" w:hAnsi="Times New Roman"/>
          <w:sz w:val="20"/>
          <w:u w:val="single"/>
        </w:rPr>
        <w:t>Section 6.1(d)(i)</w:t>
      </w:r>
      <w:r>
        <w:rPr>
          <w:rFonts w:ascii="Times New Roman" w:hAnsi="Times New Roman"/>
          <w:sz w:val="20"/>
        </w:rPr>
        <w:t xml:space="preserve">), except as provided in Treasury Regulation Section 1.704-2(i)(4), if there is a net decrease in Partner Nonrecourse Debt Minimum Gain during any Partnership taxable period, any Partner with a share of Partner Nonrecourse Debt Minimum Gain at the beginning of such taxable period shall be allocated items of Partnership income and gain for such period (and, if necessary, subsequent periods) in the manner and amounts provided in Treasury Regulation Sections 1.704-2(i)(4) and 1.704-2(j)(2)(ii), or any successor provisions. For purposes of this </w:t>
      </w:r>
      <w:r>
        <w:rPr>
          <w:rFonts w:ascii="Times New Roman" w:hAnsi="Times New Roman"/>
          <w:sz w:val="20"/>
          <w:u w:val="single"/>
        </w:rPr>
        <w:t>Section 6.1(d)</w:t>
      </w:r>
      <w:r>
        <w:rPr>
          <w:rFonts w:ascii="Times New Roman" w:hAnsi="Times New Roman"/>
          <w:sz w:val="20"/>
        </w:rPr>
        <w:t xml:space="preserve">, each Partner’s Adjusted Capital Account balance shall be determined, and the allocation of income or gain required hereunder shall be effected, prior to the application of any other allocations pursuant to this </w:t>
      </w:r>
      <w:r>
        <w:rPr>
          <w:rFonts w:ascii="Times New Roman" w:hAnsi="Times New Roman"/>
          <w:sz w:val="20"/>
          <w:u w:val="single"/>
        </w:rPr>
        <w:t>Section 6.1(d)</w:t>
      </w:r>
      <w:r>
        <w:rPr>
          <w:rFonts w:ascii="Times New Roman" w:hAnsi="Times New Roman"/>
          <w:sz w:val="20"/>
        </w:rPr>
        <w:t xml:space="preserve">, other than </w:t>
      </w:r>
      <w:r>
        <w:rPr>
          <w:rFonts w:ascii="Times New Roman" w:hAnsi="Times New Roman"/>
          <w:sz w:val="20"/>
          <w:u w:val="single"/>
        </w:rPr>
        <w:t>Section 6.1(d)(i)</w:t>
      </w:r>
      <w:r>
        <w:rPr>
          <w:rFonts w:ascii="Times New Roman" w:hAnsi="Times New Roman"/>
          <w:sz w:val="20"/>
        </w:rPr>
        <w:t xml:space="preserve"> and other than an allocation pursuant to </w:t>
      </w:r>
      <w:r>
        <w:rPr>
          <w:rFonts w:ascii="Times New Roman" w:hAnsi="Times New Roman"/>
          <w:sz w:val="20"/>
          <w:u w:val="single"/>
        </w:rPr>
        <w:t>Sections 6.1(d)(v)</w:t>
      </w:r>
      <w:r>
        <w:rPr>
          <w:rFonts w:ascii="Times New Roman" w:hAnsi="Times New Roman"/>
          <w:sz w:val="20"/>
        </w:rPr>
        <w:t xml:space="preserve"> and </w:t>
      </w:r>
      <w:r>
        <w:rPr>
          <w:rFonts w:ascii="Times New Roman" w:hAnsi="Times New Roman"/>
          <w:sz w:val="20"/>
          <w:u w:val="single"/>
        </w:rPr>
        <w:t>6.1(d)(vi)</w:t>
      </w:r>
      <w:r>
        <w:rPr>
          <w:rFonts w:ascii="Times New Roman" w:hAnsi="Times New Roman"/>
          <w:sz w:val="20"/>
        </w:rPr>
        <w:t xml:space="preserve">, with respect to such taxable period. This </w:t>
      </w:r>
      <w:r>
        <w:rPr>
          <w:rFonts w:ascii="Times New Roman" w:hAnsi="Times New Roman"/>
          <w:sz w:val="20"/>
          <w:u w:val="single"/>
        </w:rPr>
        <w:t>Section 6.1(d)(ii)</w:t>
      </w:r>
      <w:r>
        <w:rPr>
          <w:rFonts w:ascii="Times New Roman" w:hAnsi="Times New Roman"/>
          <w:sz w:val="20"/>
        </w:rPr>
        <w:t xml:space="preserve"> is intended to comply with the chargeback of items of income and gain requirement in Treasury Regulation Section 1.704-2(i)(4) and shall be interpreted consistently therewith.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Qualified Income Offset</w:t>
      </w:r>
      <w:r>
        <w:rPr>
          <w:rFonts w:ascii="Times New Roman" w:hAnsi="Times New Roman"/>
          <w:sz w:val="20"/>
        </w:rPr>
        <w:t xml:space="preserve">. In the event any Partner unexpectedly receives any adjustments, allocations or distributions described in Treasury Regulation Sections 1.704-1(b)(2)(ii)(d)(4), 1.704-1(b)(2)(ii)(d)(5), or 1.704-1(b)(2)(ii)(d)(6), items of Partnership income and gain shall be specially allocated to such Partner in an amount and manner sufficient to eliminate, to the extent required by the Treasury Regulations promulgated under Section 704(b) of the Code, the deficit balance, if any, in its Adjusted Capital Account created by such adjustments, allocations or distributions as quickly as possible unless such deficit balance is otherwise eliminated pursuant to </w:t>
      </w:r>
      <w:r>
        <w:rPr>
          <w:rFonts w:ascii="Times New Roman" w:hAnsi="Times New Roman"/>
          <w:sz w:val="20"/>
          <w:u w:val="single"/>
        </w:rPr>
        <w:t>Section 6.1(d)(i)</w:t>
      </w:r>
      <w:r>
        <w:rPr>
          <w:rFonts w:ascii="Times New Roman" w:hAnsi="Times New Roman"/>
          <w:sz w:val="20"/>
        </w:rPr>
        <w:t xml:space="preserve"> or (ii).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Gross Income Allocations</w:t>
      </w:r>
      <w:r>
        <w:rPr>
          <w:rFonts w:ascii="Times New Roman" w:hAnsi="Times New Roman"/>
          <w:sz w:val="20"/>
        </w:rPr>
        <w:t xml:space="preserve">. In the event any Partner has a deficit balance in its Capital Account at the end of any Partnership taxable period in excess of the sum of (A) the amount such Partner is required to restore pursuant to the provisions of this Agreement and (B) the amount such Partner is deemed obligated to restore pursuant to Treasury Regulation Sections 1.704-2(g) and 1.704-2(i)(5), such Partner shall be specially allocated items of Partnership gross income and gain in the amount of such excess as quickly as possible;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an allocation pursuant to this </w:t>
      </w:r>
      <w:r>
        <w:rPr>
          <w:rFonts w:ascii="Times New Roman" w:hAnsi="Times New Roman"/>
          <w:sz w:val="20"/>
          <w:u w:val="single"/>
        </w:rPr>
        <w:t>Section 6.1(d)(iv)</w:t>
      </w:r>
      <w:r>
        <w:rPr>
          <w:rFonts w:ascii="Times New Roman" w:hAnsi="Times New Roman"/>
          <w:sz w:val="20"/>
        </w:rPr>
        <w:t xml:space="preserve"> shall be made only if and to the extent that such Partner would have a deficit balance in its Capital Account as adjusted after all other allocations provided for in this </w:t>
      </w:r>
      <w:r>
        <w:rPr>
          <w:rFonts w:ascii="Times New Roman" w:hAnsi="Times New Roman"/>
          <w:sz w:val="20"/>
          <w:u w:val="single"/>
        </w:rPr>
        <w:t>Section 6.1</w:t>
      </w:r>
      <w:r>
        <w:rPr>
          <w:rFonts w:ascii="Times New Roman" w:hAnsi="Times New Roman"/>
          <w:sz w:val="20"/>
        </w:rPr>
        <w:t xml:space="preserve"> have been tentatively made as if this </w:t>
      </w:r>
      <w:r>
        <w:rPr>
          <w:rFonts w:ascii="Times New Roman" w:hAnsi="Times New Roman"/>
          <w:sz w:val="20"/>
          <w:u w:val="single"/>
        </w:rPr>
        <w:t>Section 6.1(d)(iv)</w:t>
      </w:r>
      <w:r>
        <w:rPr>
          <w:rFonts w:ascii="Times New Roman" w:hAnsi="Times New Roman"/>
          <w:sz w:val="20"/>
        </w:rPr>
        <w:t xml:space="preserve"> were not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Nonrecourse Deductions</w:t>
      </w:r>
      <w:r>
        <w:rPr>
          <w:rFonts w:ascii="Times New Roman" w:hAnsi="Times New Roman"/>
          <w:sz w:val="20"/>
        </w:rPr>
        <w:t xml:space="preserve">. Nonrecourse Deductions for any taxable period shall be allocated to the Partners in accordance with their respective Percentage Interests. If the General Partner determines that the Partnership’s Nonrecourse Deductions should be allocated in a different ratio to satisfy the safe harbor requirements of the Treasury Regulations promulgated under Section 704(b) of the Code, the General Partner is authorized, upon notice to the other Partners, to revise the prescribed ratio to the numerically closest ratio that does satisfy such requirements.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i/>
          <w:sz w:val="20"/>
        </w:rPr>
        <w:t>Partner Nonrecourse Deductions</w:t>
      </w:r>
      <w:r>
        <w:rPr>
          <w:rFonts w:ascii="Times New Roman" w:hAnsi="Times New Roman"/>
          <w:sz w:val="20"/>
        </w:rPr>
        <w:t xml:space="preserve">. Partner Nonrecourse Deductions for any taxable period shall be allocated 100% to the Partner that bears the Economic Risk of Loss with respect to the Partner Nonrecourse Debt to which such Partner Nonrecourse Deductions are attributable in accordance with Treasury Regulation Section 1.704-2(i). If more than one Partner bears the Economic Risk of Loss with respect to a Partner Nonrecourse Debt, such Partner Nonrecourse Deductions attributable thereto shall be allocated between or among such Partners in accordance with the ratios in which they share such Economic Risk of Loss.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i/>
          <w:sz w:val="20"/>
        </w:rPr>
        <w:t>Nonrecourse Liabilities</w:t>
      </w:r>
      <w:r>
        <w:rPr>
          <w:rFonts w:ascii="Times New Roman" w:hAnsi="Times New Roman"/>
          <w:sz w:val="20"/>
        </w:rPr>
        <w:t xml:space="preserve">. For purposes of Treasury Regulation Section 1.752-3(a)(3), the Partners agree that Nonrecourse Liabilities of the Partnership in excess of the sum of (A) the amount of Partnership Minimum Gain and (B) the total amount of Nonrecourse Built-in Gain shall be allocated among the Partners in accordance with their respective Percentage Interests.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i/>
          <w:sz w:val="20"/>
        </w:rPr>
        <w:t>Code Section</w:t>
      </w:r>
      <w:r>
        <w:rPr>
          <w:rFonts w:ascii="Times New Roman" w:hAnsi="Times New Roman"/>
          <w:sz w:val="20"/>
        </w:rPr>
        <w:t> </w:t>
      </w:r>
      <w:r>
        <w:rPr>
          <w:rFonts w:ascii="Times New Roman" w:hAnsi="Times New Roman"/>
          <w:i/>
          <w:sz w:val="20"/>
        </w:rPr>
        <w:t>754 Adjustments</w:t>
      </w:r>
      <w:r>
        <w:rPr>
          <w:rFonts w:ascii="Times New Roman" w:hAnsi="Times New Roman"/>
          <w:sz w:val="20"/>
        </w:rPr>
        <w:t xml:space="preserve">. To the extent an adjustment to the adjusted tax basis of any Partnership asset pursuant to Section 734(b) or 743(b) of the Code is required, pursuant to Treasury Regulation Section 1.704-1(b)(2)(iv)(m), to be taken into account in determining Capital Accounts, the amount of such adjustment to the Capital Accounts shall be treated as an item of gain (if the adjustment increases the basis of the asset) or loss (if the adjustment decreases such basis), and such item of gain or loss shall be specially allocated to the Partners in a manner consistent with the manner in which their Capital Accounts are required to be adjusted pursuant to such Section of the Treasury Regulations. </w:t>
      </w:r>
    </w:p>
    <w:p>
      <w:pPr>
        <w:pStyle w:val="TextBody"/>
        <w:bidi w:val="0"/>
        <w:spacing w:before="120" w:after="0"/>
        <w:jc w:val="left"/>
        <w:rPr>
          <w:rFonts w:ascii="Times New Roman" w:hAnsi="Times New Roman"/>
          <w:sz w:val="20"/>
        </w:rPr>
      </w:pPr>
      <w:r>
        <w:rPr>
          <w:rFonts w:ascii="Times New Roman" w:hAnsi="Times New Roman"/>
          <w:sz w:val="20"/>
        </w:rPr>
        <w:t xml:space="preserve">(ix) </w:t>
      </w:r>
      <w:r>
        <w:rPr>
          <w:rFonts w:ascii="Times New Roman" w:hAnsi="Times New Roman"/>
          <w:i/>
          <w:sz w:val="20"/>
        </w:rPr>
        <w:t>Curative Allocations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any other provision of this </w:t>
      </w:r>
      <w:r>
        <w:rPr>
          <w:rFonts w:ascii="Times New Roman" w:hAnsi="Times New Roman"/>
          <w:sz w:val="20"/>
          <w:u w:val="single"/>
        </w:rPr>
        <w:t>Section 6.1</w:t>
      </w:r>
      <w:r>
        <w:rPr>
          <w:rFonts w:ascii="Times New Roman" w:hAnsi="Times New Roman"/>
          <w:sz w:val="20"/>
        </w:rPr>
        <w:t xml:space="preserve">, other than the Required Allocations, the Required Allocations shall be taken into account in making the Agreed Allocations so that, to the extent possible, the net amount of items of income, gain, loss and deduction allocated to each Partner pursuant to the Required Allocations and the Agreed Allocations, together, shall be equal to the net amount of such items that would have been allocated to each such Partner under the Agreed Allocations had the Required Allocations and the related Curative Allocation not otherwise been provided in this </w:t>
      </w:r>
      <w:r>
        <w:rPr>
          <w:rFonts w:ascii="Times New Roman" w:hAnsi="Times New Roman"/>
          <w:sz w:val="20"/>
          <w:u w:val="single"/>
        </w:rPr>
        <w:t>Section 6.1</w:t>
      </w:r>
      <w:r>
        <w:rPr>
          <w:rFonts w:ascii="Times New Roman" w:hAnsi="Times New Roman"/>
          <w:sz w:val="20"/>
        </w:rPr>
        <w:t xml:space="preserve">. Notwithstanding the preceding sentence, Required Allocations relating to (1) Nonrecourse Deductions shall not be taken into account except to the extent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 has been a decrease in Partnership Minimum Gain and (2) Partner Nonrecourse Deductions shall not be taken into account except to the extent that there has been a decrease in Partner Nonrecourse Debt Minimum Gain. Allocations pursuant to this </w:t>
      </w:r>
      <w:r>
        <w:rPr>
          <w:rFonts w:ascii="Times New Roman" w:hAnsi="Times New Roman"/>
          <w:sz w:val="20"/>
          <w:u w:val="single"/>
        </w:rPr>
        <w:t>Section 6.1(d)(ix)(A)</w:t>
      </w:r>
      <w:r>
        <w:rPr>
          <w:rFonts w:ascii="Times New Roman" w:hAnsi="Times New Roman"/>
          <w:sz w:val="20"/>
        </w:rPr>
        <w:t xml:space="preserve"> shall only be made with respect to Required Allocations to the extent the General Partner determines that such allocations will otherwise be inconsistent with the economic agreement among the Partners. Further, allocations pursuant to this </w:t>
      </w:r>
      <w:r>
        <w:rPr>
          <w:rFonts w:ascii="Times New Roman" w:hAnsi="Times New Roman"/>
          <w:sz w:val="20"/>
          <w:u w:val="single"/>
        </w:rPr>
        <w:t>Section 6.1(d)(ix)(A)</w:t>
      </w:r>
      <w:r>
        <w:rPr>
          <w:rFonts w:ascii="Times New Roman" w:hAnsi="Times New Roman"/>
          <w:sz w:val="20"/>
        </w:rPr>
        <w:t xml:space="preserve"> shall be deferred with respect to allocations pursuant to clauses (1) and (2) hereof to the extent the General Partner determines that such allocations are likely to be offset by subsequent Required Allocations. </w:t>
      </w:r>
    </w:p>
    <w:p>
      <w:pPr>
        <w:pStyle w:val="TextBody"/>
        <w:bidi w:val="0"/>
        <w:spacing w:before="120" w:after="0"/>
        <w:jc w:val="left"/>
        <w:rPr>
          <w:rFonts w:ascii="Times New Roman" w:hAnsi="Times New Roman"/>
          <w:sz w:val="20"/>
        </w:rPr>
      </w:pPr>
      <w:r>
        <w:rPr>
          <w:rFonts w:ascii="Times New Roman" w:hAnsi="Times New Roman"/>
          <w:sz w:val="20"/>
        </w:rPr>
        <w:t xml:space="preserve">(B) The General Partner shall, with respect to each taxable period, (1) apply the provisions of </w:t>
      </w:r>
      <w:r>
        <w:rPr>
          <w:rFonts w:ascii="Times New Roman" w:hAnsi="Times New Roman"/>
          <w:sz w:val="20"/>
          <w:u w:val="single"/>
        </w:rPr>
        <w:t>Section 6.1(d)(ix)(A)</w:t>
      </w:r>
      <w:r>
        <w:rPr>
          <w:rFonts w:ascii="Times New Roman" w:hAnsi="Times New Roman"/>
          <w:sz w:val="20"/>
        </w:rPr>
        <w:t xml:space="preserve"> in whatever order is most likely to minimize the economic distortions that might otherwise result from the Required Allocations, and (2) divide all allocations pursuant to </w:t>
      </w:r>
      <w:r>
        <w:rPr>
          <w:rFonts w:ascii="Times New Roman" w:hAnsi="Times New Roman"/>
          <w:sz w:val="20"/>
          <w:u w:val="single"/>
        </w:rPr>
        <w:t>Section 6.1(d)(ix)(A)</w:t>
      </w:r>
      <w:r>
        <w:rPr>
          <w:rFonts w:ascii="Times New Roman" w:hAnsi="Times New Roman"/>
          <w:sz w:val="20"/>
        </w:rPr>
        <w:t xml:space="preserve"> among the Partners in a manner that is likely to minimize such economic distortions.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Corrective and Other Allocations</w:t>
      </w:r>
      <w:r>
        <w:rPr>
          <w:rFonts w:ascii="Times New Roman" w:hAnsi="Times New Roman"/>
          <w:sz w:val="20"/>
        </w:rPr>
        <w:t xml:space="preserve">. In the event of any allocation of a Net Termination Loss, the following rules shall apply: </w:t>
      </w:r>
    </w:p>
    <w:p>
      <w:pPr>
        <w:pStyle w:val="TextBody"/>
        <w:bidi w:val="0"/>
        <w:spacing w:before="120" w:after="0"/>
        <w:jc w:val="left"/>
        <w:rPr>
          <w:rFonts w:ascii="Times New Roman" w:hAnsi="Times New Roman"/>
          <w:sz w:val="20"/>
        </w:rPr>
      </w:pPr>
      <w:r>
        <w:rPr>
          <w:rFonts w:ascii="Times New Roman" w:hAnsi="Times New Roman"/>
          <w:sz w:val="20"/>
        </w:rPr>
        <w:t xml:space="preserve">(A) Net Termination Loss in an amount equal to the lesser of (1) such Net Termination Loss and (2) the Aggregate Remaining Net Positive Adjustments shall be allocated in such manner as is determined by the General Partner that, to the extent possible, the Capital Account balances of the Partners will equal the amount they would have been had no prior Book-Up Events occurred, and any remaining Net Termination Loss shall be allocated pursuant to </w:t>
      </w:r>
      <w:r>
        <w:rPr>
          <w:rFonts w:ascii="Times New Roman" w:hAnsi="Times New Roman"/>
          <w:sz w:val="20"/>
          <w:u w:val="single"/>
        </w:rPr>
        <w:t>Section 6.1(c)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In making the allocations required under this </w:t>
      </w:r>
      <w:r>
        <w:rPr>
          <w:rFonts w:ascii="Times New Roman" w:hAnsi="Times New Roman"/>
          <w:sz w:val="20"/>
          <w:u w:val="single"/>
        </w:rPr>
        <w:t>Section 6.1(d)(x)</w:t>
      </w:r>
      <w:r>
        <w:rPr>
          <w:rFonts w:ascii="Times New Roman" w:hAnsi="Times New Roman"/>
          <w:sz w:val="20"/>
        </w:rPr>
        <w:t xml:space="preserve">, the General Partner may apply whatever conventions or other methodology it determines will satisfy the purpose of this </w:t>
      </w:r>
      <w:r>
        <w:rPr>
          <w:rFonts w:ascii="Times New Roman" w:hAnsi="Times New Roman"/>
          <w:sz w:val="20"/>
          <w:u w:val="single"/>
        </w:rPr>
        <w:t>Section 6.1(d)(x)</w:t>
      </w:r>
      <w:r>
        <w:rPr>
          <w:rFonts w:ascii="Times New Roman" w:hAnsi="Times New Roman"/>
          <w:sz w:val="20"/>
        </w:rPr>
        <w:t>. Without limiting the foregoing, if an Adjusted Property is contributed by the Partnership to another entity classified as a partnership for U.S. federal income tax purposes (the “</w:t>
      </w:r>
      <w:r>
        <w:rPr>
          <w:rFonts w:ascii="Times New Roman" w:hAnsi="Times New Roman"/>
          <w:i/>
          <w:sz w:val="20"/>
        </w:rPr>
        <w:t>lower tier partnership</w:t>
      </w:r>
      <w:r>
        <w:rPr>
          <w:rFonts w:ascii="Times New Roman" w:hAnsi="Times New Roman"/>
          <w:sz w:val="20"/>
        </w:rPr>
        <w:t xml:space="preserve">”), the General Partner may make allocations similar to those described in </w:t>
      </w:r>
      <w:r>
        <w:rPr>
          <w:rFonts w:ascii="Times New Roman" w:hAnsi="Times New Roman"/>
          <w:sz w:val="20"/>
          <w:u w:val="single"/>
        </w:rPr>
        <w:t>Section 6.1(d)(x)(A)</w:t>
      </w:r>
      <w:r>
        <w:rPr>
          <w:rFonts w:ascii="Times New Roman" w:hAnsi="Times New Roman"/>
          <w:sz w:val="20"/>
        </w:rPr>
        <w:t xml:space="preserve"> to the extent the General Partner determines such allocations are necessary to account for the Partnership’s allocable share of income, gain, loss and deduction of the lower tier partnership that relate to the contributed Adjusted Property in a manner that is consistent with the purpose of this </w:t>
      </w:r>
      <w:r>
        <w:rPr>
          <w:rFonts w:ascii="Times New Roman" w:hAnsi="Times New Roman"/>
          <w:sz w:val="20"/>
          <w:u w:val="single"/>
        </w:rPr>
        <w:t>Section 6.1(d)(x)</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(xi) </w:t>
      </w:r>
      <w:r>
        <w:rPr>
          <w:rFonts w:ascii="Times New Roman" w:hAnsi="Times New Roman"/>
          <w:i/>
          <w:sz w:val="20"/>
        </w:rPr>
        <w:t>Priority Allocations</w:t>
      </w:r>
      <w:r>
        <w:rPr>
          <w:rFonts w:ascii="Times New Roman" w:hAnsi="Times New Roman"/>
          <w:sz w:val="20"/>
        </w:rPr>
        <w:t xml:space="preserve">. If the amount of cash or the Net Agreed Value of any property distributed (except cash or property distributed or deemed distributed pursuant to </w:t>
      </w:r>
      <w:r>
        <w:rPr>
          <w:rFonts w:ascii="Times New Roman" w:hAnsi="Times New Roman"/>
          <w:sz w:val="20"/>
          <w:u w:val="single"/>
        </w:rPr>
        <w:t>Section 12.4</w:t>
      </w:r>
      <w:r>
        <w:rPr>
          <w:rFonts w:ascii="Times New Roman" w:hAnsi="Times New Roman"/>
          <w:sz w:val="20"/>
        </w:rPr>
        <w:t xml:space="preserve">) to any Unitholder with respect to its Units for a taxable year is greater (on a per Unit basis) than the amount of cash or the Net Agreed Value of property distributed to the other Unitholders with respect to their Units (on a per Unit basis), then (1) each Unitholder receiving such greater cash or property distribution shall be allocated gross income and gain in an amount equal to the product of (aa) the amount by which the distribution (on a per Unit basis) to such Unitholder exceeds the distribution (on a per Unit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basis) to the Unitholders receiving the smallest distribution and (bb) the number of Units owned by the Unitholder receiving the greater distribution; and (2) the General Partner shall be allocated gross income and gain in an aggregate amount equal to the product obtained by multiplying (aa) the quotient determined by dividing (x) the General Partner’s Percentage Interest at the time in which the greater cash or property distribution occurs, times (bb) the sum of the amounts allocated in clause (1) above by (y) the sum of 100 less the General Partner’s Percentage Interest at the time in which the greater cash or property distribution occurs. </w:t>
      </w:r>
    </w:p>
    <w:p>
      <w:pPr>
        <w:pStyle w:val="TextBody"/>
        <w:bidi w:val="0"/>
        <w:spacing w:before="120" w:after="0"/>
        <w:jc w:val="left"/>
        <w:rPr>
          <w:rFonts w:ascii="Times New Roman" w:hAnsi="Times New Roman"/>
          <w:sz w:val="20"/>
        </w:rPr>
      </w:pPr>
      <w:r>
        <w:rPr>
          <w:rFonts w:ascii="Times New Roman" w:hAnsi="Times New Roman"/>
          <w:sz w:val="20"/>
        </w:rPr>
        <w:t xml:space="preserve">(xii) </w:t>
      </w:r>
      <w:r>
        <w:rPr>
          <w:rFonts w:ascii="Times New Roman" w:hAnsi="Times New Roman"/>
          <w:i/>
          <w:sz w:val="20"/>
        </w:rPr>
        <w:t>ETP Holdco Allocations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Class B Units shall not be entitled to receive any allocation of any ETP Holdco Items, and such ETP Holdco Items (which shall not be included in the computation of Net Income, Net Loss, Net Termination Gain or Net Termination Loss for any taxable year while any Class B Units remain Outstanding) shall instead be specifically allocated to the Unitholders (other than the holders of Class B Units), Pro Rata. </w:t>
      </w:r>
    </w:p>
    <w:p>
      <w:pPr>
        <w:pStyle w:val="TextBody"/>
        <w:bidi w:val="0"/>
        <w:spacing w:before="120" w:after="0"/>
        <w:jc w:val="left"/>
        <w:rPr>
          <w:rFonts w:ascii="Times New Roman" w:hAnsi="Times New Roman"/>
          <w:sz w:val="20"/>
        </w:rPr>
      </w:pPr>
      <w:r>
        <w:rPr>
          <w:rFonts w:ascii="Times New Roman" w:hAnsi="Times New Roman"/>
          <w:sz w:val="20"/>
        </w:rPr>
        <w:t xml:space="preserve">(B) For the purposes of effectuating the intent of </w:t>
      </w:r>
      <w:r>
        <w:rPr>
          <w:rFonts w:ascii="Times New Roman" w:hAnsi="Times New Roman"/>
          <w:sz w:val="20"/>
          <w:u w:val="single"/>
        </w:rPr>
        <w:t>Section 6.1(d)(x)</w:t>
      </w:r>
      <w:r>
        <w:rPr>
          <w:rFonts w:ascii="Times New Roman" w:hAnsi="Times New Roman"/>
          <w:sz w:val="20"/>
        </w:rPr>
        <w:t xml:space="preserve">, the General Partner may make special allocations of items of Partnership gross income, gain, loss or deductions among the Unitholders as it deems reasonable. </w:t>
      </w:r>
    </w:p>
    <w:p>
      <w:pPr>
        <w:pStyle w:val="TextBody"/>
        <w:bidi w:val="0"/>
        <w:spacing w:before="120" w:after="0"/>
        <w:jc w:val="left"/>
        <w:rPr>
          <w:rFonts w:ascii="Times New Roman" w:hAnsi="Times New Roman"/>
          <w:sz w:val="20"/>
        </w:rPr>
      </w:pPr>
      <w:r>
        <w:rPr>
          <w:rFonts w:ascii="Times New Roman" w:hAnsi="Times New Roman"/>
          <w:sz w:val="20"/>
        </w:rPr>
        <w:t xml:space="preserve">(xiii) </w:t>
      </w:r>
      <w:r>
        <w:rPr>
          <w:rFonts w:ascii="Times New Roman" w:hAnsi="Times New Roman"/>
          <w:i/>
          <w:sz w:val="20"/>
        </w:rPr>
        <w:t>Series H Preferred Unit Issuance Premium Allocation</w:t>
      </w:r>
      <w:r>
        <w:rPr>
          <w:rFonts w:ascii="Times New Roman" w:hAnsi="Times New Roman"/>
          <w:sz w:val="20"/>
        </w:rPr>
        <w:t xml:space="preserve">. Income of the Partnership attributable to the issuance by the Partnership of a Series H Preferred Unit for an amount in excess of the Series H Liquidation Preference shall be allocated to the Unitholders (other than Series H Holders) in accordance with their respective Percentage Interests. </w:t>
      </w:r>
    </w:p>
    <w:p>
      <w:pPr>
        <w:pStyle w:val="TextBody"/>
        <w:bidi w:val="0"/>
        <w:spacing w:before="120" w:after="0"/>
        <w:jc w:val="left"/>
        <w:rPr>
          <w:rFonts w:ascii="Times New Roman" w:hAnsi="Times New Roman"/>
          <w:sz w:val="20"/>
        </w:rPr>
      </w:pPr>
      <w:r>
        <w:rPr>
          <w:rFonts w:ascii="Times New Roman" w:hAnsi="Times New Roman"/>
          <w:sz w:val="20"/>
        </w:rPr>
        <w:t xml:space="preserve">(xiv) </w:t>
      </w:r>
      <w:r>
        <w:rPr>
          <w:rFonts w:ascii="Times New Roman" w:hAnsi="Times New Roman"/>
          <w:i/>
          <w:sz w:val="20"/>
        </w:rPr>
        <w:t>Gross Income Allocation with Respect to Series I Preferred Units</w:t>
      </w:r>
      <w:r>
        <w:rPr>
          <w:rFonts w:ascii="Times New Roman" w:hAnsi="Times New Roman"/>
          <w:sz w:val="20"/>
        </w:rPr>
        <w:t xml:space="preserve">. Items of Partnership gross income shall be allocated to the Series I Holders in amounts equal to the amount of cash actually distributed in respect of each such Series I Holder’s Series I Preferred Units, until the aggregate amount of such items allocated pursuant to this sentence for the current taxable period and all previous taxable periods is equal to the cumulative amount of all cash distributions made to the Series I Holders pursuant to </w:t>
      </w:r>
      <w:r>
        <w:rPr>
          <w:rFonts w:ascii="Times New Roman" w:hAnsi="Times New Roman"/>
          <w:sz w:val="20"/>
          <w:u w:val="single"/>
        </w:rPr>
        <w:t>Section 5.15(c)(i)</w:t>
      </w:r>
      <w:r>
        <w:rPr>
          <w:rFonts w:ascii="Times New Roman" w:hAnsi="Times New Roman"/>
          <w:sz w:val="20"/>
        </w:rPr>
        <w:t xml:space="preserve">. Unless otherwise required by applicable law, the Partnership agrees that it will not treat a distribution with respect to the Series I Preferred Units as a guaranteed payment.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Allocations for Tax Purposes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as otherwise provided herein, for federal income tax purposes, each item of income, gain, loss and deduction shall be allocated among the Partners in the same manner as its correlative item of “</w:t>
      </w:r>
      <w:r>
        <w:rPr>
          <w:rFonts w:ascii="Times New Roman" w:hAnsi="Times New Roman"/>
          <w:i/>
          <w:sz w:val="20"/>
        </w:rPr>
        <w:t>book</w:t>
      </w:r>
      <w:r>
        <w:rPr>
          <w:rFonts w:ascii="Times New Roman" w:hAnsi="Times New Roman"/>
          <w:sz w:val="20"/>
        </w:rPr>
        <w:t xml:space="preserve">” income, gain, loss or deduction is allocated pursuant to </w:t>
      </w:r>
      <w:r>
        <w:rPr>
          <w:rFonts w:ascii="Times New Roman" w:hAnsi="Times New Roman"/>
          <w:sz w:val="20"/>
          <w:u w:val="single"/>
        </w:rPr>
        <w:t>Section 6.1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an attempt to eliminate Book-Tax Disparities attributable to a Contributed Property or Adjusted Property, items of income, gain, loss, depreciation, amortization and cost recovery deductions shall be allocated for federal income tax purposes among the Partners as follows: </w:t>
      </w:r>
    </w:p>
    <w:p>
      <w:pPr>
        <w:pStyle w:val="TextBody"/>
        <w:bidi w:val="0"/>
        <w:spacing w:before="120" w:after="0"/>
        <w:jc w:val="left"/>
        <w:rPr>
          <w:rFonts w:ascii="Times New Roman" w:hAnsi="Times New Roman"/>
          <w:sz w:val="20"/>
        </w:rPr>
      </w:pPr>
      <w:r>
        <w:rPr>
          <w:rFonts w:ascii="Times New Roman" w:hAnsi="Times New Roman"/>
          <w:sz w:val="20"/>
        </w:rPr>
        <w:t>(i) (A) In the case of a Contributed Property, such items attributable thereto shall be allocated among the Partners in the manner provided under Section 704(c) of the Code that takes into account the variation between the Agreed Value of such property and its adjusted basis at the time of contribution; and (B) any item of Residual Gain or Residual Loss attributable to a Contributed Property shall be allocated among the Partners in the same manner as its correlative item of “</w:t>
      </w:r>
      <w:r>
        <w:rPr>
          <w:rFonts w:ascii="Times New Roman" w:hAnsi="Times New Roman"/>
          <w:i/>
          <w:sz w:val="20"/>
        </w:rPr>
        <w:t>book</w:t>
      </w:r>
      <w:r>
        <w:rPr>
          <w:rFonts w:ascii="Times New Roman" w:hAnsi="Times New Roman"/>
          <w:sz w:val="20"/>
        </w:rPr>
        <w:t xml:space="preserve">” gain or loss is allocated pursuant to </w:t>
      </w:r>
      <w:r>
        <w:rPr>
          <w:rFonts w:ascii="Times New Roman" w:hAnsi="Times New Roman"/>
          <w:sz w:val="20"/>
          <w:u w:val="single"/>
        </w:rPr>
        <w:t>Section 6.1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 In the case of an Adjusted Property, such items shall (1) first, be allocated among the Partners in a manner consistent with the principles of Section 704(c) of the Code to take into account the Unrealized Gain or Unrealized Loss attributable to such property and the allocations thereof pursuant to </w:t>
      </w:r>
      <w:r>
        <w:rPr>
          <w:rFonts w:ascii="Times New Roman" w:hAnsi="Times New Roman"/>
          <w:sz w:val="20"/>
          <w:u w:val="single"/>
        </w:rPr>
        <w:t>Section 5.5(d)(i)</w:t>
      </w:r>
      <w:r>
        <w:rPr>
          <w:rFonts w:ascii="Times New Roman" w:hAnsi="Times New Roman"/>
          <w:sz w:val="20"/>
        </w:rPr>
        <w:t xml:space="preserve"> or </w:t>
      </w:r>
      <w:r>
        <w:rPr>
          <w:rFonts w:ascii="Times New Roman" w:hAnsi="Times New Roman"/>
          <w:sz w:val="20"/>
          <w:u w:val="single"/>
        </w:rPr>
        <w:t>Section 5.5(d)(ii)</w:t>
      </w:r>
      <w:r>
        <w:rPr>
          <w:rFonts w:ascii="Times New Roman" w:hAnsi="Times New Roman"/>
          <w:sz w:val="20"/>
        </w:rPr>
        <w:t xml:space="preserve">, and (2) second, in the event such property was originally a Contributed Property, be allocated among the Partners in a manner consistent with </w:t>
      </w:r>
      <w:r>
        <w:rPr>
          <w:rFonts w:ascii="Times New Roman" w:hAnsi="Times New Roman"/>
          <w:sz w:val="20"/>
          <w:u w:val="single"/>
        </w:rPr>
        <w:t>Section 6.2(b)(i)(A)</w:t>
      </w:r>
      <w:r>
        <w:rPr>
          <w:rFonts w:ascii="Times New Roman" w:hAnsi="Times New Roman"/>
          <w:sz w:val="20"/>
        </w:rPr>
        <w:t>; and (B) any item of Residual Gain or Residual Loss attributable to an Adjusted Property shall be allocated among the Partners in the same manner as its correlative item of “</w:t>
      </w:r>
      <w:r>
        <w:rPr>
          <w:rFonts w:ascii="Times New Roman" w:hAnsi="Times New Roman"/>
          <w:i/>
          <w:sz w:val="20"/>
        </w:rPr>
        <w:t>book</w:t>
      </w:r>
      <w:r>
        <w:rPr>
          <w:rFonts w:ascii="Times New Roman" w:hAnsi="Times New Roman"/>
          <w:sz w:val="20"/>
        </w:rPr>
        <w:t xml:space="preserve">” gain or loss is allocated pursuant to </w:t>
      </w:r>
      <w:r>
        <w:rPr>
          <w:rFonts w:ascii="Times New Roman" w:hAnsi="Times New Roman"/>
          <w:sz w:val="20"/>
          <w:u w:val="single"/>
        </w:rPr>
        <w:t>Section 6.1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The General Partner shall apply the principles of Treasury Regulation Section 1.704-3(d) to eliminate Book-Tax Disparities, except as otherwise determined by the General Partner with respect to goodwill. </w:t>
      </w:r>
    </w:p>
    <w:p>
      <w:pPr>
        <w:pStyle w:val="TextBody"/>
        <w:bidi w:val="0"/>
        <w:spacing w:before="240" w:after="0"/>
        <w:jc w:val="left"/>
        <w:rPr>
          <w:rFonts w:ascii="Times New Roman" w:hAnsi="Times New Roman"/>
          <w:sz w:val="20"/>
        </w:rPr>
      </w:pPr>
      <w:r>
        <w:rPr>
          <w:rFonts w:ascii="Times New Roman" w:hAnsi="Times New Roman"/>
          <w:sz w:val="20"/>
        </w:rPr>
        <w:t xml:space="preserve">(c) For the proper administration of the Partnership and for the preservation of uniformity of the Limited Partner Interests (or any class or classes thereof), the General Partner shall (i) adopt such conventions as it deems appropriate in determining the amount of depreciation, amortization and cost recovery deductions; (ii) make special allocations for federal income tax purposes of income (including, without limitation, gross income) or deductions; and (iii) amend the provisions of this Agreement as appropriate (x) to reflect the proposal or promulgation of Treasury Regulations under Section 704(b) or Section 704(c) of the Code or (y) otherwise to preserve or achieve uniformity of the Limited Partner Interests (or any class or classes thereof). The General Partner may adopt such conventions, make such allocations and make such amendments to this Agreement as provided in this </w:t>
      </w:r>
      <w:r>
        <w:rPr>
          <w:rFonts w:ascii="Times New Roman" w:hAnsi="Times New Roman"/>
          <w:sz w:val="20"/>
          <w:u w:val="single"/>
        </w:rPr>
        <w:t>Section 6.2(c)</w:t>
      </w:r>
      <w:r>
        <w:rPr>
          <w:rFonts w:ascii="Times New Roman" w:hAnsi="Times New Roman"/>
          <w:sz w:val="20"/>
        </w:rPr>
        <w:t xml:space="preserve"> only if such conventions, allocations or amendments would not have a material adverse effect on the Partners, the holders of any class or classes of Limited Partner Interests issued and Outstanding or the Partnership, and if such allocations are consistent with the principles of Section 704 of the Code. </w:t>
      </w:r>
    </w:p>
    <w:p>
      <w:pPr>
        <w:pStyle w:val="TextBody"/>
        <w:bidi w:val="0"/>
        <w:spacing w:before="240" w:after="0"/>
        <w:jc w:val="left"/>
        <w:rPr>
          <w:rFonts w:ascii="Times New Roman" w:hAnsi="Times New Roman"/>
          <w:sz w:val="20"/>
        </w:rPr>
      </w:pPr>
      <w:r>
        <w:rPr>
          <w:rFonts w:ascii="Times New Roman" w:hAnsi="Times New Roman"/>
          <w:sz w:val="20"/>
        </w:rPr>
        <w:t xml:space="preserve">(d) The General Partner may determine to depreciate or amortize the portion of an adjustment under Section 743(b) of the Code attributable to unrealized appreciation in any Adjusted Property (to the extent of the unamortized Book-Tax Disparity) using a predetermined rate derived from the depreciation or amortization method and useful life applied to the Partnership’s common basis of such property, despite any inconsistency of such approach with Treasury Regulation Section 1.167(c)-1(a)(6) or any successor regulations thereto. If the General Partner determines that such reporting position cannot reasonably be taken, the General Partner may adopt depreciation and amortization conventions under which all purchasers acquiring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Limited Partner Interests in the same month would receive depreciation and amortization deductions, based upon the same applicable rate as if they had purchased a direct interest in the Partnership’s property. If the General Partner chooses not to utilize such aggregate method, the General Partner may use any other depreciation and amortization conventions to preserve the uniformity of the intrinsic tax characteristics of any Limited Partner Interests, so long as such conventions would not have a material adverse effect on the Limited Partners or the Record Holders of any class or classes of Limited Partner Interests. </w:t>
      </w:r>
    </w:p>
    <w:p>
      <w:pPr>
        <w:pStyle w:val="TextBody"/>
        <w:bidi w:val="0"/>
        <w:spacing w:before="240" w:after="0"/>
        <w:jc w:val="left"/>
        <w:rPr>
          <w:rFonts w:ascii="Times New Roman" w:hAnsi="Times New Roman"/>
          <w:sz w:val="20"/>
        </w:rPr>
      </w:pPr>
      <w:r>
        <w:rPr>
          <w:rFonts w:ascii="Times New Roman" w:hAnsi="Times New Roman"/>
          <w:sz w:val="20"/>
        </w:rPr>
        <w:t xml:space="preserve">(e) Any gain allocated to the Partners upon the sale or other taxable disposition of any Partnership asset shall, to the extent possible, after taking into account other required allocations of gain pursuant to this </w:t>
      </w:r>
      <w:r>
        <w:rPr>
          <w:rFonts w:ascii="Times New Roman" w:hAnsi="Times New Roman"/>
          <w:sz w:val="20"/>
          <w:u w:val="single"/>
        </w:rPr>
        <w:t>Section 6.2</w:t>
      </w:r>
      <w:r>
        <w:rPr>
          <w:rFonts w:ascii="Times New Roman" w:hAnsi="Times New Roman"/>
          <w:sz w:val="20"/>
        </w:rPr>
        <w:t xml:space="preserve">, be characterized as Recapture Income in the same proportions and to the same extent as such Partners (or their predecessors in interest) have been allocated any deductions directly or indirectly giving rise to the treatment of such gains as Recapture Income. </w:t>
      </w:r>
    </w:p>
    <w:p>
      <w:pPr>
        <w:pStyle w:val="TextBody"/>
        <w:bidi w:val="0"/>
        <w:spacing w:before="240" w:after="0"/>
        <w:jc w:val="left"/>
        <w:rPr>
          <w:rFonts w:ascii="Times New Roman" w:hAnsi="Times New Roman"/>
          <w:sz w:val="20"/>
        </w:rPr>
      </w:pPr>
      <w:r>
        <w:rPr>
          <w:rFonts w:ascii="Times New Roman" w:hAnsi="Times New Roman"/>
          <w:sz w:val="20"/>
        </w:rPr>
        <w:t xml:space="preserve">(f) All items of income, gain, loss, deduction and credit recognized by the Partnership for federal income tax purposes and allocated to the Partners in accordance with the provisions hereof shall be determined without regard to any election under Section 754 of the Code which may be made by the Partnership;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such allocations, once made, shall be adjusted (in the manner determined by the General Partner) to take into account those adjustments permitted or required by Sections 734 and 743 of the Code. </w:t>
      </w:r>
    </w:p>
    <w:p>
      <w:pPr>
        <w:pStyle w:val="TextBody"/>
        <w:bidi w:val="0"/>
        <w:spacing w:before="240" w:after="0"/>
        <w:jc w:val="left"/>
        <w:rPr>
          <w:rFonts w:ascii="Times New Roman" w:hAnsi="Times New Roman"/>
          <w:sz w:val="20"/>
        </w:rPr>
      </w:pPr>
      <w:r>
        <w:rPr>
          <w:rFonts w:ascii="Times New Roman" w:hAnsi="Times New Roman"/>
          <w:sz w:val="20"/>
        </w:rPr>
        <w:t xml:space="preserve">(g) Each item of Partnership income, gain, loss and deduction, shall for federal income tax purposes, be determined on an annual basis and prorated on a monthly basis and shall be allocated to the Partners as of the opening of the National Securities Exchange on which the Units are then traded on the first Business Day of each month;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 such items for the period beginning on the Closing Date and ending on the last day of the month in which the Option Closing Date or the expiration of the Over-Allotment Option occurs shall be allocated to the Partners as of the opening of the National Securities Exchange on the first Business Day of the next succeeding month; and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gain or loss on a sale or other disposition of any assets of the Partnership or any other extraordinary item of income or loss realized and recognized other than in the ordinary course of business, as determined by the General Partner in its sole discretion, shall be allocated to the Partners as of the opening of the National Securities Exchange on the first Business Day of the month in which such gain or loss is recognized for federal income tax purposes. The General Partner may revise, alter or otherwise modify such methods of allocation to the extent permitted or required by Section 706 of the Code and the regulations or rulings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(h) Allocations that would otherwise be made to a Limited Partner under the provisions of this </w:t>
      </w:r>
      <w:r>
        <w:rPr>
          <w:rFonts w:ascii="Times New Roman" w:hAnsi="Times New Roman"/>
          <w:sz w:val="20"/>
          <w:u w:val="single"/>
        </w:rPr>
        <w:t>Article VI</w:t>
      </w:r>
      <w:r>
        <w:rPr>
          <w:rFonts w:ascii="Times New Roman" w:hAnsi="Times New Roman"/>
          <w:sz w:val="20"/>
        </w:rPr>
        <w:t xml:space="preserve"> shall instead be made to the beneficial owner of Limited Partner Interests held by a nominee in any case in which the nominee has furnished the identity of such owner to the Partnership in accordance with Section 6031(c) of the Code or any other method determined by the General Partner.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If Capital Account balances are reallocated between the Partners in accordance with </w:t>
      </w:r>
      <w:r>
        <w:rPr>
          <w:rFonts w:ascii="Times New Roman" w:hAnsi="Times New Roman"/>
          <w:sz w:val="20"/>
          <w:u w:val="single"/>
        </w:rPr>
        <w:t>Section 5.5(d)(i)</w:t>
      </w:r>
      <w:r>
        <w:rPr>
          <w:rFonts w:ascii="Times New Roman" w:hAnsi="Times New Roman"/>
          <w:sz w:val="20"/>
        </w:rPr>
        <w:t xml:space="preserve"> hereof and Proposed Treasury Regulation Section 1.704-1(b)(2)(iv)(s)(4), beginning with the year of reallocation and continuing until the allocations required are fully taken into account, the Partnership shall make corrective allocations (allocations of items of gross income or gain or loss or deduction for federal income tax purposes that do not have a corresponding book allocation) to take into account the Capital Account reallocation, as provided in Proposed Treasury Regulation Section 1.704-1(b)(4)(x).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Requirement and Characterization of Distributions; Distributions to Record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Within 50 calendar days following the end of each Quarter (or the Business Day immediately thereafter), an amount equal to 100% of Available Cash with respect to such Quarter shall, subject to Section 153.210 of the Texas Limited Partnership Law, be distributed in accordance with this </w:t>
      </w:r>
      <w:r>
        <w:rPr>
          <w:rFonts w:ascii="Times New Roman" w:hAnsi="Times New Roman"/>
          <w:sz w:val="20"/>
          <w:u w:val="single"/>
        </w:rPr>
        <w:t>Article VI</w:t>
      </w:r>
      <w:r>
        <w:rPr>
          <w:rFonts w:ascii="Times New Roman" w:hAnsi="Times New Roman"/>
          <w:sz w:val="20"/>
        </w:rPr>
        <w:t xml:space="preserve"> by the Partnership to the Partners as of the Record Date selected by the General Partner. All Available Cash shall be distributed to all Partners in accordance with their Percentage Interests, except as otherwise required by </w:t>
      </w:r>
      <w:r>
        <w:rPr>
          <w:rFonts w:ascii="Times New Roman" w:hAnsi="Times New Roman"/>
          <w:sz w:val="20"/>
          <w:u w:val="single"/>
        </w:rPr>
        <w:t>Section 5.11(b)(ii)</w:t>
      </w:r>
      <w:r>
        <w:rPr>
          <w:rFonts w:ascii="Times New Roman" w:hAnsi="Times New Roman"/>
          <w:sz w:val="20"/>
        </w:rPr>
        <w:t xml:space="preserve">, </w:t>
      </w:r>
      <w:r>
        <w:rPr>
          <w:rFonts w:ascii="Times New Roman" w:hAnsi="Times New Roman"/>
          <w:sz w:val="20"/>
          <w:u w:val="single"/>
        </w:rPr>
        <w:t>Section 5.12(b)(ii)</w:t>
      </w:r>
      <w:r>
        <w:rPr>
          <w:rFonts w:ascii="Times New Roman" w:hAnsi="Times New Roman"/>
          <w:sz w:val="20"/>
        </w:rPr>
        <w:t xml:space="preserve">, </w:t>
      </w:r>
      <w:r>
        <w:rPr>
          <w:rFonts w:ascii="Times New Roman" w:hAnsi="Times New Roman"/>
          <w:sz w:val="20"/>
          <w:u w:val="single"/>
        </w:rPr>
        <w:t>Section 5.13(b)(iii)</w:t>
      </w:r>
      <w:r>
        <w:rPr>
          <w:rFonts w:ascii="Times New Roman" w:hAnsi="Times New Roman"/>
          <w:sz w:val="20"/>
        </w:rPr>
        <w:t xml:space="preserve">, </w:t>
      </w:r>
      <w:r>
        <w:rPr>
          <w:rFonts w:ascii="Times New Roman" w:hAnsi="Times New Roman"/>
          <w:sz w:val="20"/>
          <w:u w:val="single"/>
        </w:rPr>
        <w:t>Section 5.14(b)(ii)</w:t>
      </w:r>
      <w:r>
        <w:rPr>
          <w:rFonts w:ascii="Times New Roman" w:hAnsi="Times New Roman"/>
          <w:sz w:val="20"/>
        </w:rPr>
        <w:t xml:space="preserve"> and </w:t>
      </w:r>
      <w:r>
        <w:rPr>
          <w:rFonts w:ascii="Times New Roman" w:hAnsi="Times New Roman"/>
          <w:sz w:val="20"/>
          <w:u w:val="single"/>
        </w:rPr>
        <w:t>Section 5.15(c)(i)</w:t>
      </w:r>
      <w:r>
        <w:rPr>
          <w:rFonts w:ascii="Times New Roman" w:hAnsi="Times New Roman"/>
          <w:sz w:val="20"/>
        </w:rPr>
        <w:t xml:space="preserve"> or </w:t>
      </w:r>
      <w:r>
        <w:rPr>
          <w:rFonts w:ascii="Times New Roman" w:hAnsi="Times New Roman"/>
          <w:sz w:val="20"/>
          <w:u w:val="single"/>
        </w:rPr>
        <w:t>Section 5.6(b)</w:t>
      </w:r>
      <w:r>
        <w:rPr>
          <w:rFonts w:ascii="Times New Roman" w:hAnsi="Times New Roman"/>
          <w:sz w:val="20"/>
        </w:rPr>
        <w:t xml:space="preserve"> in respect of additional Partnership Securities issued pursuant thereto. All distributions required to be made under this Agreement shall be made subject to Section 153.210 of the Texas Limited Partnership Law.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w:t>
      </w:r>
      <w:r>
        <w:rPr>
          <w:rFonts w:ascii="Times New Roman" w:hAnsi="Times New Roman"/>
          <w:sz w:val="20"/>
          <w:u w:val="single"/>
        </w:rPr>
        <w:t>Section 6.3(a)</w:t>
      </w:r>
      <w:r>
        <w:rPr>
          <w:rFonts w:ascii="Times New Roman" w:hAnsi="Times New Roman"/>
          <w:sz w:val="20"/>
        </w:rPr>
        <w:t xml:space="preserve">, in the event of the dissolution and liquidation of the Partnership, all receipts received during or after the Quarter in which the Liquidation Date occurs shall be applied and distributed solely in accordance with, and subject to the terms and conditions of, </w:t>
      </w:r>
      <w:r>
        <w:rPr>
          <w:rFonts w:ascii="Times New Roman" w:hAnsi="Times New Roman"/>
          <w:sz w:val="20"/>
          <w:u w:val="single"/>
        </w:rPr>
        <w:t>Section 12.4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The General Partner may treat taxes paid by the Partnership on behalf of, or amounts withheld with respect to, all or less than all of the Partners, as a distribution of Available Cash to such Partners. </w:t>
      </w:r>
    </w:p>
    <w:p>
      <w:pPr>
        <w:pStyle w:val="TextBody"/>
        <w:bidi w:val="0"/>
        <w:spacing w:before="240" w:after="0"/>
        <w:jc w:val="left"/>
        <w:rPr>
          <w:rFonts w:ascii="Times New Roman" w:hAnsi="Times New Roman"/>
          <w:sz w:val="20"/>
        </w:rPr>
      </w:pPr>
      <w:r>
        <w:rPr>
          <w:rFonts w:ascii="Times New Roman" w:hAnsi="Times New Roman"/>
          <w:sz w:val="20"/>
        </w:rPr>
        <w:t xml:space="preserve">(d) Each distribution in respect of a Partnership Interest shall be paid by the Partnership, directly or through the Transfer Agent or through any other Person or agent, only to the Record Holder of such Partnership Interest as of the Record Date set for such distribution. Such payment shall constitute full payment and satisfaction of the Partnership’s liability in respect of such payment, regardless of any claim of any Person who may have an interest in such payment by reason of an assignment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Special Provisions Relating to Preferred Unitholders</w:t>
      </w:r>
      <w:r>
        <w:rPr>
          <w:rFonts w:ascii="Times New Roman" w:hAnsi="Times New Roman"/>
          <w:sz w:val="20"/>
        </w:rPr>
        <w:t xml:space="preserve">. Notwithstanding anything to the contrary set forth in this Agreement, the holders of the Series B Preferred Units, Series G Preferred Units, Series H Preferred Units and Series I Preferred Units (a) shall (i) possess the rights and obligations provided in this Agreement with respect to a Limited Partner pursuant to </w:t>
      </w:r>
      <w:r>
        <w:rPr>
          <w:rFonts w:ascii="Times New Roman" w:hAnsi="Times New Roman"/>
          <w:sz w:val="20"/>
          <w:u w:val="single"/>
        </w:rPr>
        <w:t>Article III</w:t>
      </w:r>
      <w:r>
        <w:rPr>
          <w:rFonts w:ascii="Times New Roman" w:hAnsi="Times New Roman"/>
          <w:sz w:val="20"/>
        </w:rPr>
        <w:t xml:space="preserve"> and </w:t>
      </w:r>
      <w:r>
        <w:rPr>
          <w:rFonts w:ascii="Times New Roman" w:hAnsi="Times New Roman"/>
          <w:sz w:val="20"/>
          <w:u w:val="single"/>
        </w:rPr>
        <w:t>Article VII</w:t>
      </w:r>
      <w:r>
        <w:rPr>
          <w:rFonts w:ascii="Times New Roman" w:hAnsi="Times New Roman"/>
          <w:sz w:val="20"/>
        </w:rPr>
        <w:t xml:space="preserve"> and (ii) have a Capital Account as a Partner pursuant to </w:t>
      </w:r>
      <w:r>
        <w:rPr>
          <w:rFonts w:ascii="Times New Roman" w:hAnsi="Times New Roman"/>
          <w:sz w:val="20"/>
          <w:u w:val="single"/>
        </w:rPr>
        <w:t>Section 5.5</w:t>
      </w:r>
      <w:r>
        <w:rPr>
          <w:rFonts w:ascii="Times New Roman" w:hAnsi="Times New Roman"/>
          <w:sz w:val="20"/>
        </w:rPr>
        <w:t xml:space="preserve"> and all other provisions related thereto and (b) shall not (i) be entitled to vote on any matters requiring the approval or vote of the holders of Outstanding Units, except as provided in </w:t>
      </w:r>
      <w:r>
        <w:rPr>
          <w:rFonts w:ascii="Times New Roman" w:hAnsi="Times New Roman"/>
          <w:sz w:val="20"/>
          <w:u w:val="single"/>
        </w:rPr>
        <w:t>Sections 5.11(b)(iii)</w:t>
      </w:r>
      <w:r>
        <w:rPr>
          <w:rFonts w:ascii="Times New Roman" w:hAnsi="Times New Roman"/>
          <w:sz w:val="20"/>
        </w:rPr>
        <w:t xml:space="preserve">, </w:t>
      </w:r>
      <w:r>
        <w:rPr>
          <w:rFonts w:ascii="Times New Roman" w:hAnsi="Times New Roman"/>
          <w:sz w:val="20"/>
          <w:u w:val="single"/>
        </w:rPr>
        <w:t>5.12(b)(iii)</w:t>
      </w:r>
      <w:r>
        <w:rPr>
          <w:rFonts w:ascii="Times New Roman" w:hAnsi="Times New Roman"/>
          <w:sz w:val="20"/>
        </w:rPr>
        <w:t xml:space="preserve">, </w:t>
      </w:r>
      <w:r>
        <w:rPr>
          <w:rFonts w:ascii="Times New Roman" w:hAnsi="Times New Roman"/>
          <w:sz w:val="20"/>
          <w:u w:val="single"/>
        </w:rPr>
        <w:t>5.14(b)(iii)</w:t>
      </w:r>
      <w:r>
        <w:rPr>
          <w:rFonts w:ascii="Times New Roman" w:hAnsi="Times New Roman"/>
          <w:sz w:val="20"/>
        </w:rPr>
        <w:t xml:space="preserve"> and </w:t>
      </w:r>
      <w:r>
        <w:rPr>
          <w:rFonts w:ascii="Times New Roman" w:hAnsi="Times New Roman"/>
          <w:sz w:val="20"/>
          <w:u w:val="single"/>
        </w:rPr>
        <w:t>5.15(d)</w:t>
      </w:r>
      <w:r>
        <w:rPr>
          <w:rFonts w:ascii="Times New Roman" w:hAnsi="Times New Roman"/>
          <w:sz w:val="20"/>
        </w:rPr>
        <w:t xml:space="preserve"> or as required by applicable law, or (ii) be entitled to any distributions other than as provided in </w:t>
      </w:r>
      <w:r>
        <w:rPr>
          <w:rFonts w:ascii="Times New Roman" w:hAnsi="Times New Roman"/>
          <w:sz w:val="20"/>
          <w:u w:val="single"/>
        </w:rPr>
        <w:t>Sections 5.11(b)(ii)</w:t>
      </w:r>
      <w:r>
        <w:rPr>
          <w:rFonts w:ascii="Times New Roman" w:hAnsi="Times New Roman"/>
          <w:sz w:val="20"/>
        </w:rPr>
        <w:t xml:space="preserve">, </w:t>
      </w:r>
      <w:r>
        <w:rPr>
          <w:rFonts w:ascii="Times New Roman" w:hAnsi="Times New Roman"/>
          <w:sz w:val="20"/>
          <w:u w:val="single"/>
        </w:rPr>
        <w:t>5.12(b)(ii)</w:t>
      </w:r>
      <w:r>
        <w:rPr>
          <w:rFonts w:ascii="Times New Roman" w:hAnsi="Times New Roman"/>
          <w:sz w:val="20"/>
        </w:rPr>
        <w:t xml:space="preserve">, </w:t>
      </w:r>
      <w:r>
        <w:rPr>
          <w:rFonts w:ascii="Times New Roman" w:hAnsi="Times New Roman"/>
          <w:sz w:val="20"/>
          <w:u w:val="single"/>
        </w:rPr>
        <w:t>5.13(b)(iii)</w:t>
      </w:r>
      <w:r>
        <w:rPr>
          <w:rFonts w:ascii="Times New Roman" w:hAnsi="Times New Roman"/>
          <w:sz w:val="20"/>
        </w:rPr>
        <w:t xml:space="preserve">, </w:t>
      </w:r>
      <w:r>
        <w:rPr>
          <w:rFonts w:ascii="Times New Roman" w:hAnsi="Times New Roman"/>
          <w:sz w:val="20"/>
          <w:u w:val="single"/>
        </w:rPr>
        <w:t>5.14(b)(ii)</w:t>
      </w:r>
      <w:r>
        <w:rPr>
          <w:rFonts w:ascii="Times New Roman" w:hAnsi="Times New Roman"/>
          <w:sz w:val="20"/>
        </w:rPr>
        <w:t xml:space="preserve">, </w:t>
      </w:r>
      <w:r>
        <w:rPr>
          <w:rFonts w:ascii="Times New Roman" w:hAnsi="Times New Roman"/>
          <w:sz w:val="20"/>
          <w:u w:val="single"/>
        </w:rPr>
        <w:t>5.15(b)(iv)</w:t>
      </w:r>
      <w:r>
        <w:rPr>
          <w:rFonts w:ascii="Times New Roman" w:hAnsi="Times New Roman"/>
          <w:sz w:val="20"/>
        </w:rPr>
        <w:t xml:space="preserve">, </w:t>
      </w:r>
      <w:r>
        <w:rPr>
          <w:rFonts w:ascii="Times New Roman" w:hAnsi="Times New Roman"/>
          <w:sz w:val="20"/>
          <w:u w:val="single"/>
        </w:rPr>
        <w:t>5.15(c)</w:t>
      </w:r>
      <w:r>
        <w:rPr>
          <w:rFonts w:ascii="Times New Roman" w:hAnsi="Times New Roman"/>
          <w:sz w:val="20"/>
        </w:rPr>
        <w:t xml:space="preserve"> and </w:t>
      </w:r>
      <w:r>
        <w:rPr>
          <w:rFonts w:ascii="Times New Roman" w:hAnsi="Times New Roman"/>
          <w:sz w:val="20"/>
          <w:u w:val="single"/>
        </w:rPr>
        <w:t>5.15(g)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MANAGEMENT AND OPERATION OF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Management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General Partner shall conduct, direct and manage all activities of the Partnership. Except as otherwise expressly provided in this Agreement, all management powers over the business and affairs of the Partnership shall be exclusively vested in the General Partner, and no Limited Partner or Assignee shall have any management power over the business and affairs of the Partnership. In addition to the powers now or hereafter granted a general partner of a limited partnership under applicable law or that are granted to the General Partner under any other provision of this Agreement, the General Partner, subject to </w:t>
      </w:r>
      <w:r>
        <w:rPr>
          <w:rFonts w:ascii="Times New Roman" w:hAnsi="Times New Roman"/>
          <w:sz w:val="20"/>
          <w:u w:val="single"/>
        </w:rPr>
        <w:t>Section 7.3</w:t>
      </w:r>
      <w:r>
        <w:rPr>
          <w:rFonts w:ascii="Times New Roman" w:hAnsi="Times New Roman"/>
          <w:sz w:val="20"/>
        </w:rPr>
        <w:t xml:space="preserve">, shall have full power and authority to do all things and on such terms as it determines to be necessary or appropriate to conduct the business of the Partnership, to exercise all powers set forth in </w:t>
      </w:r>
      <w:r>
        <w:rPr>
          <w:rFonts w:ascii="Times New Roman" w:hAnsi="Times New Roman"/>
          <w:sz w:val="20"/>
          <w:u w:val="single"/>
        </w:rPr>
        <w:t>Section 2.5</w:t>
      </w:r>
      <w:r>
        <w:rPr>
          <w:rFonts w:ascii="Times New Roman" w:hAnsi="Times New Roman"/>
          <w:sz w:val="20"/>
        </w:rPr>
        <w:t xml:space="preserve"> and to effectuate the purposes set forth in </w:t>
      </w:r>
      <w:r>
        <w:rPr>
          <w:rFonts w:ascii="Times New Roman" w:hAnsi="Times New Roman"/>
          <w:sz w:val="20"/>
          <w:u w:val="single"/>
        </w:rPr>
        <w:t>Section 2.4</w:t>
      </w:r>
      <w:r>
        <w:rPr>
          <w:rFonts w:ascii="Times New Roman" w:hAnsi="Times New Roman"/>
          <w:sz w:val="20"/>
        </w:rPr>
        <w:t xml:space="preserve">, including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the making of any expenditures, the lending or borrowing of money, the assumption or guarantee of, or other contracting for, indebtedness and other liabilities, the issuance of evidences of indebtedness, including indebtedness that is convertible into Partnership Securities, and the incurring of any other obligations; </w:t>
      </w:r>
    </w:p>
    <w:p>
      <w:pPr>
        <w:pStyle w:val="TextBody"/>
        <w:bidi w:val="0"/>
        <w:spacing w:before="120" w:after="0"/>
        <w:jc w:val="left"/>
        <w:rPr>
          <w:rFonts w:ascii="Times New Roman" w:hAnsi="Times New Roman"/>
          <w:sz w:val="20"/>
        </w:rPr>
      </w:pPr>
      <w:r>
        <w:rPr>
          <w:rFonts w:ascii="Times New Roman" w:hAnsi="Times New Roman"/>
          <w:sz w:val="20"/>
        </w:rPr>
        <w:t xml:space="preserve">(ii) the making of tax, regulatory and other filings, or rendering of periodic or other reports to governmental or other agencies having jurisdiction over the business or assets of the Partnership; </w:t>
      </w:r>
    </w:p>
    <w:p>
      <w:pPr>
        <w:pStyle w:val="TextBody"/>
        <w:bidi w:val="0"/>
        <w:spacing w:before="120" w:after="0"/>
        <w:jc w:val="left"/>
        <w:rPr>
          <w:rFonts w:ascii="Times New Roman" w:hAnsi="Times New Roman"/>
          <w:sz w:val="20"/>
        </w:rPr>
      </w:pPr>
      <w:r>
        <w:rPr>
          <w:rFonts w:ascii="Times New Roman" w:hAnsi="Times New Roman"/>
          <w:sz w:val="20"/>
        </w:rPr>
        <w:t xml:space="preserve">(iii) the acquisition, disposition, mortgage, pledge, encumbrance, hypothecation or exchange of any or all of the assets of the Partnership or the merger or other combination of the Partnership with or into another Person (the matters described in this clause (iii) being subject, however, to any prior approval that may be required by </w:t>
      </w:r>
      <w:r>
        <w:rPr>
          <w:rFonts w:ascii="Times New Roman" w:hAnsi="Times New Roman"/>
          <w:sz w:val="20"/>
          <w:u w:val="single"/>
        </w:rPr>
        <w:t>Section 7.3</w:t>
      </w:r>
      <w:r>
        <w:rPr>
          <w:rFonts w:ascii="Times New Roman" w:hAnsi="Times New Roman"/>
          <w:sz w:val="20"/>
        </w:rPr>
        <w:t xml:space="preserve"> and </w:t>
      </w:r>
      <w:r>
        <w:rPr>
          <w:rFonts w:ascii="Times New Roman" w:hAnsi="Times New Roman"/>
          <w:sz w:val="20"/>
          <w:u w:val="single"/>
        </w:rPr>
        <w:t>Article XIV</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the use of the assets of the Partnership (including cash on hand) for any purpose consistent with the terms of this Agreement, including the financing of the conduct of the operations of the Partnership and its Subsidiaries, subject to </w:t>
      </w:r>
      <w:r>
        <w:rPr>
          <w:rFonts w:ascii="Times New Roman" w:hAnsi="Times New Roman"/>
          <w:sz w:val="20"/>
          <w:u w:val="single"/>
        </w:rPr>
        <w:t>Section 7.6(a)</w:t>
      </w:r>
      <w:r>
        <w:rPr>
          <w:rFonts w:ascii="Times New Roman" w:hAnsi="Times New Roman"/>
          <w:sz w:val="20"/>
        </w:rPr>
        <w:t xml:space="preserve">, the lending of funds to other Persons; the repayment or guarantee of obligations of the Partnership and its Subsidiaries and the making of capital contributions to any member of the Partnership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(v) the negotiation, execution and performance of any contracts, conveyances or other instruments (including instruments that limit the liability of the Partnership under contractual arrangements to all or particular assets of the Partnership, with the other party to the contract to have no recourse against the General Partner or its assets other than its interest in the Partnership, even if same results in the terms of the transaction being less favorable to the Partnership than would otherwise be the case); </w:t>
      </w:r>
    </w:p>
    <w:p>
      <w:pPr>
        <w:pStyle w:val="TextBody"/>
        <w:bidi w:val="0"/>
        <w:spacing w:before="120" w:after="0"/>
        <w:jc w:val="left"/>
        <w:rPr>
          <w:rFonts w:ascii="Times New Roman" w:hAnsi="Times New Roman"/>
          <w:sz w:val="20"/>
        </w:rPr>
      </w:pPr>
      <w:r>
        <w:rPr>
          <w:rFonts w:ascii="Times New Roman" w:hAnsi="Times New Roman"/>
          <w:sz w:val="20"/>
        </w:rPr>
        <w:t xml:space="preserve">(vi) the distribution of Partnership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(vii) the selection and dismissal of employees (including employees having titles such as “</w:t>
      </w:r>
      <w:r>
        <w:rPr>
          <w:rFonts w:ascii="Times New Roman" w:hAnsi="Times New Roman"/>
          <w:i/>
          <w:sz w:val="20"/>
        </w:rPr>
        <w:t>president</w:t>
      </w:r>
      <w:r>
        <w:rPr>
          <w:rFonts w:ascii="Times New Roman" w:hAnsi="Times New Roman"/>
          <w:sz w:val="20"/>
        </w:rPr>
        <w:t>,” “</w:t>
      </w:r>
      <w:r>
        <w:rPr>
          <w:rFonts w:ascii="Times New Roman" w:hAnsi="Times New Roman"/>
          <w:i/>
          <w:sz w:val="20"/>
        </w:rPr>
        <w:t>vice president</w:t>
      </w:r>
      <w:r>
        <w:rPr>
          <w:rFonts w:ascii="Times New Roman" w:hAnsi="Times New Roman"/>
          <w:sz w:val="20"/>
        </w:rPr>
        <w:t>,” “</w:t>
      </w:r>
      <w:r>
        <w:rPr>
          <w:rFonts w:ascii="Times New Roman" w:hAnsi="Times New Roman"/>
          <w:i/>
          <w:sz w:val="20"/>
        </w:rPr>
        <w:t>secretary</w:t>
      </w:r>
      <w:r>
        <w:rPr>
          <w:rFonts w:ascii="Times New Roman" w:hAnsi="Times New Roman"/>
          <w:sz w:val="20"/>
        </w:rPr>
        <w:t>” and “</w:t>
      </w:r>
      <w:r>
        <w:rPr>
          <w:rFonts w:ascii="Times New Roman" w:hAnsi="Times New Roman"/>
          <w:i/>
          <w:sz w:val="20"/>
        </w:rPr>
        <w:t>treasurer</w:t>
      </w:r>
      <w:r>
        <w:rPr>
          <w:rFonts w:ascii="Times New Roman" w:hAnsi="Times New Roman"/>
          <w:sz w:val="20"/>
        </w:rPr>
        <w:t xml:space="preserve">”) and agents, outside attorneys, accountants, consultants and contractors and the determination of their compensation and other terms of employment or hiring; </w:t>
      </w:r>
    </w:p>
    <w:p>
      <w:pPr>
        <w:pStyle w:val="TextBody"/>
        <w:bidi w:val="0"/>
        <w:spacing w:before="120" w:after="0"/>
        <w:jc w:val="left"/>
        <w:rPr>
          <w:rFonts w:ascii="Times New Roman" w:hAnsi="Times New Roman"/>
          <w:sz w:val="20"/>
        </w:rPr>
      </w:pPr>
      <w:r>
        <w:rPr>
          <w:rFonts w:ascii="Times New Roman" w:hAnsi="Times New Roman"/>
          <w:sz w:val="20"/>
        </w:rPr>
        <w:t xml:space="preserve">(viii) the maintenance of insurance for the benefit of the Partnership, the Partners and Indemnitees; </w:t>
      </w:r>
    </w:p>
    <w:p>
      <w:pPr>
        <w:pStyle w:val="TextBody"/>
        <w:bidi w:val="0"/>
        <w:spacing w:before="120" w:after="0"/>
        <w:jc w:val="left"/>
        <w:rPr>
          <w:rFonts w:ascii="Times New Roman" w:hAnsi="Times New Roman"/>
          <w:sz w:val="20"/>
        </w:rPr>
      </w:pPr>
      <w:r>
        <w:rPr>
          <w:rFonts w:ascii="Times New Roman" w:hAnsi="Times New Roman"/>
          <w:sz w:val="20"/>
        </w:rPr>
        <w:t xml:space="preserve">(ix) the formation of, or acquisition of an interest in, and the contribution of property and the making of loans to, any further limited or general partnerships, joint ventures, limited liability companies, corporations or other relationships (including the acquisition of interests in, and the contributions of property to, Subsidiaries from time to time) subject to the restrictions set forth in </w:t>
      </w:r>
      <w:r>
        <w:rPr>
          <w:rFonts w:ascii="Times New Roman" w:hAnsi="Times New Roman"/>
          <w:sz w:val="20"/>
          <w:u w:val="single"/>
        </w:rPr>
        <w:t>Section 2.4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 the control of any matters affecting the rights and obligations of the Partnership, including the bringing and defending of actions at law or in equity and otherwise engaging in the conduct of litigation, arbitration or mediation and the incurring of legal expense and the settlement of claims and litigation; </w:t>
      </w:r>
    </w:p>
    <w:p>
      <w:pPr>
        <w:pStyle w:val="TextBody"/>
        <w:bidi w:val="0"/>
        <w:spacing w:before="120" w:after="0"/>
        <w:jc w:val="left"/>
        <w:rPr>
          <w:rFonts w:ascii="Times New Roman" w:hAnsi="Times New Roman"/>
          <w:sz w:val="20"/>
        </w:rPr>
      </w:pPr>
      <w:r>
        <w:rPr>
          <w:rFonts w:ascii="Times New Roman" w:hAnsi="Times New Roman"/>
          <w:sz w:val="20"/>
        </w:rPr>
        <w:t xml:space="preserve">(xi) the indemnification of any Person against liabilities and contingencies to the extent permitted by law; </w:t>
      </w:r>
    </w:p>
    <w:p>
      <w:pPr>
        <w:pStyle w:val="TextBody"/>
        <w:bidi w:val="0"/>
        <w:spacing w:before="120" w:after="0"/>
        <w:jc w:val="left"/>
        <w:rPr>
          <w:rFonts w:ascii="Times New Roman" w:hAnsi="Times New Roman"/>
          <w:sz w:val="20"/>
        </w:rPr>
      </w:pPr>
      <w:r>
        <w:rPr>
          <w:rFonts w:ascii="Times New Roman" w:hAnsi="Times New Roman"/>
          <w:sz w:val="20"/>
        </w:rPr>
        <w:t xml:space="preserve">(xii) the entering into of listing agreements with any National Securities Exchange and the delisting of some or all of the Limited Partner Interests from, or requesting that trading be suspended on, any such exchange (subject to any prior approval that may be required under </w:t>
      </w:r>
      <w:r>
        <w:rPr>
          <w:rFonts w:ascii="Times New Roman" w:hAnsi="Times New Roman"/>
          <w:sz w:val="20"/>
          <w:u w:val="single"/>
        </w:rPr>
        <w:t>Section 4.7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(xiii) the purchase, sale or other acquisition or disposition of Partnership Securities, or the issuance of options, rights, warrants and appreciation rights relating to Partnership Securities; and </w:t>
      </w:r>
    </w:p>
    <w:p>
      <w:pPr>
        <w:pStyle w:val="TextBody"/>
        <w:bidi w:val="0"/>
        <w:spacing w:before="120" w:after="0"/>
        <w:jc w:val="left"/>
        <w:rPr>
          <w:rFonts w:ascii="Times New Roman" w:hAnsi="Times New Roman"/>
          <w:sz w:val="20"/>
        </w:rPr>
      </w:pPr>
      <w:r>
        <w:rPr>
          <w:rFonts w:ascii="Times New Roman" w:hAnsi="Times New Roman"/>
          <w:sz w:val="20"/>
        </w:rPr>
        <w:t xml:space="preserve">(xiv) the entering into of agreements with any of its Affiliates to render services to a Group Member or to itself in the discharge of its duties as General Partner of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 other provision of this Agreement, the Texas Limited Partnership Law or any applicable law, rule or regulation, each of the Partners and Assignees and each other Person who may acquire an interest in Partnership Securities hereby (i) approves, ratifies and confirms the execution, delivery and performance by the parties thereto of the Underwriting Agreement, the Omnibus Agreement and the other agreements described in or filed as exhibits to the Registration Statement that are related to the transactions contemplated by the Registration Statement; (ii) agrees that the General Partner (on its own or through any officer of the Partnership) is authorized to execute, deliver and perform the agreements referred to in clause (i) of this sentence and the other agreements, acts, transactions and matters described in or contemplated by the Registration Statement on behalf of the Partnership without any further act, approval or vote of the Partners or the Assignees or the other Persons who may acquire an interest in Partnership Securities; and (iii) agrees that the execution, delivery or performance by the General Partner, any Group Member or any Affiliate of any of them, of this Agreement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authorized or permitted under this Agreement (including the exercise by the General Partner or any Affiliate of the General Partner of the rights accorded pursuant to </w:t>
      </w:r>
      <w:r>
        <w:rPr>
          <w:rFonts w:ascii="Times New Roman" w:hAnsi="Times New Roman"/>
          <w:sz w:val="20"/>
          <w:u w:val="single"/>
        </w:rPr>
        <w:t>Article XV</w:t>
      </w:r>
      <w:r>
        <w:rPr>
          <w:rFonts w:ascii="Times New Roman" w:hAnsi="Times New Roman"/>
          <w:sz w:val="20"/>
        </w:rPr>
        <w:t xml:space="preserve">), shall not constitute a breach by the General Partner of any duty that the General Partner may owe the Partnership or the Limited Partners or any other Persons under this Agreement (or any other agreements) or of any duty stated or implied by law or equity.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Certificate of Formation</w:t>
      </w:r>
      <w:r>
        <w:rPr>
          <w:rFonts w:ascii="Times New Roman" w:hAnsi="Times New Roman"/>
          <w:sz w:val="20"/>
        </w:rPr>
        <w:t xml:space="preserve">. The General Partner has caused the Certificate of Formation to be filed with the Secretary of State of the State of Texas as required by the Texas Limited Partnership Law and shall use all reasonable efforts to cause to be filed such other certificates or documents that the General Partner determines to be necessary or appropriate for the formation, continuation, qualification and operation of a limited partnership (or a partnership in which the limited partners have limited liability) in the State of Texas or any other state in which the Partnership may elect to do business or own property. To the extent the General Partner determines such action to be necessary or appropriate, the General Partner shall file amendments to and restatements of the Certificate of Formation and do all things to maintain the Partnership as a limited partnership (or a partnership or other entity in which the limited partners have limited liability) under the laws of the State of Texas or of any other state in which the Partnership may elect to do business or own property. Subject to the terms of </w:t>
      </w:r>
      <w:r>
        <w:rPr>
          <w:rFonts w:ascii="Times New Roman" w:hAnsi="Times New Roman"/>
          <w:sz w:val="20"/>
          <w:u w:val="single"/>
        </w:rPr>
        <w:t>Section 3.4(a)</w:t>
      </w:r>
      <w:r>
        <w:rPr>
          <w:rFonts w:ascii="Times New Roman" w:hAnsi="Times New Roman"/>
          <w:sz w:val="20"/>
        </w:rPr>
        <w:t xml:space="preserve">, the General Partner shall not be required, before or after filing, to deliver or mail a copy of the Certificate of Formation, any qualification document or any amendment thereto to any Limited Partner.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Restrictions on General Partner’s Authority</w:t>
      </w:r>
      <w:r>
        <w:rPr>
          <w:rFonts w:ascii="Times New Roman" w:hAnsi="Times New Roman"/>
          <w:sz w:val="20"/>
        </w:rPr>
        <w:t xml:space="preserve">. Except as provided in </w:t>
      </w:r>
      <w:r>
        <w:rPr>
          <w:rFonts w:ascii="Times New Roman" w:hAnsi="Times New Roman"/>
          <w:sz w:val="20"/>
          <w:u w:val="single"/>
        </w:rPr>
        <w:t>Articles XII</w:t>
      </w:r>
      <w:r>
        <w:rPr>
          <w:rFonts w:ascii="Times New Roman" w:hAnsi="Times New Roman"/>
          <w:sz w:val="20"/>
        </w:rPr>
        <w:t xml:space="preserve"> and </w:t>
      </w:r>
      <w:r>
        <w:rPr>
          <w:rFonts w:ascii="Times New Roman" w:hAnsi="Times New Roman"/>
          <w:sz w:val="20"/>
          <w:u w:val="single"/>
        </w:rPr>
        <w:t>XIV</w:t>
      </w:r>
      <w:r>
        <w:rPr>
          <w:rFonts w:ascii="Times New Roman" w:hAnsi="Times New Roman"/>
          <w:sz w:val="20"/>
        </w:rPr>
        <w:t xml:space="preserve">, the General Partner may not sell, exchange or otherwise dispose of all or substantially all of the assets of the Partnership Group, taken as a whole, in a single transaction or a series of related transactions (including by way of merger, consolidation or other combination) without the approval of holders of a Unit Majority;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this provision shall not preclude or limit the General Partner’s ability to mortgage, pledge, hypothecate or grant a security interest in all or substantially all of the assets of the Partnership Group and shall not apply to any forced sale of any or all of the assets of the Partnership Group pursuant to the foreclosure of, or other realization upon, any such encumbrance. Without the approval of holders of a majority of Outstanding Units, the General Partner shall not, on behalf of the Partnership except as permitted under </w:t>
      </w:r>
      <w:r>
        <w:rPr>
          <w:rFonts w:ascii="Times New Roman" w:hAnsi="Times New Roman"/>
          <w:sz w:val="20"/>
          <w:u w:val="single"/>
        </w:rPr>
        <w:t>Sections 4.6</w:t>
      </w:r>
      <w:r>
        <w:rPr>
          <w:rFonts w:ascii="Times New Roman" w:hAnsi="Times New Roman"/>
          <w:sz w:val="20"/>
        </w:rPr>
        <w:t xml:space="preserve">, </w:t>
      </w:r>
      <w:r>
        <w:rPr>
          <w:rFonts w:ascii="Times New Roman" w:hAnsi="Times New Roman"/>
          <w:sz w:val="20"/>
          <w:u w:val="single"/>
        </w:rPr>
        <w:t>11.1</w:t>
      </w:r>
      <w:r>
        <w:rPr>
          <w:rFonts w:ascii="Times New Roman" w:hAnsi="Times New Roman"/>
          <w:sz w:val="20"/>
        </w:rPr>
        <w:t xml:space="preserve"> and </w:t>
      </w:r>
      <w:r>
        <w:rPr>
          <w:rFonts w:ascii="Times New Roman" w:hAnsi="Times New Roman"/>
          <w:sz w:val="20"/>
          <w:u w:val="single"/>
        </w:rPr>
        <w:t>11.2</w:t>
      </w:r>
      <w:r>
        <w:rPr>
          <w:rFonts w:ascii="Times New Roman" w:hAnsi="Times New Roman"/>
          <w:sz w:val="20"/>
        </w:rPr>
        <w:t xml:space="preserve">, elect or cause the Partnership to elect a successor general partner of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Reimbursement of the General Partner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provided in this </w:t>
      </w:r>
      <w:r>
        <w:rPr>
          <w:rFonts w:ascii="Times New Roman" w:hAnsi="Times New Roman"/>
          <w:sz w:val="20"/>
          <w:u w:val="single"/>
        </w:rPr>
        <w:t>Section 7.4</w:t>
      </w:r>
      <w:r>
        <w:rPr>
          <w:rFonts w:ascii="Times New Roman" w:hAnsi="Times New Roman"/>
          <w:sz w:val="20"/>
        </w:rPr>
        <w:t xml:space="preserve"> and elsewhere in this Agreement, the General Partner shall not be compensated for its services as general partner or managing member of any Group Member. </w:t>
      </w:r>
    </w:p>
    <w:p>
      <w:pPr>
        <w:pStyle w:val="TextBody"/>
        <w:bidi w:val="0"/>
        <w:spacing w:before="240" w:after="0"/>
        <w:jc w:val="left"/>
        <w:rPr>
          <w:rFonts w:ascii="Times New Roman" w:hAnsi="Times New Roman"/>
          <w:sz w:val="20"/>
        </w:rPr>
      </w:pPr>
      <w:r>
        <w:rPr>
          <w:rFonts w:ascii="Times New Roman" w:hAnsi="Times New Roman"/>
          <w:sz w:val="20"/>
        </w:rPr>
        <w:t xml:space="preserve">(b) The General Partner shall be reimbursed on a monthly basis, or such other reasonable basis as the General Partner may determine, for (i) all direct and indirect expenses it incurs or payments it makes on behalf of the Partnership (including salary, bonus, incentive compensation and other amounts paid to any Person) including Affiliates of the General Partner to perform services for the Partnership or for the General Partner in the discharge of its duties to the Partnership and, in the event the Partnership owns or operates, either directly or through any Subsidiary, any pipelines subject to rate regulation by FERC, including overhead allocated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Partnership by Affiliates of the General Partner for its allocable share of actual overhead expenses consistent with then applicable accounting and allocation methodologies generally permitted by FERC for rate making purposes (or in the absence of then applicable methodologies permitted by FERC, consistent with the most recently applicable methodologies) and past business practices, and (ii) all other expenses allocable to the Partnership or otherwise incurred by the General Partner in connection with operating the Partnership’s business (including expenses allocated to the General Partner by its Affiliates). The General Partner shall determine the expenses that are allocable to the Partnership. Reimbursements pursuant to this </w:t>
      </w:r>
      <w:r>
        <w:rPr>
          <w:rFonts w:ascii="Times New Roman" w:hAnsi="Times New Roman"/>
          <w:sz w:val="20"/>
          <w:u w:val="single"/>
        </w:rPr>
        <w:t>Section 7.4</w:t>
      </w:r>
      <w:r>
        <w:rPr>
          <w:rFonts w:ascii="Times New Roman" w:hAnsi="Times New Roman"/>
          <w:sz w:val="20"/>
        </w:rPr>
        <w:t xml:space="preserve"> shall be in addition to any reimbursement to the General Partner as a result of indemnification pursuant to </w:t>
      </w:r>
      <w:r>
        <w:rPr>
          <w:rFonts w:ascii="Times New Roman" w:hAnsi="Times New Roman"/>
          <w:sz w:val="20"/>
          <w:u w:val="single"/>
        </w:rPr>
        <w:t>Section 7.7</w:t>
      </w:r>
      <w:r>
        <w:rPr>
          <w:rFonts w:ascii="Times New Roman" w:hAnsi="Times New Roman"/>
          <w:sz w:val="20"/>
        </w:rPr>
        <w:t xml:space="preserve">. The allocation of overhead to the Partnership by Affiliates of the General Partner for its allocable share of actual overhead expenses consistent with then applicable accounting and allocation methodologies generally permitted by FERC for rate making purposes (or in the absence of then applicable methodologies permitted by FERC, consistent with the most recently applicable methodologies) and past business practices shall be deemed to be fair and reasonable to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(c) The General Partner, without the approval of the Limited Partners (who shall have no right to vote in respect thereof), may propose and adopt on behalf of the Partnership employee benefit plans, employee programs and employee practices (including plans, programs and practices involving the issuance of Partnership Securities or options to purchase or rights, warrants or appreciation rights relating to Partnership Securities), or cause the Partnership to issue Partnership Securities in connection with, or pursuant to, any employee benefit plan, employee program or employee practice maintained or sponsored by the General Partner or any one of its Affiliates, in each case for the benefit of employees of the General Partner, any Group Member or any Affiliate, or any of them, in respect of services performed, directly or indirectly, for the benefit of the Partnership Group. The Partnership agrees to issue and sell to the General Partner or any of its Affiliates any Partnership Securities that the General Partner or such Affiliate is obligated to provide to any employees pursuant to any such employee benefit plans, employee programs or employee practices. Expenses incurred by the General Partner in connection with any such plans, programs and practices (including the net cost to the General Partner or such Affiliate of Partnership Securities purchased by the General Partner or such Affiliate from the Partnership to fulfill options or awards under such plans, programs and practices) shall be reimbursed in accordance with </w:t>
      </w:r>
      <w:r>
        <w:rPr>
          <w:rFonts w:ascii="Times New Roman" w:hAnsi="Times New Roman"/>
          <w:sz w:val="20"/>
          <w:u w:val="single"/>
        </w:rPr>
        <w:t>Section 7.4(b)</w:t>
      </w:r>
      <w:r>
        <w:rPr>
          <w:rFonts w:ascii="Times New Roman" w:hAnsi="Times New Roman"/>
          <w:sz w:val="20"/>
        </w:rPr>
        <w:t xml:space="preserve">. Any and all obligations of the General Partner under any employee benefit plans, employee programs or employee practices adopted by the General Partner as permitted by this </w:t>
      </w:r>
      <w:r>
        <w:rPr>
          <w:rFonts w:ascii="Times New Roman" w:hAnsi="Times New Roman"/>
          <w:sz w:val="20"/>
          <w:u w:val="single"/>
        </w:rPr>
        <w:t>Section 7.4(c)</w:t>
      </w:r>
      <w:r>
        <w:rPr>
          <w:rFonts w:ascii="Times New Roman" w:hAnsi="Times New Roman"/>
          <w:sz w:val="20"/>
        </w:rPr>
        <w:t xml:space="preserve"> shall constitute obligations of the General Partner hereunder and shall be assumed by any successor General Partner approved pursuant to </w:t>
      </w:r>
      <w:r>
        <w:rPr>
          <w:rFonts w:ascii="Times New Roman" w:hAnsi="Times New Roman"/>
          <w:sz w:val="20"/>
          <w:u w:val="single"/>
        </w:rPr>
        <w:t>Sections 11.1</w:t>
      </w:r>
      <w:r>
        <w:rPr>
          <w:rFonts w:ascii="Times New Roman" w:hAnsi="Times New Roman"/>
          <w:sz w:val="20"/>
        </w:rPr>
        <w:t xml:space="preserve"> or </w:t>
      </w:r>
      <w:r>
        <w:rPr>
          <w:rFonts w:ascii="Times New Roman" w:hAnsi="Times New Roman"/>
          <w:sz w:val="20"/>
          <w:u w:val="single"/>
        </w:rPr>
        <w:t>11.2</w:t>
      </w:r>
      <w:r>
        <w:rPr>
          <w:rFonts w:ascii="Times New Roman" w:hAnsi="Times New Roman"/>
          <w:sz w:val="20"/>
        </w:rPr>
        <w:t xml:space="preserve"> or the transferee of or successor to all of the General Partner’s General Partner Interest pursuant to </w:t>
      </w:r>
      <w:r>
        <w:rPr>
          <w:rFonts w:ascii="Times New Roman" w:hAnsi="Times New Roman"/>
          <w:sz w:val="20"/>
          <w:u w:val="single"/>
        </w:rPr>
        <w:t>Section 4.6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Outside Activities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After the Closing Date, the General Partner, for so long as it is the general partner of the Partnership (i) agrees that its sole business will be to act as the general partner or managing member, as the case may be, of the Partnership and any other partnership or limited liability company of which the Partnership is, directly or indirectly, a partner or managing member and to undertake activities that are ancillary or related thereto (including being a limited partner in the Partnership) and (ii) shall not engage in any business or activity or incur any debts or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in connection with or incidental to (A) its performance as general partner or managing member of one or more Group Members or as described in or contemplated by the Registration Statement, (B) the acquiring, owning or disposing of debt or equity securities in any Group Member;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neither clause (i) or clause (ii) shall prohibit the General Partner from owning, directly or indirectly, limited partner interests or limited liability company interests in another Person. </w:t>
      </w:r>
    </w:p>
    <w:p>
      <w:pPr>
        <w:pStyle w:val="TextBody"/>
        <w:bidi w:val="0"/>
        <w:spacing w:before="240" w:after="0"/>
        <w:jc w:val="left"/>
        <w:rPr>
          <w:rFonts w:ascii="Times New Roman" w:hAnsi="Times New Roman"/>
          <w:sz w:val="20"/>
        </w:rPr>
      </w:pPr>
      <w:r>
        <w:rPr>
          <w:rFonts w:ascii="Times New Roman" w:hAnsi="Times New Roman"/>
          <w:sz w:val="20"/>
        </w:rPr>
        <w:t xml:space="preserve">(b) Except as specifically restricted by </w:t>
      </w:r>
      <w:r>
        <w:rPr>
          <w:rFonts w:ascii="Times New Roman" w:hAnsi="Times New Roman"/>
          <w:sz w:val="20"/>
          <w:u w:val="single"/>
        </w:rPr>
        <w:t>Section 7.5(a)</w:t>
      </w:r>
      <w:r>
        <w:rPr>
          <w:rFonts w:ascii="Times New Roman" w:hAnsi="Times New Roman"/>
          <w:sz w:val="20"/>
        </w:rPr>
        <w:t xml:space="preserve">, each Group Member and Indemnitee shall have the right to engage in businesses of every type and description and other activities for profit and to engage in and possess an interest in other business ventures of any and every type or description, whether in businesses engaged in or anticipated to be engaged in by any Group Member, independently or with others, including business interests and activities in direct competition with the business and activities of any Group Member, and none of the same shall constitute a breach of this Agreement or any duty expressed or implied by law to any Group Member or any Partner. Neither any Group Member, any Limited Partner nor any other Person shall have any rights by virtue of this Agreement or the partnership relationship established hereby or thereby in any business ventures of any Group Member or any Indemnitee.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terms of </w:t>
      </w:r>
      <w:r>
        <w:rPr>
          <w:rFonts w:ascii="Times New Roman" w:hAnsi="Times New Roman"/>
          <w:sz w:val="20"/>
          <w:u w:val="single"/>
        </w:rPr>
        <w:t>Sections 7.5(a)</w:t>
      </w:r>
      <w:r>
        <w:rPr>
          <w:rFonts w:ascii="Times New Roman" w:hAnsi="Times New Roman"/>
          <w:sz w:val="20"/>
        </w:rPr>
        <w:t xml:space="preserve"> and </w:t>
      </w:r>
      <w:r>
        <w:rPr>
          <w:rFonts w:ascii="Times New Roman" w:hAnsi="Times New Roman"/>
          <w:sz w:val="20"/>
          <w:u w:val="single"/>
        </w:rPr>
        <w:t>7.5(b)</w:t>
      </w:r>
      <w:r>
        <w:rPr>
          <w:rFonts w:ascii="Times New Roman" w:hAnsi="Times New Roman"/>
          <w:sz w:val="20"/>
        </w:rPr>
        <w:t xml:space="preserve">, but otherwise notwithstanding anything to the contrary in this Agreement, (i) the engaging in competitive activities by any Group Member or any Indemnitee in accordance with the provisions of this </w:t>
      </w:r>
      <w:r>
        <w:rPr>
          <w:rFonts w:ascii="Times New Roman" w:hAnsi="Times New Roman"/>
          <w:sz w:val="20"/>
          <w:u w:val="single"/>
        </w:rPr>
        <w:t>Section 7.5</w:t>
      </w:r>
      <w:r>
        <w:rPr>
          <w:rFonts w:ascii="Times New Roman" w:hAnsi="Times New Roman"/>
          <w:sz w:val="20"/>
        </w:rPr>
        <w:t xml:space="preserve"> is hereby approved by the Partnership and all Partners, (ii) it shall be deemed not to be a breach of any fiduciary duties or any other obligation of any type whatsoever of the General Partner for any Group Member or any Indemnitee to engage in such business interests and activities in preference to or to the exclusion of the Partnership and (iii) none of the General Partner, any Group Member nor any Indemnitee shall have any obligation hereunder or as a result of any duty expressed or implied by law to present business opportunities to the Partnership, any other Group Member or any Indemnitee. </w:t>
      </w:r>
    </w:p>
    <w:p>
      <w:pPr>
        <w:pStyle w:val="TextBody"/>
        <w:bidi w:val="0"/>
        <w:spacing w:before="240" w:after="0"/>
        <w:jc w:val="left"/>
        <w:rPr>
          <w:rFonts w:ascii="Times New Roman" w:hAnsi="Times New Roman"/>
          <w:sz w:val="20"/>
        </w:rPr>
      </w:pPr>
      <w:r>
        <w:rPr>
          <w:rFonts w:ascii="Times New Roman" w:hAnsi="Times New Roman"/>
          <w:sz w:val="20"/>
        </w:rPr>
        <w:t xml:space="preserve">(d) The General Partner and any of its Affiliates may acquire Units or other Partnership Securities in addition to those acquired on the Closing Date and, except as otherwise provided in this Agreement, shall be entitled to exercise all rights of a General Partner or Limited Partner, as applicable, relating to such Units or Partnership Securities. </w:t>
      </w:r>
    </w:p>
    <w:p>
      <w:pPr>
        <w:pStyle w:val="TextBody"/>
        <w:bidi w:val="0"/>
        <w:spacing w:before="240" w:after="0"/>
        <w:jc w:val="left"/>
        <w:rPr>
          <w:rFonts w:ascii="Times New Roman" w:hAnsi="Times New Roman"/>
          <w:sz w:val="20"/>
        </w:rPr>
      </w:pPr>
      <w:r>
        <w:rPr>
          <w:rFonts w:ascii="Times New Roman" w:hAnsi="Times New Roman"/>
          <w:sz w:val="20"/>
        </w:rPr>
        <w:t>(e) The term “</w:t>
      </w:r>
      <w:r>
        <w:rPr>
          <w:rFonts w:ascii="Times New Roman" w:hAnsi="Times New Roman"/>
          <w:i/>
          <w:sz w:val="20"/>
        </w:rPr>
        <w:t>Affiliates</w:t>
      </w:r>
      <w:r>
        <w:rPr>
          <w:rFonts w:ascii="Times New Roman" w:hAnsi="Times New Roman"/>
          <w:sz w:val="20"/>
        </w:rPr>
        <w:t xml:space="preserve">” when used in </w:t>
      </w:r>
      <w:r>
        <w:rPr>
          <w:rFonts w:ascii="Times New Roman" w:hAnsi="Times New Roman"/>
          <w:sz w:val="20"/>
          <w:u w:val="single"/>
        </w:rPr>
        <w:t>Section 7.5(d)</w:t>
      </w:r>
      <w:r>
        <w:rPr>
          <w:rFonts w:ascii="Times New Roman" w:hAnsi="Times New Roman"/>
          <w:sz w:val="20"/>
        </w:rPr>
        <w:t xml:space="preserve"> with respect to the General Partner shall not include any Group Member or any Subsidiary of the Group Member. </w:t>
      </w:r>
    </w:p>
    <w:p>
      <w:pPr>
        <w:pStyle w:val="TextBody"/>
        <w:bidi w:val="0"/>
        <w:spacing w:before="240" w:after="0"/>
        <w:jc w:val="left"/>
        <w:rPr>
          <w:rFonts w:ascii="Times New Roman" w:hAnsi="Times New Roman"/>
          <w:sz w:val="20"/>
        </w:rPr>
      </w:pPr>
      <w:r>
        <w:rPr>
          <w:rFonts w:ascii="Times New Roman" w:hAnsi="Times New Roman"/>
          <w:sz w:val="20"/>
        </w:rPr>
        <w:t xml:space="preserve">(f) Anything in this Agreement to the contrary notwithstanding, to the extent that any provision of this Agreement purports or is interpreted to have the effect of limiting or restricting the fiduciary duties that might otherwise, as a result of Texas or other applicable law, be owed by the General Partner, its Board of Directors or any committee thereof to the Partnership and its Limited Partners, each Limited Partner consents to such limitations and restrictions related to such fiduciary duties to the maximum extent that such consent is permitted under Texas or other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Loans from the General Partner; Loans or Contributions from the Partnership; Contracts with Affiliates; Certain Restrictions on the General Partner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General Partner or any of its Affiliates may, but shall be under no obligation to, lend to any Group Member, and any Group Member may borrow from the General Partner or any of its Affiliates, funds needed or desired by the Group Member for such periods of time and in such amounts as the General Partner may determine. Any loan made to a Group Member by the General Partner or any of its Affiliates shall be on terms that are fair and reasonable to the Partnership;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requirements of this </w:t>
      </w:r>
      <w:r>
        <w:rPr>
          <w:rFonts w:ascii="Times New Roman" w:hAnsi="Times New Roman"/>
          <w:sz w:val="20"/>
          <w:u w:val="single"/>
        </w:rPr>
        <w:t>Section 7.6(a)</w:t>
      </w:r>
      <w:r>
        <w:rPr>
          <w:rFonts w:ascii="Times New Roman" w:hAnsi="Times New Roman"/>
          <w:sz w:val="20"/>
        </w:rPr>
        <w:t xml:space="preserve"> shall be deemed satisfied as to (i) any transaction approved by Special Approval, (ii) any transaction, the terms of which are no less favorable to the Partnership than those generally being provided to or available from unrelated third parties or (iii) any transaction that, taking into account the totality of the relationships between the parties involved (including other transactions that may be particularly favorable or advantageous to the Partnership), is equitable to the Partnership. The borrowing party shall reimburse the lending party for any costs (other than any additional interest costs) incurred by the lending party in connection with the borrowing of such funds. For purposes of </w:t>
      </w:r>
      <w:r>
        <w:rPr>
          <w:rFonts w:ascii="Times New Roman" w:hAnsi="Times New Roman"/>
          <w:sz w:val="20"/>
          <w:u w:val="single"/>
        </w:rPr>
        <w:t>Sections 7.6(a)</w:t>
      </w:r>
      <w:r>
        <w:rPr>
          <w:rFonts w:ascii="Times New Roman" w:hAnsi="Times New Roman"/>
          <w:sz w:val="20"/>
        </w:rPr>
        <w:t xml:space="preserve"> and </w:t>
      </w:r>
      <w:r>
        <w:rPr>
          <w:rFonts w:ascii="Times New Roman" w:hAnsi="Times New Roman"/>
          <w:sz w:val="20"/>
          <w:u w:val="single"/>
        </w:rPr>
        <w:t>7.6(b)</w:t>
      </w:r>
      <w:r>
        <w:rPr>
          <w:rFonts w:ascii="Times New Roman" w:hAnsi="Times New Roman"/>
          <w:sz w:val="20"/>
        </w:rPr>
        <w:t>, the term “</w:t>
      </w:r>
      <w:r>
        <w:rPr>
          <w:rFonts w:ascii="Times New Roman" w:hAnsi="Times New Roman"/>
          <w:i/>
          <w:sz w:val="20"/>
        </w:rPr>
        <w:t>Group Member</w:t>
      </w:r>
      <w:r>
        <w:rPr>
          <w:rFonts w:ascii="Times New Roman" w:hAnsi="Times New Roman"/>
          <w:sz w:val="20"/>
        </w:rPr>
        <w:t xml:space="preserve">” shall include any Affiliate of a Group Member that is controlled by the Group Member. No Group Member may lend funds to the General Partner or any of its Affiliates (other than another Group Member). </w:t>
      </w:r>
    </w:p>
    <w:p>
      <w:pPr>
        <w:pStyle w:val="TextBody"/>
        <w:bidi w:val="0"/>
        <w:spacing w:before="240" w:after="0"/>
        <w:jc w:val="left"/>
        <w:rPr>
          <w:rFonts w:ascii="Times New Roman" w:hAnsi="Times New Roman"/>
          <w:sz w:val="20"/>
        </w:rPr>
      </w:pPr>
      <w:r>
        <w:rPr>
          <w:rFonts w:ascii="Times New Roman" w:hAnsi="Times New Roman"/>
          <w:sz w:val="20"/>
        </w:rPr>
        <w:t xml:space="preserve">(b) The Partnership may lend or contribute to any Group Member, and any Group Member may borrow from the Partnership, funds on terms and conditions determined by the General Partner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Partnership may not charge the Group Member interest at a rate less than the rate that would be charged to the Group Member (without reference to the General Partner’s financial abilities or guarantees) by unrelated lenders on comparable loans. The foregoing authority shall be exercised by the General Partner in its sole discretion and shall not create any right or benefit in favor of any Group Member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(c) No borrowing by any Group Member or the approval thereof by the General Partner shall be deemed to constitute a breach of any duty, expressed or implied, of the General Partner or its Affiliates to the Partnership or the Limited Partners by reason of the fact that the purpose or effect of such borrowing is directly or indirectly to (i) enable distributions to the General Partner or its Affiliates (including in their capacities as Limited Partners) to exceed the General Partner’s Percentage Interest of the total amount distributed to all partners. </w:t>
      </w:r>
    </w:p>
    <w:p>
      <w:pPr>
        <w:pStyle w:val="TextBody"/>
        <w:bidi w:val="0"/>
        <w:spacing w:before="240" w:after="0"/>
        <w:jc w:val="left"/>
        <w:rPr>
          <w:rFonts w:ascii="Times New Roman" w:hAnsi="Times New Roman"/>
          <w:sz w:val="20"/>
        </w:rPr>
      </w:pPr>
      <w:r>
        <w:rPr>
          <w:rFonts w:ascii="Times New Roman" w:hAnsi="Times New Roman"/>
          <w:sz w:val="20"/>
        </w:rPr>
        <w:t xml:space="preserve">(d) The General Partner may itself, or may enter into an agreement with any of its Affiliates to, render services to a Group Member or to the General Partner in the discharge of its duties as general partner of the Partnership. Any services rendered to a Group Member by the General Partner or any of its Affiliates shall be on terms that are fair and reasonable to the Partnership;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requirements of this </w:t>
      </w:r>
      <w:r>
        <w:rPr>
          <w:rFonts w:ascii="Times New Roman" w:hAnsi="Times New Roman"/>
          <w:sz w:val="20"/>
          <w:u w:val="single"/>
        </w:rPr>
        <w:t>Section 7.6(d)</w:t>
      </w:r>
      <w:r>
        <w:rPr>
          <w:rFonts w:ascii="Times New Roman" w:hAnsi="Times New Roman"/>
          <w:sz w:val="20"/>
        </w:rPr>
        <w:t xml:space="preserve"> shall be deemed satisfied as to (i) any transaction approved by Special Approval, (ii) any transaction, the terms of which are no less favorable to the Partnership than those generally being provided to or available from unrelated third parties or (iii) any transaction that, taking into account the totality of the relationships between the parties involved (including other transactions that may be particularly favorable or advantageous to the Partnership), is equitable to the Partnership. The provisions of </w:t>
      </w:r>
      <w:r>
        <w:rPr>
          <w:rFonts w:ascii="Times New Roman" w:hAnsi="Times New Roman"/>
          <w:sz w:val="20"/>
          <w:u w:val="single"/>
        </w:rPr>
        <w:t>Section 7.4</w:t>
      </w:r>
      <w:r>
        <w:rPr>
          <w:rFonts w:ascii="Times New Roman" w:hAnsi="Times New Roman"/>
          <w:sz w:val="20"/>
        </w:rPr>
        <w:t xml:space="preserve"> shall apply to the rendering of services described in this </w:t>
      </w:r>
      <w:r>
        <w:rPr>
          <w:rFonts w:ascii="Times New Roman" w:hAnsi="Times New Roman"/>
          <w:sz w:val="20"/>
          <w:u w:val="single"/>
        </w:rPr>
        <w:t>Section 7.6(d)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Partnership may transfer assets to joint ventures, other partnerships, corporations, limited liability companies or other business entities in which it is or thereby becomes a participant upon such terms and subject to such conditions as are consistent with this Agreement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(f) Neither the General Partner nor any of its Affiliates shall sell, transfer or convey any property to, or purchase any property from, the Partnership, directly or indirectly, except pursuant to transactions that are fair and reasonable to the Partnership;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requirements of this </w:t>
      </w:r>
      <w:r>
        <w:rPr>
          <w:rFonts w:ascii="Times New Roman" w:hAnsi="Times New Roman"/>
          <w:sz w:val="20"/>
          <w:u w:val="single"/>
        </w:rPr>
        <w:t>Section 7.6(f)</w:t>
      </w:r>
      <w:r>
        <w:rPr>
          <w:rFonts w:ascii="Times New Roman" w:hAnsi="Times New Roman"/>
          <w:sz w:val="20"/>
        </w:rPr>
        <w:t xml:space="preserve"> shall be deemed to be satisfied as to (i) the transactions effected pursuant to </w:t>
      </w:r>
      <w:r>
        <w:rPr>
          <w:rFonts w:ascii="Times New Roman" w:hAnsi="Times New Roman"/>
          <w:sz w:val="20"/>
          <w:u w:val="single"/>
        </w:rPr>
        <w:t>Section 5.3</w:t>
      </w:r>
      <w:r>
        <w:rPr>
          <w:rFonts w:ascii="Times New Roman" w:hAnsi="Times New Roman"/>
          <w:sz w:val="20"/>
        </w:rPr>
        <w:t xml:space="preserve"> and any other transactions described in or contemplated by the Registration Statement, (ii) any transaction approved by Special Approval, (iii) any transaction, the terms of which are no less favorable to the Partnership than those generally being provided to or available from unrelated third parties, or (iv) any transaction that, taking into account the totality of the relationships between the parties involved (including other transactions that may be particularly favorable or advantageous to the Partnership), is equitable to the Partnership. With respect to any contribution of assets to the Partnership in exchange for Partnership Securities, the Conflicts Committee, in determining whether the appropriate number of Partnership Securities are being issued, may take into account, among other things, the fair market value of the assets, the liquidated and contingent liabilities assumed, the tax basis in the assets, the extent to which tax-only allocations to the transferor will protect the existing partners of the Partnership against a low tax basis, and such other factors as the Conflicts Committee deems relevant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(g) The General Partner and its Affiliates will have no obligation to permit any Group Member to use any facilities or assets of the General Partner and its Affiliates, except as may be provided in contracts entered into from time to time specifically dealing with such use, nor shall there be any obligation on the part of the General Partner or its Affiliates to enter into such contracts. </w:t>
      </w:r>
    </w:p>
    <w:p>
      <w:pPr>
        <w:pStyle w:val="TextBody"/>
        <w:bidi w:val="0"/>
        <w:spacing w:before="240" w:after="0"/>
        <w:jc w:val="left"/>
        <w:rPr>
          <w:rFonts w:ascii="Times New Roman" w:hAnsi="Times New Roman"/>
          <w:sz w:val="20"/>
        </w:rPr>
      </w:pPr>
      <w:r>
        <w:rPr>
          <w:rFonts w:ascii="Times New Roman" w:hAnsi="Times New Roman"/>
          <w:sz w:val="20"/>
        </w:rPr>
        <w:t xml:space="preserve">(h) Without limitation of </w:t>
      </w:r>
      <w:r>
        <w:rPr>
          <w:rFonts w:ascii="Times New Roman" w:hAnsi="Times New Roman"/>
          <w:sz w:val="20"/>
          <w:u w:val="single"/>
        </w:rPr>
        <w:t>Sections 7.6(a)</w:t>
      </w:r>
      <w:r>
        <w:rPr>
          <w:rFonts w:ascii="Times New Roman" w:hAnsi="Times New Roman"/>
          <w:sz w:val="20"/>
        </w:rPr>
        <w:t xml:space="preserve"> through </w:t>
      </w:r>
      <w:r>
        <w:rPr>
          <w:rFonts w:ascii="Times New Roman" w:hAnsi="Times New Roman"/>
          <w:sz w:val="20"/>
          <w:u w:val="single"/>
        </w:rPr>
        <w:t>7.6(g)</w:t>
      </w:r>
      <w:r>
        <w:rPr>
          <w:rFonts w:ascii="Times New Roman" w:hAnsi="Times New Roman"/>
          <w:sz w:val="20"/>
        </w:rPr>
        <w:t xml:space="preserve">, and notwithstanding anything to the contrary in this Agreement, the existence of the conflicts of interest described in the Registration Statement are hereby approved by all Partners. </w:t>
      </w:r>
    </w:p>
    <w:p>
      <w:pPr>
        <w:pStyle w:val="TextBody"/>
        <w:bidi w:val="0"/>
        <w:spacing w:before="240" w:after="0"/>
        <w:jc w:val="left"/>
        <w:rPr>
          <w:rFonts w:ascii="Times New Roman" w:hAnsi="Times New Roman"/>
          <w:sz w:val="20"/>
        </w:rPr>
      </w:pPr>
      <w:r>
        <w:rPr>
          <w:rFonts w:ascii="Times New Roman" w:hAnsi="Times New Roman"/>
          <w:sz w:val="20"/>
        </w:rPr>
        <w:t xml:space="preserve">Section 7.7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the maximum extent permitted by law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the Indemnitee shall not be indemnified and held harmless if there has been a final and non-appealable judgment entered by a court of competent jurisdiction determining that, in respect of the matter for which the Indemnitee is seeking indemnification pursuant to this </w:t>
      </w:r>
      <w:r>
        <w:rPr>
          <w:rFonts w:ascii="Times New Roman" w:hAnsi="Times New Roman"/>
          <w:sz w:val="20"/>
          <w:u w:val="single"/>
        </w:rPr>
        <w:t>Section 7.7</w:t>
      </w:r>
      <w:r>
        <w:rPr>
          <w:rFonts w:ascii="Times New Roman" w:hAnsi="Times New Roman"/>
          <w:sz w:val="20"/>
        </w:rPr>
        <w:t xml:space="preserve">, the Indemnitee acted in bad faith or engaged in fraud, willful misconduct, or in the case of a criminal matter, acted with knowledge that the Indemnitee’s conduct was unlawful;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no indemnification pursuant to this </w:t>
      </w:r>
      <w:r>
        <w:rPr>
          <w:rFonts w:ascii="Times New Roman" w:hAnsi="Times New Roman"/>
          <w:sz w:val="20"/>
          <w:u w:val="single"/>
        </w:rPr>
        <w:t>Section 7.7</w:t>
      </w:r>
      <w:r>
        <w:rPr>
          <w:rFonts w:ascii="Times New Roman" w:hAnsi="Times New Roman"/>
          <w:sz w:val="20"/>
        </w:rPr>
        <w:t xml:space="preserve"> shall be available to the General Partner or its Affiliates (other than a Group Member) with respect to its or their obligations incurred pursuant to the Underwriting Agreement (other than obligations incurred by the General Partner on behalf of the Partnership). Any indemnification pursuant to this </w:t>
      </w:r>
      <w:r>
        <w:rPr>
          <w:rFonts w:ascii="Times New Roman" w:hAnsi="Times New Roman"/>
          <w:sz w:val="20"/>
          <w:u w:val="single"/>
        </w:rPr>
        <w:t>Section 7.7</w:t>
      </w:r>
      <w:r>
        <w:rPr>
          <w:rFonts w:ascii="Times New Roman" w:hAnsi="Times New Roman"/>
          <w:sz w:val="20"/>
        </w:rPr>
        <w:t xml:space="preserve"> shall be made only out of the assets of the Partnership, it being agreed that the General Partner shall not be personally liable for such indemnification and shall have no obligation to contribute or loan any monies or property to the Partnership to enable it to effectuate such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(b) To the maximum extent permitted by law, expenses (including legal fees and expenses) incurred by an Indemnitee who is indemnified pursuant to </w:t>
      </w:r>
      <w:r>
        <w:rPr>
          <w:rFonts w:ascii="Times New Roman" w:hAnsi="Times New Roman"/>
          <w:sz w:val="20"/>
          <w:u w:val="single"/>
        </w:rPr>
        <w:t>Section 7.7(a)</w:t>
      </w:r>
      <w:r>
        <w:rPr>
          <w:rFonts w:ascii="Times New Roman" w:hAnsi="Times New Roman"/>
          <w:sz w:val="20"/>
        </w:rPr>
        <w:t xml:space="preserve"> in defending any claim, demand, action, suit or proceeding shall, from time to time, be advanced by the Partnership prior to a determination that the Indemnitee is not entitled to be indemnified upon receipt by the Partnership of any undertaking by or on behalf of the Indemnitee to repay such amount if it shall be determined that the Indemnitee is not entitled to be indemnified as authorized in this </w:t>
      </w:r>
      <w:r>
        <w:rPr>
          <w:rFonts w:ascii="Times New Roman" w:hAnsi="Times New Roman"/>
          <w:sz w:val="20"/>
          <w:u w:val="single"/>
        </w:rPr>
        <w:t>Section 7.7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The indemnification provided by this </w:t>
      </w:r>
      <w:r>
        <w:rPr>
          <w:rFonts w:ascii="Times New Roman" w:hAnsi="Times New Roman"/>
          <w:sz w:val="20"/>
          <w:u w:val="single"/>
        </w:rPr>
        <w:t>Section 7.7</w:t>
      </w:r>
      <w:r>
        <w:rPr>
          <w:rFonts w:ascii="Times New Roman" w:hAnsi="Times New Roman"/>
          <w:sz w:val="20"/>
        </w:rPr>
        <w:t xml:space="preserve"> shall be in addition to any other rights to which an Indemnitee may be entitled under any agreement, pursuant to any vote of the holders of Outstanding Limited Partner Interests entitled to vote on such matter, as a matter of law or otherwise, both as to actions in the Indemnitee’s capacity as an Indemnitee and as to actions in any other capacity (including any capacity under the Underwriting Agreement), and shall continue as to an Indemnitee who has ceased to serve in such capacity and shall inure to the benefit of the heirs, successors, assigns and administrators of the Indemnitee. To the fullest extent permitted by applicable law, Chapter 8 of the TBOC shall not apply to the Partnership, the Partners or any Indemnitee. </w:t>
      </w:r>
    </w:p>
    <w:p>
      <w:pPr>
        <w:pStyle w:val="TextBody"/>
        <w:bidi w:val="0"/>
        <w:spacing w:before="240" w:after="0"/>
        <w:jc w:val="left"/>
        <w:rPr>
          <w:rFonts w:ascii="Times New Roman" w:hAnsi="Times New Roman"/>
          <w:sz w:val="20"/>
        </w:rPr>
      </w:pPr>
      <w:r>
        <w:rPr>
          <w:rFonts w:ascii="Times New Roman" w:hAnsi="Times New Roman"/>
          <w:sz w:val="20"/>
        </w:rPr>
        <w:t xml:space="preserve">(d) The Partnership may purchase and maintain (or reimburse the General Partner or its Affiliates for the cost of) insurance, on behalf of the General Partner, its Affiliates and such other Persons as the General Partner shall determine, against any liability that may be asserted against, or expense that may be incurred by, such Person in connection with the Partnership’s activities or such Person’s activities on behalf of the Partnership, regardless of whether the Partnership would have the power to indemnify such Person against such liability under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For purposes of this </w:t>
      </w:r>
      <w:r>
        <w:rPr>
          <w:rFonts w:ascii="Times New Roman" w:hAnsi="Times New Roman"/>
          <w:sz w:val="20"/>
          <w:u w:val="single"/>
        </w:rPr>
        <w:t>Section 7.7</w:t>
      </w:r>
      <w:r>
        <w:rPr>
          <w:rFonts w:ascii="Times New Roman" w:hAnsi="Times New Roman"/>
          <w:sz w:val="20"/>
        </w:rPr>
        <w:t>, the Partnership shall be deemed to have requested an Indemnitee to serve as fiduciary of an employee benefit plan whenever the performance by it of its duties to the Partnership also imposes duties on, or otherwise involves services by, it to the plan or participants or beneficiaries of the plan; excise taxes assessed on an Indemnitee with respect to an employee benefit plan pursuant to applicable law shall constitute “</w:t>
      </w:r>
      <w:r>
        <w:rPr>
          <w:rFonts w:ascii="Times New Roman" w:hAnsi="Times New Roman"/>
          <w:i/>
          <w:sz w:val="20"/>
        </w:rPr>
        <w:t>fines</w:t>
      </w:r>
      <w:r>
        <w:rPr>
          <w:rFonts w:ascii="Times New Roman" w:hAnsi="Times New Roman"/>
          <w:sz w:val="20"/>
        </w:rPr>
        <w:t xml:space="preserve">” within the meaning of </w:t>
      </w:r>
      <w:r>
        <w:rPr>
          <w:rFonts w:ascii="Times New Roman" w:hAnsi="Times New Roman"/>
          <w:sz w:val="20"/>
          <w:u w:val="single"/>
        </w:rPr>
        <w:t>Section 7.7(a)</w:t>
      </w:r>
      <w:r>
        <w:rPr>
          <w:rFonts w:ascii="Times New Roman" w:hAnsi="Times New Roman"/>
          <w:sz w:val="20"/>
        </w:rPr>
        <w:t xml:space="preserve">; and action taken or omitted by it with respect to any employee benefit plan in the performance of its duties for a purpose reasonably believed by it to be in the best interest of the participants and beneficiaries of the plan shall be deemed to be for a purpose that is in the best interests of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(f) In no event may an Indemnitee subject the Limited Partners to personal liability by reason of the indemnification provisions set forth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An Indemnitee shall not be denied indemnification in whole or in part under this </w:t>
      </w:r>
      <w:r>
        <w:rPr>
          <w:rFonts w:ascii="Times New Roman" w:hAnsi="Times New Roman"/>
          <w:sz w:val="20"/>
          <w:u w:val="single"/>
        </w:rPr>
        <w:t>Section 7.7</w:t>
      </w:r>
      <w:r>
        <w:rPr>
          <w:rFonts w:ascii="Times New Roman" w:hAnsi="Times New Roman"/>
          <w:sz w:val="20"/>
        </w:rPr>
        <w:t xml:space="preserve"> because the Indemnitee had an interest in the transaction with respect to which the indemnification applies if the transaction was otherwise permitted by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The provisions of this </w:t>
      </w:r>
      <w:r>
        <w:rPr>
          <w:rFonts w:ascii="Times New Roman" w:hAnsi="Times New Roman"/>
          <w:sz w:val="20"/>
          <w:u w:val="single"/>
        </w:rPr>
        <w:t>Section 7.7</w:t>
      </w:r>
      <w:r>
        <w:rPr>
          <w:rFonts w:ascii="Times New Roman" w:hAnsi="Times New Roman"/>
          <w:sz w:val="20"/>
        </w:rPr>
        <w:t xml:space="preserve"> are for the benefit of the Indemnitees, their heirs, successors, assigns and administrators and shall not be deemed to create any rights for the benefit of any other Persons. </w:t>
      </w:r>
    </w:p>
    <w:p>
      <w:pPr>
        <w:pStyle w:val="TextBody"/>
        <w:bidi w:val="0"/>
        <w:spacing w:before="240" w:after="0"/>
        <w:jc w:val="left"/>
        <w:rPr>
          <w:rFonts w:ascii="Times New Roman" w:hAnsi="Times New Roman"/>
          <w:sz w:val="20"/>
        </w:rPr>
      </w:pPr>
      <w:r>
        <w:rPr>
          <w:rFonts w:ascii="Times New Roman" w:hAnsi="Times New Roman"/>
          <w:sz w:val="20"/>
        </w:rPr>
        <w:t xml:space="preserve">(i) No amendment, modification or repeal of this </w:t>
      </w:r>
      <w:r>
        <w:rPr>
          <w:rFonts w:ascii="Times New Roman" w:hAnsi="Times New Roman"/>
          <w:sz w:val="20"/>
          <w:u w:val="single"/>
        </w:rPr>
        <w:t>Section 7.7</w:t>
      </w:r>
      <w:r>
        <w:rPr>
          <w:rFonts w:ascii="Times New Roman" w:hAnsi="Times New Roman"/>
          <w:sz w:val="20"/>
        </w:rPr>
        <w:t xml:space="preserve"> or any provision hereof shall in any manner terminate, reduce or impair the right of any past, present or future Indemnitee to be indemnified by the Partnership, nor the obligations of the Partnership to indemnify any such Indemnitee under and in accordance with the provisions of this </w:t>
      </w:r>
      <w:r>
        <w:rPr>
          <w:rFonts w:ascii="Times New Roman" w:hAnsi="Times New Roman"/>
          <w:sz w:val="20"/>
          <w:u w:val="single"/>
        </w:rPr>
        <w:t>Section 7.7</w:t>
      </w:r>
      <w:r>
        <w:rPr>
          <w:rFonts w:ascii="Times New Roman" w:hAnsi="Times New Roman"/>
          <w:sz w:val="20"/>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 </w:t>
      </w:r>
    </w:p>
    <w:p>
      <w:pPr>
        <w:pStyle w:val="TextBody"/>
        <w:bidi w:val="0"/>
        <w:spacing w:before="240" w:after="0"/>
        <w:jc w:val="left"/>
        <w:rPr>
          <w:rFonts w:ascii="Times New Roman" w:hAnsi="Times New Roman"/>
          <w:sz w:val="20"/>
        </w:rPr>
      </w:pPr>
      <w:r>
        <w:rPr>
          <w:rFonts w:ascii="Times New Roman" w:hAnsi="Times New Roman"/>
          <w:sz w:val="20"/>
        </w:rPr>
        <w:t xml:space="preserve">Section 7.8 </w:t>
      </w:r>
      <w:r>
        <w:rPr>
          <w:rFonts w:ascii="Times New Roman" w:hAnsi="Times New Roman"/>
          <w:sz w:val="20"/>
          <w:u w:val="single"/>
        </w:rPr>
        <w:t>Liability of Indemnitees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anything to the contrary set forth in this Agreement, no Indemnitee shall be liable for monetary damages to the Partnership, the Limited Partners, the Assignees or any other Persons who have acquired interests in the Partnership Securities, for losses sustained or liabilities incurred as a result of any act or omission of an Indemnitee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 </w:t>
      </w:r>
    </w:p>
    <w:p>
      <w:pPr>
        <w:pStyle w:val="TextBody"/>
        <w:bidi w:val="0"/>
        <w:spacing w:before="240" w:after="0"/>
        <w:jc w:val="left"/>
        <w:rPr>
          <w:rFonts w:ascii="Times New Roman" w:hAnsi="Times New Roman"/>
          <w:sz w:val="20"/>
        </w:rPr>
      </w:pPr>
      <w:r>
        <w:rPr>
          <w:rFonts w:ascii="Times New Roman" w:hAnsi="Times New Roman"/>
          <w:sz w:val="20"/>
        </w:rPr>
        <w:t xml:space="preserve">(b) Subject to its obligations and duties as General Partner set forth in </w:t>
      </w:r>
      <w:r>
        <w:rPr>
          <w:rFonts w:ascii="Times New Roman" w:hAnsi="Times New Roman"/>
          <w:sz w:val="20"/>
          <w:u w:val="single"/>
        </w:rPr>
        <w:t>Section 7.1(a)</w:t>
      </w:r>
      <w:r>
        <w:rPr>
          <w:rFonts w:ascii="Times New Roman" w:hAnsi="Times New Roman"/>
          <w:sz w:val="20"/>
        </w:rPr>
        <w:t xml:space="preserve">, the General Partner may exercise any of the powers granted to it by this Agreement and perform any of the duties imposed upon it hereunder either directly or by or through its agents, and the General Partner shall not be responsible for any misconduct or negligence on the part of any such agent appointed by the General Partner in good faith.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that, at law or in equity, an Indemnitee has duties (including fiduciary duties) and liabilities relating thereto to the Partnership or to the Partners, the General Partner and any other Indemnitee acting in connection with the Partnership’s business or affairs shall not be liable to the Partnership or to any Partner for its good faith reliance on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Any amendment, modification or repeal of this </w:t>
      </w:r>
      <w:r>
        <w:rPr>
          <w:rFonts w:ascii="Times New Roman" w:hAnsi="Times New Roman"/>
          <w:sz w:val="20"/>
          <w:u w:val="single"/>
        </w:rPr>
        <w:t>Section 7.8</w:t>
      </w:r>
      <w:r>
        <w:rPr>
          <w:rFonts w:ascii="Times New Roman" w:hAnsi="Times New Roman"/>
          <w:sz w:val="20"/>
        </w:rPr>
        <w:t xml:space="preserve"> or any provision hereof shall be prospective only and shall not in any way affect the limitations on the liability of the Indemnitees under this </w:t>
      </w:r>
      <w:r>
        <w:rPr>
          <w:rFonts w:ascii="Times New Roman" w:hAnsi="Times New Roman"/>
          <w:sz w:val="20"/>
          <w:u w:val="single"/>
        </w:rPr>
        <w:t>Section 7.8</w:t>
      </w:r>
      <w:r>
        <w:rPr>
          <w:rFonts w:ascii="Times New Roman" w:hAnsi="Times New Roman"/>
          <w:sz w:val="20"/>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 and provided such Person became an Indemnitee hereunder prior to such amendment, modification or repeal.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7.9 </w:t>
      </w:r>
      <w:r>
        <w:rPr>
          <w:rFonts w:ascii="Times New Roman" w:hAnsi="Times New Roman"/>
          <w:sz w:val="20"/>
          <w:u w:val="single"/>
        </w:rPr>
        <w:t>Resolution of Conflicts of Interest; Standards of Conduct and Modification of Duties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otherwise expressly provided in this Agreement, whenever a potential conflict of interest exists or arises between the General Partner or any of its Affiliates, on the one hand, and the Partnership, any Group Member, any Partner or any Assignee, on the other, any resolution or course of action by the General Partner or its Affiliates in respect of such conflict of interest shall be permitted and deemed approved by all Partners, and shall not constitute a breach of this Agreement or of any agreement contemplated herein or therein, or of any duty stated or implied by law or equity, if the resolution or course of action in respect of such conflict of interest is (i) approved by Special Approval, (ii) approved by the vote of a majority of the Common Units (excluding Common Units owned by the General Partner and its Affiliates), (iii) on terms no less favorable to the Partnership than those generally being provided to or available from unrelated third parties or (iv) fair and reasonable to the Partnership, taking into account the totality of the relationships between the parties involved (including other transactions that may be particularly favorable or advantageous to the Partnership). The General Partner shall be authorized but not required in connection with its resolution of such conflict of interest to seek Special Approval of such resolution, and the General Partner may also adopt a resolution or course of action that has not received Special Approval. If Special Approval is not sought and the Board of Directors of the General Partner determines that the resolution or course of action taken with respect to a conflict of interest satisfies either of the standards set forth in clauses (iii) or (iv) above, then it shall be presumed that, in making its decision, the Board of Directors acted in good faith, and in any proceeding brought by any Limited Partner or Assignee or by or on behalf of such Limited Partner or Assignee or any other Limited Partner or Assignee or the Partnership challenging such approval, the Person bringing or prosecuting such proceeding shall have the burden of overcoming such presumption. Notwithstanding anything to the contrary in this Agreement or any duty otherwise existing at law or equity, the existence of the conflicts of interest described in the Registration Statement are hereby approved by all Partners and shall not constitute a breach of this Agreement. </w:t>
      </w:r>
    </w:p>
    <w:p>
      <w:pPr>
        <w:pStyle w:val="TextBody"/>
        <w:bidi w:val="0"/>
        <w:spacing w:before="240" w:after="0"/>
        <w:jc w:val="left"/>
        <w:rPr>
          <w:rFonts w:ascii="Times New Roman" w:hAnsi="Times New Roman"/>
          <w:sz w:val="20"/>
        </w:rPr>
      </w:pPr>
      <w:r>
        <w:rPr>
          <w:rFonts w:ascii="Times New Roman" w:hAnsi="Times New Roman"/>
          <w:sz w:val="20"/>
        </w:rPr>
        <w:t>(b) Whenever the General Partner makes a determination or takes or declines to take any other action, or any of its Affiliates causes it to do so, in its capacity as the general partner of the Partnership as opposed to in its individual capacity, whether under this Agreement, or any other agreement contemplated hereby or otherwise, then unless another express standard is provided for in this Agreement, the General Partner, or such Affiliates causing it to do so, shall make such determination or take or decline to take such other action in good faith and shall not be subject to any other or different standards imposed by this Agreement, any other agreement contemplated hereby or under the Texas Limited Partnership Law or any other law, rule or regulation or at equity. In order for a determination or other action to be in “</w:t>
      </w:r>
      <w:r>
        <w:rPr>
          <w:rFonts w:ascii="Times New Roman" w:hAnsi="Times New Roman"/>
          <w:i/>
          <w:sz w:val="20"/>
        </w:rPr>
        <w:t>good faith</w:t>
      </w:r>
      <w:r>
        <w:rPr>
          <w:rFonts w:ascii="Times New Roman" w:hAnsi="Times New Roman"/>
          <w:sz w:val="20"/>
        </w:rPr>
        <w:t xml:space="preserve">” for purposes of this Agreement, the Person or Persons (including the Board of Directors or any committee thereof acting on behalf of the General Partner) making such determination or taking or declining to take such other action must believe that the determination or other action is in the best interests of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(c) Whenever the General Partner (including the Board of Directors or any committee thereof acting on behalf of the General Partner) makes a determination or takes or declines to take any other action, or any of its Affiliates causes it to do so, in its individual capacity as opposed to in its capacity as a general partner of the Partnership, whether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or any other agreement contemplated hereby or otherwise, then the General Partner (including the Board of Directors or any committee thereof acting on behalf of the General Partner), or such Affiliates causing it to do so, are entitled to make such determination or to take or decline to take such other action free of any fiduciary duty or obligation whatsoever to the Partnership, any Limited Partner or Assignee, and the General Partner (including the Board of Directors or any committee thereof acting on behalf of the General Partner), or such Affiliates causing it to do so, shall not be required to act in good faith or pursuant to any other standard imposed by this Agreement, any other agreement contemplated hereby or under the Texas Limited Partnership Law or any other law, rule or regulation or at equity. By way of illustration and not of limitation, whenever the phrase, “</w:t>
      </w:r>
      <w:r>
        <w:rPr>
          <w:rFonts w:ascii="Times New Roman" w:hAnsi="Times New Roman"/>
          <w:i/>
          <w:sz w:val="20"/>
        </w:rPr>
        <w:t>at the option of the General Partner</w:t>
      </w:r>
      <w:r>
        <w:rPr>
          <w:rFonts w:ascii="Times New Roman" w:hAnsi="Times New Roman"/>
          <w:sz w:val="20"/>
        </w:rPr>
        <w:t xml:space="preserve">,” or some variation of that phrase, is used in this Agreement, it indicates that the General Partner is acting in its individual capacity. For the avoidance of doubt, whenever the General Partner votes or transfers its Units, or refrains from voting or transferring its Units, it shall be acting in its individual capacity. The General Partner’s organizational documents may provide that determinations to take or decline to take any action in its individual, rather than representative, capacity may or shall be determined by its members, if the General Partner is a limited liability company, stockholders, if the General Partner is a corporation, or the members or stockholders of the General Partner’s general partner, if the General Partner is a limited partnership.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in this Agreement, none of the General Partner and its Affiliates, nor the Board of Directors or any committee thereof, shall have any duty or obligation, express or implied, to (i) sell or otherwise dispose of any asset of the Partnership Group other than in the ordinary course of business or (ii) permit any Group Member to use any facilities or assets of the General Partner and its Affiliates, except as may be provided in contracts entered into from time to time specifically dealing with such use. Any determination by the General Partner or any of its Affiliates to enter into such contracts shall be at its option. </w:t>
      </w:r>
    </w:p>
    <w:p>
      <w:pPr>
        <w:pStyle w:val="TextBody"/>
        <w:bidi w:val="0"/>
        <w:spacing w:before="240" w:after="0"/>
        <w:jc w:val="left"/>
        <w:rPr>
          <w:rFonts w:ascii="Times New Roman" w:hAnsi="Times New Roman"/>
          <w:sz w:val="20"/>
        </w:rPr>
      </w:pPr>
      <w:r>
        <w:rPr>
          <w:rFonts w:ascii="Times New Roman" w:hAnsi="Times New Roman"/>
          <w:sz w:val="20"/>
        </w:rPr>
        <w:t xml:space="preserve">(e) Except as expressly set forth in this Agreement, none of the General Partner, the Board of Directors, any committee of the Board of Directors nor any other Indemnitee shall have any duties or liabilities, including fiduciary duties, to the Partnership or any Limited Partner or Assignee. The provisions of this Agreement, to the extent that they restrict, eliminate or otherwise modify the duties and liabilities, including fiduciary duties, of the General Partner or any other Indemnitee otherwise existing at law or in equity, are agreed by the Partners to replace such other duties and liabilities of the General Partner, the Board of Directors, any committee of the Board of Directors or such other Indemnitee. The General Partner and other Indemnitees shall have no duties or obligations under Sections 152.205, 152.206 or 152.204(b) of the Texas Limited Partnership Law. </w:t>
      </w:r>
    </w:p>
    <w:p>
      <w:pPr>
        <w:pStyle w:val="TextBody"/>
        <w:bidi w:val="0"/>
        <w:spacing w:before="240" w:after="0"/>
        <w:jc w:val="left"/>
        <w:rPr>
          <w:rFonts w:ascii="Times New Roman" w:hAnsi="Times New Roman"/>
          <w:sz w:val="20"/>
        </w:rPr>
      </w:pPr>
      <w:r>
        <w:rPr>
          <w:rFonts w:ascii="Times New Roman" w:hAnsi="Times New Roman"/>
          <w:sz w:val="20"/>
        </w:rPr>
        <w:t xml:space="preserve">(f) Section 153.163 of the Texas Limited Partnership Law shall not apply to any “managerial official” (as defined in the TBOC). </w:t>
      </w:r>
    </w:p>
    <w:p>
      <w:pPr>
        <w:pStyle w:val="TextBody"/>
        <w:bidi w:val="0"/>
        <w:spacing w:before="240" w:after="0"/>
        <w:jc w:val="left"/>
        <w:rPr>
          <w:rFonts w:ascii="Times New Roman" w:hAnsi="Times New Roman"/>
          <w:sz w:val="20"/>
        </w:rPr>
      </w:pPr>
      <w:r>
        <w:rPr>
          <w:rFonts w:ascii="Times New Roman" w:hAnsi="Times New Roman"/>
          <w:sz w:val="20"/>
        </w:rPr>
        <w:t xml:space="preserve">(g) The Unitholders hereby authorize the General Partner, on behalf of the Partnership as a partner or member of a Group Member, to approve of actions by the general partner or managing member of such Group Member similar to those actions permitted to be taken by the General Partner pursuant to this </w:t>
      </w:r>
      <w:r>
        <w:rPr>
          <w:rFonts w:ascii="Times New Roman" w:hAnsi="Times New Roman"/>
          <w:sz w:val="20"/>
          <w:u w:val="single"/>
        </w:rPr>
        <w:t>Section 7.9</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Other Matters Concerning the General Partner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General Partner (including the Board of Directors or any committee thereof acting on behalf of the General Partner)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 </w:t>
      </w:r>
    </w:p>
    <w:p>
      <w:pPr>
        <w:pStyle w:val="TextBody"/>
        <w:bidi w:val="0"/>
        <w:spacing w:before="240" w:after="0"/>
        <w:jc w:val="left"/>
        <w:rPr>
          <w:rFonts w:ascii="Times New Roman" w:hAnsi="Times New Roman"/>
          <w:sz w:val="20"/>
        </w:rPr>
      </w:pPr>
      <w:r>
        <w:rPr>
          <w:rFonts w:ascii="Times New Roman" w:hAnsi="Times New Roman"/>
          <w:sz w:val="20"/>
        </w:rPr>
        <w:t xml:space="preserve">(b) The General Partner (including the Board of Directors or any committee thereof acting on behalf of the General Partner) may consult with legal counsel, accountants, appraisers, management consultants, investment bankers and other consultants and advisers selected by it, and any act taken or omitted to be taken in reliance upon the opinion (including an Opinion of Counsel) of such Persons as to matters that the General Partner (including the Board of Directors or any committee thereof acting on behalf of the General Partner) reasonably believes to be within such Person’s professional or expert competence shall be conclusively presumed to have been done or omitted in good faith and in accordance with such opinion. </w:t>
      </w:r>
    </w:p>
    <w:p>
      <w:pPr>
        <w:pStyle w:val="TextBody"/>
        <w:bidi w:val="0"/>
        <w:spacing w:before="240" w:after="0"/>
        <w:jc w:val="left"/>
        <w:rPr>
          <w:rFonts w:ascii="Times New Roman" w:hAnsi="Times New Roman"/>
          <w:sz w:val="20"/>
        </w:rPr>
      </w:pPr>
      <w:r>
        <w:rPr>
          <w:rFonts w:ascii="Times New Roman" w:hAnsi="Times New Roman"/>
          <w:sz w:val="20"/>
        </w:rPr>
        <w:t xml:space="preserve">(c) The General Partner (including the Board of Directors or any committee thereof acting on behalf of the General Partner) shall have the right, in respect of any of its powers or obligations hereunder, to act through any of its duly authorized officers, a duly appointed attorney or attorneys-in-fact or the duly authorized officers of the Partnership. Each such attorney shall, to the extent provided by the General Partner (including the Board of Directors or any committee thereof acting on behalf of the General Partner) in the power of attorney, have full power and authority to do and perform each and every act and duty that is permitted or required to be done by the General Partner (including the Board of Directors or any committee thereof acting on behalf of the General Partner)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Purchase or Sale of Partnership Securities</w:t>
      </w:r>
      <w:r>
        <w:rPr>
          <w:rFonts w:ascii="Times New Roman" w:hAnsi="Times New Roman"/>
          <w:sz w:val="20"/>
        </w:rPr>
        <w:t xml:space="preserve">. The General Partner may cause the Partnership to purchase or otherwise acquire Partnership Securities, which shall be held by the Partnership as treasury securities unless they are expressly canceled by action of an appropriate officer of the General Partner. As long as Partnership Securities are held by any Group Member, such Partnership Securities shall not be considered Outstanding for any purpose, except as otherwise provided herein. The General Partner or any of its Affiliates may also purchase or otherwise acquire and sell or otherwise dispose of Partnership Securities for their own account, subject to the provisions of </w:t>
      </w:r>
      <w:r>
        <w:rPr>
          <w:rFonts w:ascii="Times New Roman" w:hAnsi="Times New Roman"/>
          <w:sz w:val="20"/>
          <w:u w:val="single"/>
        </w:rPr>
        <w:t>Articles IV</w:t>
      </w:r>
      <w:r>
        <w:rPr>
          <w:rFonts w:ascii="Times New Roman" w:hAnsi="Times New Roman"/>
          <w:sz w:val="20"/>
        </w:rPr>
        <w:t xml:space="preserve"> and </w:t>
      </w:r>
      <w:r>
        <w:rPr>
          <w:rFonts w:ascii="Times New Roman" w:hAnsi="Times New Roman"/>
          <w:sz w:val="20"/>
          <w:u w:val="single"/>
        </w:rPr>
        <w:t>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Registration Rights of the General Partner and its Affiliates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(i) the General Partner or any Affiliate of the General Partner (including for purposes of this </w:t>
      </w:r>
      <w:r>
        <w:rPr>
          <w:rFonts w:ascii="Times New Roman" w:hAnsi="Times New Roman"/>
          <w:sz w:val="20"/>
          <w:u w:val="single"/>
        </w:rPr>
        <w:t>Section 7.12</w:t>
      </w:r>
      <w:r>
        <w:rPr>
          <w:rFonts w:ascii="Times New Roman" w:hAnsi="Times New Roman"/>
          <w:sz w:val="20"/>
        </w:rPr>
        <w:t>, any Person that is an Affiliate of the General Partner at the date hereof notwithstanding that it may later cease to be an Affiliate of the General Partner) holds Partnership Securities that it desires to sell and (ii) Rule 144 of the Securities Act (or any successor rule or regulation to Rule 144) or another exemption from registration is not available to enable such holder of Partnership Securities (the “</w:t>
      </w:r>
      <w:r>
        <w:rPr>
          <w:rFonts w:ascii="Times New Roman" w:hAnsi="Times New Roman"/>
          <w:i/>
          <w:sz w:val="20"/>
        </w:rPr>
        <w:t>Holder</w:t>
      </w:r>
      <w:r>
        <w:rPr>
          <w:rFonts w:ascii="Times New Roman" w:hAnsi="Times New Roman"/>
          <w:sz w:val="20"/>
        </w:rPr>
        <w:t xml:space="preserve">”) to dispose of the number of Partnership Securities it desires to sell at the time it desires to do so without registration under the Securities Act, then at the option and upon the request of the Holder, the Partnership shall file with the Commission as promptly as practicable after receiving such request, and use all commercially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reasonable efforts to cause to become effective and remain effective for a period of not less than six months following its effective date or such shorter period as shall terminate when all Partnership Securities covered by such registration statement have been sold, a registration statement under the Securities Act registering the offering and sale of the number of Partnership Securities specified by the Holder;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Partnership shall not be required to effect more than three registrations pursuant to this </w:t>
      </w:r>
      <w:r>
        <w:rPr>
          <w:rFonts w:ascii="Times New Roman" w:hAnsi="Times New Roman"/>
          <w:sz w:val="20"/>
          <w:u w:val="single"/>
        </w:rPr>
        <w:t>Section 7.12(a)</w:t>
      </w:r>
      <w:r>
        <w:rPr>
          <w:rFonts w:ascii="Times New Roman" w:hAnsi="Times New Roman"/>
          <w:sz w:val="20"/>
        </w:rPr>
        <w:t xml:space="preserve"> and </w:t>
      </w:r>
      <w:r>
        <w:rPr>
          <w:rFonts w:ascii="Times New Roman" w:hAnsi="Times New Roman"/>
          <w:sz w:val="20"/>
          <w:u w:val="single"/>
        </w:rPr>
        <w:t>Section 7.12(b)</w:t>
      </w:r>
      <w:r>
        <w:rPr>
          <w:rFonts w:ascii="Times New Roman" w:hAnsi="Times New Roman"/>
          <w:sz w:val="20"/>
        </w:rPr>
        <w:t xml:space="preserve">; and </w:t>
      </w:r>
      <w:r>
        <w:rPr>
          <w:rFonts w:ascii="Times New Roman" w:hAnsi="Times New Roman"/>
          <w:sz w:val="20"/>
          <w:u w:val="single"/>
        </w:rPr>
        <w:t>provided further</w:t>
      </w:r>
      <w:r>
        <w:rPr>
          <w:rFonts w:ascii="Times New Roman" w:hAnsi="Times New Roman"/>
          <w:sz w:val="20"/>
        </w:rPr>
        <w:t xml:space="preserve">, however, that if the Conflicts Committee determines in good faith that the requested registration would be materially detrimental to the Partnership and its Partners because such registration would (x) materially interfere with a significant acquisition, reorganization or other similar transaction involving the Partnership, (y) require premature disclosure of material information that the Partnership has a bona fide business purpose for preserving as confidential or (z) render the Partnership unable to comply with requirements under applicable securities laws, then the Partnership shall have the right to postpone such requested registration for a period of not more than six months after receipt of the Holder’s request, such right pursuant to this </w:t>
      </w:r>
      <w:r>
        <w:rPr>
          <w:rFonts w:ascii="Times New Roman" w:hAnsi="Times New Roman"/>
          <w:sz w:val="20"/>
          <w:u w:val="single"/>
        </w:rPr>
        <w:t>Section 7.12(a)</w:t>
      </w:r>
      <w:r>
        <w:rPr>
          <w:rFonts w:ascii="Times New Roman" w:hAnsi="Times New Roman"/>
          <w:sz w:val="20"/>
        </w:rPr>
        <w:t xml:space="preserve"> or </w:t>
      </w:r>
      <w:r>
        <w:rPr>
          <w:rFonts w:ascii="Times New Roman" w:hAnsi="Times New Roman"/>
          <w:sz w:val="20"/>
          <w:u w:val="single"/>
        </w:rPr>
        <w:t>Section 7.12(b)</w:t>
      </w:r>
      <w:r>
        <w:rPr>
          <w:rFonts w:ascii="Times New Roman" w:hAnsi="Times New Roman"/>
          <w:sz w:val="20"/>
        </w:rPr>
        <w:t xml:space="preserve"> not to be utilized more than once in any twelve-month period. Except as provided in the preceding sentence, the Partnership shall be deemed not to have used all reasonable efforts to keep the registration statement effective during the applicable period if it voluntarily takes any action that would result in Holders of Partnership Securities covered thereby not being able to offer and sell such Partnership Securities at any time during such period, unless such action is required by applicable law. In connection with any registration pursuant to the immediately preceding sentence, the Partnership shall (i) promptly prepare and file (A) such documents as may be necessary to register or qualify the securities subject to such registration under the securities laws of such states as the Holder shall reasonably request;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no such qualification shall be required in any jurisdiction where, as a result thereof, the Partnership would become subject to general service of process or to taxation or qualification to do business as a foreign corporation or partnership doing business in such jurisdiction solely as a result of such registration, and (B) such documents as may be necessary to apply for listing or to list the Partnership Securities subject to such registration on such National Securities Exchange as the Holder shall reasonably request, and (ii) do any and all other acts and things that may be necessary or appropriate to enable the Holder to consummate a public sale of such Partnership Securities in such states. Except as set forth in </w:t>
      </w:r>
      <w:r>
        <w:rPr>
          <w:rFonts w:ascii="Times New Roman" w:hAnsi="Times New Roman"/>
          <w:sz w:val="20"/>
          <w:u w:val="single"/>
        </w:rPr>
        <w:t>Section 7.12(d)</w:t>
      </w:r>
      <w:r>
        <w:rPr>
          <w:rFonts w:ascii="Times New Roman" w:hAnsi="Times New Roman"/>
          <w:sz w:val="20"/>
        </w:rPr>
        <w:t xml:space="preserve">, all costs and expenses of any such registration and offering (other than the underwriting discounts and commissions) shall be paid by the Partnership, without reimbursement by the Holder. </w:t>
      </w:r>
    </w:p>
    <w:p>
      <w:pPr>
        <w:pStyle w:val="TextBody"/>
        <w:bidi w:val="0"/>
        <w:spacing w:before="240" w:after="0"/>
        <w:jc w:val="left"/>
        <w:rPr>
          <w:rFonts w:ascii="Times New Roman" w:hAnsi="Times New Roman"/>
          <w:sz w:val="20"/>
        </w:rPr>
      </w:pPr>
      <w:r>
        <w:rPr>
          <w:rFonts w:ascii="Times New Roman" w:hAnsi="Times New Roman"/>
          <w:sz w:val="20"/>
        </w:rPr>
        <w:t>(b) If any Holder holds Partnership Securities that it desires to sell and Rule 144 of the Securities Act (or any successor rule or regulation to Rule 144) or another exemption from registration is not available to enable such Holder to dispose of the number of Partnership Securities it desires to sell at the time it desires to do so without registration under the Securities Act, then at the option and upon the request of the Holder, the Partnership shall file with the Commission as promptly as practicable after receiving such request, and use all commercially reasonable efforts to cause to become effective and remain effective for a period of not less than six months following its effective date or such shorter period as shall terminate when all Partnership Securities covered by such shelf registration statement have been sold, a “</w:t>
      </w:r>
      <w:r>
        <w:rPr>
          <w:rFonts w:ascii="Times New Roman" w:hAnsi="Times New Roman"/>
          <w:i/>
          <w:sz w:val="20"/>
        </w:rPr>
        <w:t>shelf</w:t>
      </w:r>
      <w:r>
        <w:rPr>
          <w:rFonts w:ascii="Times New Roman" w:hAnsi="Times New Roman"/>
          <w:sz w:val="20"/>
        </w:rPr>
        <w:t xml:space="preserve">” registration statement covering the Partnership Securities specified by the Holder on an appropriate form under Rule 415 under the Securities Act, or any similar rule that may be adopted by the Commission;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Partnership shall not be required to effect more than three registrations pursuant to </w:t>
      </w:r>
      <w:r>
        <w:rPr>
          <w:rFonts w:ascii="Times New Roman" w:hAnsi="Times New Roman"/>
          <w:sz w:val="20"/>
          <w:u w:val="single"/>
        </w:rPr>
        <w:t>Section 7.12(a)</w:t>
      </w:r>
      <w:r>
        <w:rPr>
          <w:rFonts w:ascii="Times New Roman" w:hAnsi="Times New Roman"/>
          <w:sz w:val="20"/>
        </w:rPr>
        <w:t xml:space="preserve"> and this </w:t>
      </w:r>
      <w:r>
        <w:rPr>
          <w:rFonts w:ascii="Times New Roman" w:hAnsi="Times New Roman"/>
          <w:sz w:val="20"/>
          <w:u w:val="single"/>
        </w:rPr>
        <w:t>Section 7.12(b)</w:t>
      </w:r>
      <w:r>
        <w:rPr>
          <w:rFonts w:ascii="Times New Roman" w:hAnsi="Times New Roman"/>
          <w:sz w:val="20"/>
        </w:rPr>
        <w:t xml:space="preserve">; and </w:t>
      </w:r>
      <w:r>
        <w:rPr>
          <w:rFonts w:ascii="Times New Roman" w:hAnsi="Times New Roman"/>
          <w:sz w:val="20"/>
          <w:u w:val="single"/>
        </w:rPr>
        <w:t>provided further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however</w:t>
      </w:r>
      <w:r>
        <w:rPr>
          <w:rFonts w:ascii="Times New Roman" w:hAnsi="Times New Roman"/>
          <w:sz w:val="20"/>
        </w:rPr>
        <w:t xml:space="preserve">, that if the Conflicts Committee determines in good faith that any offering under, or the use of any prospectus forming a part of, the shelf registration statement would be materially detrimental to the Partnership and its Partners because such offering or use would (x) materially interfere with a significant acquisition, reorganization or other similar transaction involving the Partnership, (y) require premature disclosure of material information that the Partnership has a bona fide business purpose for preserving as confidential or (z) render the Partnership unable to comply with requirements under applicable securities laws, then the Partnership shall have the right to suspend such offering or use for a period of not more than six months after receipt of the Holder’s request, such right pursuant to </w:t>
      </w:r>
      <w:r>
        <w:rPr>
          <w:rFonts w:ascii="Times New Roman" w:hAnsi="Times New Roman"/>
          <w:sz w:val="20"/>
          <w:u w:val="single"/>
        </w:rPr>
        <w:t>Section 7.12(a)</w:t>
      </w:r>
      <w:r>
        <w:rPr>
          <w:rFonts w:ascii="Times New Roman" w:hAnsi="Times New Roman"/>
          <w:sz w:val="20"/>
        </w:rPr>
        <w:t xml:space="preserve"> or this </w:t>
      </w:r>
      <w:r>
        <w:rPr>
          <w:rFonts w:ascii="Times New Roman" w:hAnsi="Times New Roman"/>
          <w:sz w:val="20"/>
          <w:u w:val="single"/>
        </w:rPr>
        <w:t>Section 7.12(b)</w:t>
      </w:r>
      <w:r>
        <w:rPr>
          <w:rFonts w:ascii="Times New Roman" w:hAnsi="Times New Roman"/>
          <w:sz w:val="20"/>
        </w:rPr>
        <w:t xml:space="preserve"> not to be utilized more than once in any twelve-month period. Except as provided in the preceding sentence, the Partnership shall be deemed not to have used all commercially reasonable efforts to keep the shelf registration statement effective during the applicable period if it voluntarily takes any action that would result in Holders of Partnership Securities covered thereby not being able to offer and sell such Partnership Securities at any time during such period, unless such action is required by applicable law. In connection with any shelf registration pursuant to this </w:t>
      </w:r>
      <w:r>
        <w:rPr>
          <w:rFonts w:ascii="Times New Roman" w:hAnsi="Times New Roman"/>
          <w:sz w:val="20"/>
          <w:u w:val="single"/>
        </w:rPr>
        <w:t>Section 7.12(b)</w:t>
      </w:r>
      <w:r>
        <w:rPr>
          <w:rFonts w:ascii="Times New Roman" w:hAnsi="Times New Roman"/>
          <w:sz w:val="20"/>
        </w:rPr>
        <w:t xml:space="preserve">, the Partnership shall (i) promptly prepare and file (A) such documents as may be necessary to register or qualify the securities subject to such shelf registration under the securities laws of such states as the Holder shall reasonably request;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no such qualification shall be required in any jurisdiction where, as a result thereof, the Partnership would become subject to general service of process or to taxation or qualification to do business as a foreign corporation or partnership doing business in such jurisdiction solely as a result of such shelf registration, and (B) such documents as may be necessary to apply for listing or to list the Partnership Securities subject to such shelf registration on such National Securities Exchange as the Holder shall reasonably request, and (ii) do any and all other acts and things that may be necessary or appropriate to enable the Holder to consummate a public sale of such Partnership Securities in such states. Except as set forth in </w:t>
      </w:r>
      <w:r>
        <w:rPr>
          <w:rFonts w:ascii="Times New Roman" w:hAnsi="Times New Roman"/>
          <w:sz w:val="20"/>
          <w:u w:val="single"/>
        </w:rPr>
        <w:t>Section 7.12(d)</w:t>
      </w:r>
      <w:r>
        <w:rPr>
          <w:rFonts w:ascii="Times New Roman" w:hAnsi="Times New Roman"/>
          <w:sz w:val="20"/>
        </w:rPr>
        <w:t xml:space="preserve">, all costs and expenses of any such shelf registration and offering (other than the underwriting discounts and commissions) shall be paid by the Partnership, without reimbursement by the Holder. </w:t>
      </w:r>
    </w:p>
    <w:p>
      <w:pPr>
        <w:pStyle w:val="TextBody"/>
        <w:bidi w:val="0"/>
        <w:spacing w:before="240" w:after="0"/>
        <w:jc w:val="left"/>
        <w:rPr>
          <w:rFonts w:ascii="Times New Roman" w:hAnsi="Times New Roman"/>
          <w:sz w:val="20"/>
        </w:rPr>
      </w:pPr>
      <w:r>
        <w:rPr>
          <w:rFonts w:ascii="Times New Roman" w:hAnsi="Times New Roman"/>
          <w:sz w:val="20"/>
        </w:rPr>
        <w:t xml:space="preserve">(c) If the Partnership shall at any time propose to file a registration statement under the Securities Act for an offering of equity securities of the Partnership for cash (other than an offering relating solely to an employee benefit plan), the Partnership shall use all commercially reasonable efforts to include such number or amount of securities held by any Holder in such registration statement as the Holder shall request;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the Partnership is not required to make any effort or take an action to so include the securities of the Holder once the registration statement becomes or is declared effective by the Commission, including any registration statement providing for the offering from time to time of securities pursuant to Rule 415 of the Securities Act. If the proposed offering pursuant to this </w:t>
      </w:r>
      <w:r>
        <w:rPr>
          <w:rFonts w:ascii="Times New Roman" w:hAnsi="Times New Roman"/>
          <w:sz w:val="20"/>
          <w:u w:val="single"/>
        </w:rPr>
        <w:t>Section 7.12(c)</w:t>
      </w:r>
      <w:r>
        <w:rPr>
          <w:rFonts w:ascii="Times New Roman" w:hAnsi="Times New Roman"/>
          <w:sz w:val="20"/>
        </w:rPr>
        <w:t xml:space="preserve"> shall be an underwritten offering, then, in the event that the managing underwriter or managing underwriters of such offering advise the Partnership and the Holder in writing that in their opinion the inclusion of all or some of the Holder’s Partnership Securities would adversely and materially affect the success of the offering, the Partnership shall include in such offering only that number or amount, if any, of securities held by the Holder that, in the opinion of the managing underwriter or managing underwriters, will not so adversely and materially affect the offering. Except as set forth in </w:t>
      </w:r>
      <w:r>
        <w:rPr>
          <w:rFonts w:ascii="Times New Roman" w:hAnsi="Times New Roman"/>
          <w:sz w:val="20"/>
          <w:u w:val="single"/>
        </w:rPr>
        <w:t>Section 7.12(d)</w:t>
      </w:r>
      <w:r>
        <w:rPr>
          <w:rFonts w:ascii="Times New Roman" w:hAnsi="Times New Roman"/>
          <w:sz w:val="20"/>
        </w:rPr>
        <w:t xml:space="preserve">, all costs and expenses of any such registration and offering (other than the underwriting discounts and commissions) shall be paid by the Partnership, without reimbursement by the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underwriters are engaged in connection with any registration referred to in this </w:t>
      </w:r>
      <w:r>
        <w:rPr>
          <w:rFonts w:ascii="Times New Roman" w:hAnsi="Times New Roman"/>
          <w:sz w:val="20"/>
          <w:u w:val="single"/>
        </w:rPr>
        <w:t>Section 7.12</w:t>
      </w:r>
      <w:r>
        <w:rPr>
          <w:rFonts w:ascii="Times New Roman" w:hAnsi="Times New Roman"/>
          <w:sz w:val="20"/>
        </w:rPr>
        <w:t xml:space="preserve">, the Partnership shall provide indemnification, representations, covenants, opinions and other assurance to the underwriters in form and substance reasonably satisfactory to such underwriters. Further, in addition to and not in limitation of the Partnership’s obligation under </w:t>
      </w:r>
      <w:r>
        <w:rPr>
          <w:rFonts w:ascii="Times New Roman" w:hAnsi="Times New Roman"/>
          <w:sz w:val="20"/>
          <w:u w:val="single"/>
        </w:rPr>
        <w:t>Section 7.7</w:t>
      </w:r>
      <w:r>
        <w:rPr>
          <w:rFonts w:ascii="Times New Roman" w:hAnsi="Times New Roman"/>
          <w:sz w:val="20"/>
        </w:rPr>
        <w:t>, the Partnership shall, to the maximum extent permitted by law, indemnify and hold harmless the Holder, its officers, directors and each Person who controls the Holder (within the meaning of the Securities Act) and any agent thereof (collectively, “</w:t>
      </w:r>
      <w:r>
        <w:rPr>
          <w:rFonts w:ascii="Times New Roman" w:hAnsi="Times New Roman"/>
          <w:i/>
          <w:sz w:val="20"/>
        </w:rPr>
        <w:t>Indemnified Persons</w:t>
      </w:r>
      <w:r>
        <w:rPr>
          <w:rFonts w:ascii="Times New Roman" w:hAnsi="Times New Roman"/>
          <w:sz w:val="20"/>
        </w:rPr>
        <w:t xml:space="preserve">”)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Indemnified Person may be involved, or is threatened to be involved, as a party or otherwise, under the Securities Act or otherwise (hereinafter referred to in this </w:t>
      </w:r>
      <w:r>
        <w:rPr>
          <w:rFonts w:ascii="Times New Roman" w:hAnsi="Times New Roman"/>
          <w:sz w:val="20"/>
          <w:u w:val="single"/>
        </w:rPr>
        <w:t>Section 7.12(d)</w:t>
      </w:r>
      <w:r>
        <w:rPr>
          <w:rFonts w:ascii="Times New Roman" w:hAnsi="Times New Roman"/>
          <w:sz w:val="20"/>
        </w:rPr>
        <w:t xml:space="preserve"> as a “</w:t>
      </w:r>
      <w:r>
        <w:rPr>
          <w:rFonts w:ascii="Times New Roman" w:hAnsi="Times New Roman"/>
          <w:i/>
          <w:sz w:val="20"/>
        </w:rPr>
        <w:t>claim</w:t>
      </w:r>
      <w:r>
        <w:rPr>
          <w:rFonts w:ascii="Times New Roman" w:hAnsi="Times New Roman"/>
          <w:sz w:val="20"/>
        </w:rPr>
        <w:t>” and in the plural as “</w:t>
      </w:r>
      <w:r>
        <w:rPr>
          <w:rFonts w:ascii="Times New Roman" w:hAnsi="Times New Roman"/>
          <w:i/>
          <w:sz w:val="20"/>
        </w:rPr>
        <w:t>claims</w:t>
      </w:r>
      <w:r>
        <w:rPr>
          <w:rFonts w:ascii="Times New Roman" w:hAnsi="Times New Roman"/>
          <w:sz w:val="20"/>
        </w:rPr>
        <w:t xml:space="preserve">”) based upon, arising out of or resulting from any untrue statement or alleged untrue statement of any material fact contained in any registration statement under which any Partnership Securities were registered under the Securities Act or any state securities or Blue Sky laws, in any preliminary prospectus (if used prior to the effective date of such registration statement), or in any summary or final prospectus or in any amendment or supplement thereto (if used during the period the Partnership is required to keep the registration statement current), or arising out of, based upon or resulting from the omission or alleged omission to state therein a material fact required to be stated therein or necessary to make the statements made therein not misleading;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Partnership shall not be liable to any Indemnified Person to the extent that any such claim arises out of, is based upon or results from an untrue statement or alleged untrue statement or omission or alleged omission made in such registration statement, such preliminary, summary or final prospectus or such amendment or supplement, in reliance upon and in conformity with written information furnished to the Partnership by or on behalf of such Indemnified Person specifically for use in the preparation thereof. </w:t>
      </w:r>
    </w:p>
    <w:p>
      <w:pPr>
        <w:pStyle w:val="TextBody"/>
        <w:bidi w:val="0"/>
        <w:spacing w:before="240" w:after="0"/>
        <w:jc w:val="left"/>
        <w:rPr>
          <w:rFonts w:ascii="Times New Roman" w:hAnsi="Times New Roman"/>
          <w:sz w:val="20"/>
        </w:rPr>
      </w:pPr>
      <w:r>
        <w:rPr>
          <w:rFonts w:ascii="Times New Roman" w:hAnsi="Times New Roman"/>
          <w:sz w:val="20"/>
        </w:rPr>
        <w:t xml:space="preserve">(e) The provisions of </w:t>
      </w:r>
      <w:r>
        <w:rPr>
          <w:rFonts w:ascii="Times New Roman" w:hAnsi="Times New Roman"/>
          <w:sz w:val="20"/>
          <w:u w:val="single"/>
        </w:rPr>
        <w:t>Sections 7.12(a)</w:t>
      </w:r>
      <w:r>
        <w:rPr>
          <w:rFonts w:ascii="Times New Roman" w:hAnsi="Times New Roman"/>
          <w:sz w:val="20"/>
        </w:rPr>
        <w:t xml:space="preserve">, </w:t>
      </w:r>
      <w:r>
        <w:rPr>
          <w:rFonts w:ascii="Times New Roman" w:hAnsi="Times New Roman"/>
          <w:sz w:val="20"/>
          <w:u w:val="single"/>
        </w:rPr>
        <w:t>7.12(b)</w:t>
      </w:r>
      <w:r>
        <w:rPr>
          <w:rFonts w:ascii="Times New Roman" w:hAnsi="Times New Roman"/>
          <w:sz w:val="20"/>
        </w:rPr>
        <w:t xml:space="preserve"> and </w:t>
      </w:r>
      <w:r>
        <w:rPr>
          <w:rFonts w:ascii="Times New Roman" w:hAnsi="Times New Roman"/>
          <w:sz w:val="20"/>
          <w:u w:val="single"/>
        </w:rPr>
        <w:t>7.12(c)</w:t>
      </w:r>
      <w:r>
        <w:rPr>
          <w:rFonts w:ascii="Times New Roman" w:hAnsi="Times New Roman"/>
          <w:sz w:val="20"/>
        </w:rPr>
        <w:t xml:space="preserve"> shall continue to be applicable with respect to the General Partner (and any of the General Partner’s Affiliates) after it ceases to be a general partner of the Partnership, during a period of two years subsequent to the effective date of such cessation and for so long thereafter as is required for the Holder to sell all of the Partnership Securities with respect to which it has requested during such two-year period inclusion in a registration statement otherwise filed or that a registration statement be filed;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Partnership shall not be required to file successive registration statements covering the same Partnership Securities for which registration was demanded during such two-year period. The provisions of </w:t>
      </w:r>
      <w:r>
        <w:rPr>
          <w:rFonts w:ascii="Times New Roman" w:hAnsi="Times New Roman"/>
          <w:sz w:val="20"/>
          <w:u w:val="single"/>
        </w:rPr>
        <w:t>Section 7.12(d)</w:t>
      </w:r>
      <w:r>
        <w:rPr>
          <w:rFonts w:ascii="Times New Roman" w:hAnsi="Times New Roman"/>
          <w:sz w:val="20"/>
        </w:rPr>
        <w:t xml:space="preserve"> shall continue in effect thereafter. </w:t>
      </w:r>
    </w:p>
    <w:p>
      <w:pPr>
        <w:pStyle w:val="TextBody"/>
        <w:bidi w:val="0"/>
        <w:spacing w:before="240" w:after="0"/>
        <w:jc w:val="left"/>
        <w:rPr>
          <w:rFonts w:ascii="Times New Roman" w:hAnsi="Times New Roman"/>
          <w:sz w:val="20"/>
        </w:rPr>
      </w:pPr>
      <w:r>
        <w:rPr>
          <w:rFonts w:ascii="Times New Roman" w:hAnsi="Times New Roman"/>
          <w:sz w:val="20"/>
        </w:rPr>
        <w:t xml:space="preserve">(f) The rights to cause the Partnership to register Partnership Securities pursuant to this </w:t>
      </w:r>
      <w:r>
        <w:rPr>
          <w:rFonts w:ascii="Times New Roman" w:hAnsi="Times New Roman"/>
          <w:sz w:val="20"/>
          <w:u w:val="single"/>
        </w:rPr>
        <w:t>Section 7.12</w:t>
      </w:r>
      <w:r>
        <w:rPr>
          <w:rFonts w:ascii="Times New Roman" w:hAnsi="Times New Roman"/>
          <w:sz w:val="20"/>
        </w:rPr>
        <w:t xml:space="preserve"> may be assigned (but only with all related obligations) by a Holder to a transferee or assignee of such Partnership Securities, provided (i) the Partnership is, within a reasonable time after such transfer, furnished with written notice of the name and address of such transferee or assignee and the Partnership Securities with respect to which such registration rights are being assigned; and (ii) such transferee or assignee agrees in writing to be bound by and subject to the terms set forth in this </w:t>
      </w:r>
      <w:r>
        <w:rPr>
          <w:rFonts w:ascii="Times New Roman" w:hAnsi="Times New Roman"/>
          <w:sz w:val="20"/>
          <w:u w:val="single"/>
        </w:rPr>
        <w:t>Section 7.12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Any request to register Partnership Securities pursuant to this </w:t>
      </w:r>
      <w:r>
        <w:rPr>
          <w:rFonts w:ascii="Times New Roman" w:hAnsi="Times New Roman"/>
          <w:sz w:val="20"/>
          <w:u w:val="single"/>
        </w:rPr>
        <w:t>Section 7.12</w:t>
      </w:r>
      <w:r>
        <w:rPr>
          <w:rFonts w:ascii="Times New Roman" w:hAnsi="Times New Roman"/>
          <w:sz w:val="20"/>
        </w:rPr>
        <w:t xml:space="preserve"> shall (i) specify the Partnership Securities intended to be offered and sold by the Person making the request, (ii) express such Person’s present intent to offer such Partnership Securities for distribution, (iii) describe the nature or method of the proposed offer and sale of Partnership Securities, and (iv) contain the undertaking of such Person to provide all such information and materials and take all action as may be required in order to permit the Partnership to comply with all applicable requirements in connection with the registration of such Partnership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Reliance by Third Parties</w:t>
      </w:r>
      <w:r>
        <w:rPr>
          <w:rFonts w:ascii="Times New Roman" w:hAnsi="Times New Roman"/>
          <w:sz w:val="20"/>
        </w:rPr>
        <w:t xml:space="preserve">. Notwithstanding anything to the contrary in this Agreement, any Person dealing with the Partnership shall be entitled to assume that the General Partner and any officer of the General Partner authorized by the General Partner to act on behalf of and in the name of the Partnership has full power and authority to encumber, sell or otherwise use in any manner any and all assets of the Partnership and to enter into any authorized contracts on behalf of the Partnership, and such Person shall be entitled to deal with the General Partner or any such officer as if it were the Partnership’s sole party in interest, both legally and beneficially. Each Limited Partner hereby waives any and all defenses or other remedies that may be available against such Person to contest, negate or disaffirm any action of the General Partner or any such officer in connection with any such dealing. In no event shall any Person dealing with the General Partner or any such officer or its representatives be obligated to ascertain that the terms of the Agreement have been complied with or to inquire into the necessity or expedience of any act or action of the General Partner or any such officer or its representatives. Each and every certificate, document or other instrument executed on behalf of the Partnership by the General Partner or any such officer or its representatives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Partnership and (c) such certificate, document or instrument was duly executed and delivered in accordance with the terms and provisions of this Agreement and is binding upon the Partnership.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BOOKS, RECORDS, ACCOUNTING AND REPORTS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Records and Accounting</w:t>
      </w:r>
      <w:r>
        <w:rPr>
          <w:rFonts w:ascii="Times New Roman" w:hAnsi="Times New Roman"/>
          <w:sz w:val="20"/>
        </w:rPr>
        <w:t xml:space="preserve">. The General Partner shall keep or cause to be kept at the principal office of the Partnership appropriate books and records with respect to the Partnership’s business, including all books and records necessary to provide to the Limited Partners any information required to be provided pursuant to </w:t>
      </w:r>
      <w:r>
        <w:rPr>
          <w:rFonts w:ascii="Times New Roman" w:hAnsi="Times New Roman"/>
          <w:sz w:val="20"/>
          <w:u w:val="single"/>
        </w:rPr>
        <w:t>Section 3.4(a)</w:t>
      </w:r>
      <w:r>
        <w:rPr>
          <w:rFonts w:ascii="Times New Roman" w:hAnsi="Times New Roman"/>
          <w:sz w:val="20"/>
        </w:rPr>
        <w:t xml:space="preserve">. Any books and records maintained by or on behalf of the Partnership in the regular course of its business, including the record of the Record Holders of Units or other Partnership Securities, books of account and records of Partnership proceedings, may be kept on, or be in the form of, computer disks, hard drives, punch cards, magnetic tape, photographs, micrographics or any other information storage device;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the books and records so maintained are convertible into clearly legible written form within a reasonable period of time. The books of the Partnership shall be maintained, for financial reporting purposes, on an accrual basis in accordance with U.S. GAAP.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Fiscal Year</w:t>
      </w:r>
      <w:r>
        <w:rPr>
          <w:rFonts w:ascii="Times New Roman" w:hAnsi="Times New Roman"/>
          <w:sz w:val="20"/>
        </w:rPr>
        <w:t xml:space="preserve">. The fiscal year of the Partnership shall be from January 1 to December 31.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Reports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soon as practicable, but in no event later than 120 days after the close of each fiscal year of the Partnership, the General Partner shall cause to be mailed or made available, by any reasonable means (including posting on the Partnership’s website), to each Record Holder of a Unit as of a date selected by the General Partner, an annual report containing financial statements of the Partnership for such fiscal year of the Partnership, presented in accordance with U.S. GAAP, including a balance sheet and statements of operations, Partnership equity and cash flows, such statements to be audited by a firm of independent public accountants selected by the General Partner. </w:t>
      </w:r>
    </w:p>
    <w:p>
      <w:pPr>
        <w:pStyle w:val="TextBody"/>
        <w:bidi w:val="0"/>
        <w:spacing w:before="240" w:after="0"/>
        <w:jc w:val="left"/>
        <w:rPr>
          <w:rFonts w:ascii="Times New Roman" w:hAnsi="Times New Roman"/>
          <w:sz w:val="20"/>
        </w:rPr>
      </w:pPr>
      <w:r>
        <w:rPr>
          <w:rFonts w:ascii="Times New Roman" w:hAnsi="Times New Roman"/>
          <w:sz w:val="20"/>
        </w:rPr>
        <w:t xml:space="preserve">(b) As soon as practicable, but in no event later than 90 days after the close of each Quarter except the last Quarter of each fiscal year, the General Partner shall cause to be mailed or made available, by any reasonable means (including posting on the Partnership’s website), to each Record Holder of a Unit, as of a date selected by the General Partner, a report containing unaudited financial statements of the Partnership and such other information as may be required by applicable law, regulation or rule of any National Securities Exchange on which the Units are listed or admitted for trading, or as the General Partner determines to be necessary or appropriate.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TAX MATTERS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Tax Returns and Information</w:t>
      </w:r>
      <w:r>
        <w:rPr>
          <w:rFonts w:ascii="Times New Roman" w:hAnsi="Times New Roman"/>
          <w:sz w:val="20"/>
        </w:rPr>
        <w:t xml:space="preserve">. The Partnership shall timely file all returns of the Partnership that are required for federal, state and local income tax purposes on the basis of the accrual method and a taxable year ending on December 31. The tax information reasonably required by Record Holders for federal and state income tax reporting purposes with respect to a taxable year shall be furnished to them within 90 days of the close of the calendar year in which the Partnership’s taxable year ends. The classification, realization and recognition of income, gain, losses and deductions and other items shall be on the accrual method of accounting for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Tax Elections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Partnership shall make the election under Section 754 of the Code in accordance with applicable regulations thereunder, subject to the reservation of the right to seek to revoke any such election upon the General Partner’s determination that such revocation is in the best interests of the Limited Partners. Notwithstanding any other provision herein contained, for the purposes of computing the adjustments under Section 743(b) of the Code, the General Partner shall be authorized (but not required) to adopt a convention whereby the price paid by a transferee of a Limited Partner Interest will be deemed to be the lowest quoted closing price of the Limited Partner Interests on any National Securities Exchange on which such Limited Partner Interests are listed or admitted for trading during the calendar month in which such transfer is deemed to occur pursuant to </w:t>
      </w:r>
      <w:r>
        <w:rPr>
          <w:rFonts w:ascii="Times New Roman" w:hAnsi="Times New Roman"/>
          <w:sz w:val="20"/>
          <w:u w:val="single"/>
        </w:rPr>
        <w:t>Section 6.2(g)</w:t>
      </w:r>
      <w:r>
        <w:rPr>
          <w:rFonts w:ascii="Times New Roman" w:hAnsi="Times New Roman"/>
          <w:sz w:val="20"/>
        </w:rPr>
        <w:t xml:space="preserve"> without regard to the actual price paid by such transferee.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provided herein, the General Partner shall determine whether the Partnership should make any other elections permitted by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Tax Controversies</w:t>
      </w:r>
      <w:r>
        <w:rPr>
          <w:rFonts w:ascii="Times New Roman" w:hAnsi="Times New Roman"/>
          <w:sz w:val="20"/>
        </w:rPr>
        <w:t>. The General Partner is designated as the “partnership representative” in accordance with the rules prescribed pursuant to Section 6223 of the Code (the “</w:t>
      </w:r>
      <w:r>
        <w:rPr>
          <w:rFonts w:ascii="Times New Roman" w:hAnsi="Times New Roman"/>
          <w:i/>
          <w:sz w:val="20"/>
        </w:rPr>
        <w:t>Partnership Representative</w:t>
      </w:r>
      <w:r>
        <w:rPr>
          <w:rFonts w:ascii="Times New Roman" w:hAnsi="Times New Roman"/>
          <w:sz w:val="20"/>
        </w:rPr>
        <w:t>”). The Partnership Representative shall have the authority to designate from time to time a “</w:t>
      </w:r>
      <w:r>
        <w:rPr>
          <w:rFonts w:ascii="Times New Roman" w:hAnsi="Times New Roman"/>
          <w:i/>
          <w:sz w:val="20"/>
        </w:rPr>
        <w:t>Designated Individual</w:t>
      </w:r>
      <w:r>
        <w:rPr>
          <w:rFonts w:ascii="Times New Roman" w:hAnsi="Times New Roman"/>
          <w:sz w:val="20"/>
        </w:rPr>
        <w:t xml:space="preserve">” to act on behalf of the Partnership Representative, and such Designated Individual shall be subject to replacement by the Partnership Representative in accordance with Treasury Regulations Section 301.6223-1. The Partnership Representative, or the Designated Individual, as applicable, shall have the sole authority to act on behalf of the Partnership in connection with all examinations of the Partnership’s affairs by tax authorities, including resulting administrative and judicial proceedings, and to expend Partnership funds for professional services and costs associated therewith. The Partnership Representative or the Designated Individual, as applicable, shall exercise in its sole discretion, any and all authority of the Partnership Representative under the Code, including, without limitation, (i) binding the Partnership and its Partners with respect to tax matters and (ii) determining whether to make any available election under Section 6226 of the Code. Any reasonable, documented cost or expense that the Partnership Representative or the Designated Individual, as applicable, incurs in connection with its duties, including the preparation for or pursuance of administrative or judicial proceedings, shall be paid by the Partnership. Neither the Partnership Representative nor the Designated Individual shall be liable to the Partnership or to its partners for acts or omissions taken or suffered by it in its capacity as either Partnership Representative or Designated Individual, as the case may be, in good faith; </w:t>
      </w:r>
      <w:r>
        <w:rPr>
          <w:rFonts w:ascii="Times New Roman" w:hAnsi="Times New Roman"/>
          <w:sz w:val="20"/>
          <w:u w:val="single"/>
        </w:rPr>
        <w:t xml:space="preserve">provided </w:t>
      </w:r>
      <w:r>
        <w:rPr>
          <w:rFonts w:ascii="Times New Roman" w:hAnsi="Times New Roman"/>
          <w:sz w:val="20"/>
        </w:rPr>
        <w:t xml:space="preserve">that such act or omission is not in willful violation of this Agreement and does not constitute fraud or a willful violation of law. </w:t>
      </w:r>
    </w:p>
    <w:p>
      <w:pPr>
        <w:pStyle w:val="TextBody"/>
        <w:bidi w:val="0"/>
        <w:spacing w:before="240" w:after="0"/>
        <w:jc w:val="left"/>
        <w:rPr>
          <w:rFonts w:ascii="Times New Roman" w:hAnsi="Times New Roman"/>
          <w:sz w:val="20"/>
        </w:rPr>
      </w:pPr>
      <w:r>
        <w:rPr>
          <w:rFonts w:ascii="Times New Roman" w:hAnsi="Times New Roman"/>
          <w:sz w:val="20"/>
        </w:rPr>
        <w:t xml:space="preserve">The General Partner shall amend the provisions of this Agreement as appropriate in accordance with </w:t>
      </w:r>
      <w:r>
        <w:rPr>
          <w:rFonts w:ascii="Times New Roman" w:hAnsi="Times New Roman"/>
          <w:sz w:val="20"/>
          <w:u w:val="single"/>
        </w:rPr>
        <w:t>Article XIII</w:t>
      </w:r>
      <w:r>
        <w:rPr>
          <w:rFonts w:ascii="Times New Roman" w:hAnsi="Times New Roman"/>
          <w:sz w:val="20"/>
        </w:rPr>
        <w:t xml:space="preserve"> to reflect the proposal or promulgation of Treasury Regulations implementing the partnership audit, assessment and collection rules adopted by the Bipartisan Budget Act of 2015, including any amendments to those rules. </w:t>
      </w:r>
    </w:p>
    <w:p>
      <w:pPr>
        <w:pStyle w:val="TextBody"/>
        <w:bidi w:val="0"/>
        <w:spacing w:before="240" w:after="0"/>
        <w:jc w:val="left"/>
        <w:rPr>
          <w:rFonts w:ascii="Times New Roman" w:hAnsi="Times New Roman"/>
          <w:sz w:val="20"/>
        </w:rPr>
      </w:pPr>
      <w:r>
        <w:rPr>
          <w:rFonts w:ascii="Times New Roman" w:hAnsi="Times New Roman"/>
          <w:sz w:val="20"/>
        </w:rPr>
        <w:t xml:space="preserve">Section 9.4 </w:t>
      </w:r>
      <w:r>
        <w:rPr>
          <w:rFonts w:ascii="Times New Roman" w:hAnsi="Times New Roman"/>
          <w:sz w:val="20"/>
          <w:u w:val="single"/>
        </w:rPr>
        <w:t>Withholding</w:t>
      </w:r>
      <w:r>
        <w:rPr>
          <w:rFonts w:ascii="Times New Roman" w:hAnsi="Times New Roman"/>
          <w:sz w:val="20"/>
        </w:rPr>
        <w:t xml:space="preserve">. Notwithstanding any other provision of this Agreement, the General Partner is authorized to take any action that may be required to cause the Partnership to comply with any withholding requirements established under the Code or any other federal, state or local law including, without limitation, pursuant to Sections 1441, 1442, 1445 and 1446 of the Code. To the extent that the Partnership is required or elects to withhold and pay over to any taxing authority any amount resulting from the allocation or distribution of income to any Partner (including, without limitation, by reason of Section 1446 of the Code), the General Partner may treat the amount withheld as a distribution of cash pursuant to </w:t>
      </w:r>
      <w:r>
        <w:rPr>
          <w:rFonts w:ascii="Times New Roman" w:hAnsi="Times New Roman"/>
          <w:sz w:val="20"/>
          <w:u w:val="single"/>
        </w:rPr>
        <w:t>Section 6.3</w:t>
      </w:r>
      <w:r>
        <w:rPr>
          <w:rFonts w:ascii="Times New Roman" w:hAnsi="Times New Roman"/>
          <w:sz w:val="20"/>
        </w:rPr>
        <w:t xml:space="preserve"> in the amount of such withholding from such Partner.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ADMISSION OF PARTNERS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Admission of Substituted Limited Partners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By acceptance of the transfer of any Limited Partner Interests in accordance with this </w:t>
      </w:r>
      <w:r>
        <w:rPr>
          <w:rFonts w:ascii="Times New Roman" w:hAnsi="Times New Roman"/>
          <w:sz w:val="20"/>
          <w:u w:val="single"/>
        </w:rPr>
        <w:t>Section 10.1(a)</w:t>
      </w:r>
      <w:r>
        <w:rPr>
          <w:rFonts w:ascii="Times New Roman" w:hAnsi="Times New Roman"/>
          <w:sz w:val="20"/>
        </w:rPr>
        <w:t xml:space="preserve"> or the issuance of any Limited Partner Interests in a merger or consolidation pursuant to </w:t>
      </w:r>
      <w:r>
        <w:rPr>
          <w:rFonts w:ascii="Times New Roman" w:hAnsi="Times New Roman"/>
          <w:sz w:val="20"/>
          <w:u w:val="single"/>
        </w:rPr>
        <w:t>Article XIV</w:t>
      </w:r>
      <w:r>
        <w:rPr>
          <w:rFonts w:ascii="Times New Roman" w:hAnsi="Times New Roman"/>
          <w:sz w:val="20"/>
        </w:rPr>
        <w:t xml:space="preserve">, and except as provided in </w:t>
      </w:r>
      <w:r>
        <w:rPr>
          <w:rFonts w:ascii="Times New Roman" w:hAnsi="Times New Roman"/>
          <w:sz w:val="20"/>
          <w:u w:val="single"/>
        </w:rPr>
        <w:t>Section 10.1(b)</w:t>
      </w:r>
      <w:r>
        <w:rPr>
          <w:rFonts w:ascii="Times New Roman" w:hAnsi="Times New Roman"/>
          <w:sz w:val="20"/>
        </w:rPr>
        <w:t xml:space="preserve">, each transferee of a Limited Partner Interest (including any nominee holder or an agent or representative acquiring such Limited Partner Interests for the account of another Person) (i) shall be admitted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Partnership as a Limited Partner with respect to the Limited Partner Interests so transferred to such Person when any such transfer or admission is reflected in the books and records of the Partnership, with or without execution of this Agreement, (ii) shall become bound by the terms of, and shall be deemed to have executed, this Agreement, (iii) shall become the Record Holder of the Limited Partner Interests so transferred, (iv) represents that the transferee has the capacity, power and authority to enter into this Agreement, (v) grants the powers of attorney set forth in this Agreement and (vi) makes the consents and waivers contained in this Agreement. The transfer of any Limited Partner Interests and the admission of any new Limited Partner shall not constitute an amendment to this Agreement. Except as provided in </w:t>
      </w:r>
      <w:r>
        <w:rPr>
          <w:rFonts w:ascii="Times New Roman" w:hAnsi="Times New Roman"/>
          <w:sz w:val="20"/>
          <w:u w:val="single"/>
        </w:rPr>
        <w:t>Section 10.1(b)</w:t>
      </w:r>
      <w:r>
        <w:rPr>
          <w:rFonts w:ascii="Times New Roman" w:hAnsi="Times New Roman"/>
          <w:sz w:val="20"/>
        </w:rPr>
        <w:t xml:space="preserve">, a Person may become a Record Holder of a Limited Partner Interest without the consent or approval of any of the Partners. A Person may not become a Limited Partner without acquiring a Limited Partner Interest and until such Person is reflected in the books and records of the Partnership as the Record Holder of such Limited Partner Interest. The rights and obligations of a Person who is an Ineligible Assignee shall be determined in accordance with </w:t>
      </w:r>
      <w:r>
        <w:rPr>
          <w:rFonts w:ascii="Times New Roman" w:hAnsi="Times New Roman"/>
          <w:sz w:val="20"/>
          <w:u w:val="single"/>
        </w:rPr>
        <w:t>Section 10.1(b)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Following a FERC Notice, (i) clause (i) of </w:t>
      </w:r>
      <w:r>
        <w:rPr>
          <w:rFonts w:ascii="Times New Roman" w:hAnsi="Times New Roman"/>
          <w:sz w:val="20"/>
          <w:u w:val="single"/>
        </w:rPr>
        <w:t>Section 10.1(a)</w:t>
      </w:r>
      <w:r>
        <w:rPr>
          <w:rFonts w:ascii="Times New Roman" w:hAnsi="Times New Roman"/>
          <w:sz w:val="20"/>
        </w:rPr>
        <w:t xml:space="preserve"> shall no longer be applicable, (ii) the transferor of a Limited Partner Interest made in accordance with </w:t>
      </w:r>
      <w:r>
        <w:rPr>
          <w:rFonts w:ascii="Times New Roman" w:hAnsi="Times New Roman"/>
          <w:sz w:val="20"/>
          <w:u w:val="single"/>
        </w:rPr>
        <w:t>Article IV</w:t>
      </w:r>
      <w:r>
        <w:rPr>
          <w:rFonts w:ascii="Times New Roman" w:hAnsi="Times New Roman"/>
          <w:sz w:val="20"/>
        </w:rPr>
        <w:t xml:space="preserve"> shall be deemed to have given the transferee the right to seek admission as a Substituted Limited Partner subject to the conditions of, and in the manner permitted under, this Agreement and (iii) a transferor of a Certificate representing a Limited Partner Interest shall only have the authority to convey to a purchaser or other transferee who does not execute and deliver a Transfer Application (a) the right to negotiate such Certificate to a purchaser or other transferee and (b) the right to transfer the right to request admission as a Substituted Limited Partner to such purchaser or other transferee in respect of the transferred Limited Partner Interests. No transferor of a Limited Partner Interest or other Person shall have any obligation or responsibility to provide a Transfer Application to a transferee or assist or participate in any way with respect to the completion or delivery thereof. Following a FERC Notice, each transferee of a Limited Partner Interest (including any nominee holder or an agent acquiring such Limited Partner Interest for the account of another Person) who executes and delivers a properly completed Transfer Application, containing a properly completed and executed Taxation Certification, shall, by virtue of such execution and delivery, be an Assignee. Such Assignee shall automatically be admitted to the Partnership as a Substituted Limited Partner with respect to the Limited Partner Interests so transferred to such Person at such time as such transfer is recorded in the books and records of the Partnership, and until so recorded, such transferee shall be an Assignee. The General Partner shall periodically, but no less frequently than on the first Business Day of each calendar quarter, cause any unrecorded transfers of Limited Partner Interests with respect to which a properly completed, duly executed Transfer Application, including the accompanying Taxation Certification, has been received to be recorded in the books and records of the Partnership. An Assignee shall have an interest in the Partnership equivalent to that of a Limited Partner with respect to allocations and distributions, including liquidating distributions, of the Partnership. With respect to voting rights attributable to Limited Partner Interests that are held by Assignees, the General Partner shall be deemed to be the Limited Partner with respect thereto and shall, in exercising the voting rights in respect of such Limited Partner Interests on any matter, vote such Limited Partner Interests at the written direction of the Assignee who is the Record Holder of such Limited Partner Interests. If no such written direction is received, such Limited Partner Interests will not be voted. An Assignee shall have no other rights of a Limited Partner.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Admission of Successor General Partner</w:t>
      </w:r>
      <w:r>
        <w:rPr>
          <w:rFonts w:ascii="Times New Roman" w:hAnsi="Times New Roman"/>
          <w:sz w:val="20"/>
        </w:rPr>
        <w:t xml:space="preserve">. A successor General Partner approved pursuant to </w:t>
      </w:r>
      <w:r>
        <w:rPr>
          <w:rFonts w:ascii="Times New Roman" w:hAnsi="Times New Roman"/>
          <w:sz w:val="20"/>
          <w:u w:val="single"/>
        </w:rPr>
        <w:t>Sections 11.1</w:t>
      </w:r>
      <w:r>
        <w:rPr>
          <w:rFonts w:ascii="Times New Roman" w:hAnsi="Times New Roman"/>
          <w:sz w:val="20"/>
        </w:rPr>
        <w:t xml:space="preserve"> or </w:t>
      </w:r>
      <w:r>
        <w:rPr>
          <w:rFonts w:ascii="Times New Roman" w:hAnsi="Times New Roman"/>
          <w:sz w:val="20"/>
          <w:u w:val="single"/>
        </w:rPr>
        <w:t>11.2</w:t>
      </w:r>
      <w:r>
        <w:rPr>
          <w:rFonts w:ascii="Times New Roman" w:hAnsi="Times New Roman"/>
          <w:sz w:val="20"/>
        </w:rPr>
        <w:t xml:space="preserve"> or the transferee of or successor to all of the General Partner Interest pursuant to </w:t>
      </w:r>
      <w:r>
        <w:rPr>
          <w:rFonts w:ascii="Times New Roman" w:hAnsi="Times New Roman"/>
          <w:sz w:val="20"/>
          <w:u w:val="single"/>
        </w:rPr>
        <w:t>Section 4.6</w:t>
      </w:r>
      <w:r>
        <w:rPr>
          <w:rFonts w:ascii="Times New Roman" w:hAnsi="Times New Roman"/>
          <w:sz w:val="20"/>
        </w:rPr>
        <w:t xml:space="preserve"> who is proposed to be admitted as a successor General Partner shall be admitted to the Partnership as the General Partner effective immediately prior to the withdrawal or removal of the predecessor or transferring General Partner pursuant to </w:t>
      </w:r>
      <w:r>
        <w:rPr>
          <w:rFonts w:ascii="Times New Roman" w:hAnsi="Times New Roman"/>
          <w:sz w:val="20"/>
          <w:u w:val="single"/>
        </w:rPr>
        <w:t>Sections 11.1</w:t>
      </w:r>
      <w:r>
        <w:rPr>
          <w:rFonts w:ascii="Times New Roman" w:hAnsi="Times New Roman"/>
          <w:sz w:val="20"/>
        </w:rPr>
        <w:t xml:space="preserve"> or </w:t>
      </w:r>
      <w:r>
        <w:rPr>
          <w:rFonts w:ascii="Times New Roman" w:hAnsi="Times New Roman"/>
          <w:sz w:val="20"/>
          <w:u w:val="single"/>
        </w:rPr>
        <w:t>11.2</w:t>
      </w:r>
      <w:r>
        <w:rPr>
          <w:rFonts w:ascii="Times New Roman" w:hAnsi="Times New Roman"/>
          <w:sz w:val="20"/>
        </w:rPr>
        <w:t xml:space="preserve"> or the transfer of such General Partner’s General Partner Interest pursuant to </w:t>
      </w:r>
      <w:r>
        <w:rPr>
          <w:rFonts w:ascii="Times New Roman" w:hAnsi="Times New Roman"/>
          <w:sz w:val="20"/>
          <w:u w:val="single"/>
        </w:rPr>
        <w:t>Section 4.6</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no such successor shall be admitted to the Partnership until compliance with the terms of </w:t>
      </w:r>
      <w:r>
        <w:rPr>
          <w:rFonts w:ascii="Times New Roman" w:hAnsi="Times New Roman"/>
          <w:sz w:val="20"/>
          <w:u w:val="single"/>
        </w:rPr>
        <w:t>Section 4.6</w:t>
      </w:r>
      <w:r>
        <w:rPr>
          <w:rFonts w:ascii="Times New Roman" w:hAnsi="Times New Roman"/>
          <w:sz w:val="20"/>
        </w:rPr>
        <w:t xml:space="preserve"> has occurred and such successor has executed and delivered such other documents or instruments as may be required to effect such admission. Any such successor shall, subject to the terms hereof, carry on the business of the Partnership without dissolution.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Admission of Additional Limited Partners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 Person (other than the General Partner, an Initial Limited Partner or a Substituted Limited Partner) who makes a Capital Contribution to the Partnership in accordance with this Agreement shall be admitted to the Partnership as an Additional Limited Partner only upon furnishing to the General Partner: </w:t>
      </w:r>
    </w:p>
    <w:p>
      <w:pPr>
        <w:pStyle w:val="TextBody"/>
        <w:bidi w:val="0"/>
        <w:spacing w:before="120" w:after="0"/>
        <w:jc w:val="left"/>
        <w:rPr>
          <w:rFonts w:ascii="Times New Roman" w:hAnsi="Times New Roman"/>
          <w:sz w:val="20"/>
        </w:rPr>
      </w:pPr>
      <w:r>
        <w:rPr>
          <w:rFonts w:ascii="Times New Roman" w:hAnsi="Times New Roman"/>
          <w:sz w:val="20"/>
        </w:rPr>
        <w:t xml:space="preserve">(i) evidence of acceptance in form satisfactory to the General Partner of all of the terms and conditions of this Agreement, including the power of attorney granted in </w:t>
      </w:r>
      <w:r>
        <w:rPr>
          <w:rFonts w:ascii="Times New Roman" w:hAnsi="Times New Roman"/>
          <w:sz w:val="20"/>
          <w:u w:val="single"/>
        </w:rPr>
        <w:t>Section 2.6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following a FERC Notice, a properly completed Taxation Certification; and </w:t>
      </w:r>
    </w:p>
    <w:p>
      <w:pPr>
        <w:pStyle w:val="TextBody"/>
        <w:bidi w:val="0"/>
        <w:spacing w:before="120" w:after="0"/>
        <w:jc w:val="left"/>
        <w:rPr>
          <w:rFonts w:ascii="Times New Roman" w:hAnsi="Times New Roman"/>
          <w:sz w:val="20"/>
        </w:rPr>
      </w:pPr>
      <w:r>
        <w:rPr>
          <w:rFonts w:ascii="Times New Roman" w:hAnsi="Times New Roman"/>
          <w:sz w:val="20"/>
        </w:rPr>
        <w:t xml:space="preserve">(iii) such other documents or instruments as may be required by the General Partner to effect such Person’s admission as an Additional Limited Partner.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in this </w:t>
      </w:r>
      <w:r>
        <w:rPr>
          <w:rFonts w:ascii="Times New Roman" w:hAnsi="Times New Roman"/>
          <w:sz w:val="20"/>
          <w:u w:val="single"/>
        </w:rPr>
        <w:t>Section 10.3</w:t>
      </w:r>
      <w:r>
        <w:rPr>
          <w:rFonts w:ascii="Times New Roman" w:hAnsi="Times New Roman"/>
          <w:sz w:val="20"/>
        </w:rPr>
        <w:t xml:space="preserve">, no Person shall be admitted as an Additional Limited Partner without the consent of the General Partner. The admission of any Person as an Additional Limited Partner shall become effective on the date upon which the name of such Person is recorded as such in the books and records of the Partnership, following the consent of the General Partner to such admission.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Amendment of Agreement and Certificate of Formation</w:t>
      </w:r>
      <w:r>
        <w:rPr>
          <w:rFonts w:ascii="Times New Roman" w:hAnsi="Times New Roman"/>
          <w:sz w:val="20"/>
        </w:rPr>
        <w:t xml:space="preserve">. To effect the admission to the Partnership of any Partner, the General Partner shall take all steps necessary and appropriate under the Texas Limited Partnership Law to amend the records of the Partnership to reflect such admission and, if necessary, to prepare as soon as practicable an amendment to this Agreement and, if required by law, the General Partner shall prepare and file an amendment to the Certificate of Formation, and the General Partner may for this purpose, among others, exercise the power of attorney granted pursuant to </w:t>
      </w:r>
      <w:r>
        <w:rPr>
          <w:rFonts w:ascii="Times New Roman" w:hAnsi="Times New Roman"/>
          <w:sz w:val="20"/>
          <w:u w:val="single"/>
        </w:rPr>
        <w:t>Section 2.6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WITHDRAWAL OR REMOVAL OF PARTNERS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Withdrawal of the General Partner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General Partner shall be deemed to have withdrawn from the Partnership upon the occurrence of any one of the following events (each such event herein referred to as an “</w:t>
      </w:r>
      <w:r>
        <w:rPr>
          <w:rFonts w:ascii="Times New Roman" w:hAnsi="Times New Roman"/>
          <w:i/>
          <w:sz w:val="20"/>
        </w:rPr>
        <w:t>Event of Withdrawal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General Partner voluntarily withdraws from the Partnership by giving written notice to the other Partners; </w:t>
      </w:r>
    </w:p>
    <w:p>
      <w:pPr>
        <w:pStyle w:val="TextBody"/>
        <w:bidi w:val="0"/>
        <w:spacing w:before="120" w:after="0"/>
        <w:jc w:val="left"/>
        <w:rPr>
          <w:rFonts w:ascii="Times New Roman" w:hAnsi="Times New Roman"/>
          <w:sz w:val="20"/>
        </w:rPr>
      </w:pPr>
      <w:r>
        <w:rPr>
          <w:rFonts w:ascii="Times New Roman" w:hAnsi="Times New Roman"/>
          <w:sz w:val="20"/>
        </w:rPr>
        <w:t xml:space="preserve">(ii) the General Partner transfers all of its rights as General Partner pursuant to </w:t>
      </w:r>
      <w:r>
        <w:rPr>
          <w:rFonts w:ascii="Times New Roman" w:hAnsi="Times New Roman"/>
          <w:sz w:val="20"/>
          <w:u w:val="single"/>
        </w:rPr>
        <w:t>Section 4.6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the General Partner is removed pursuant to </w:t>
      </w:r>
      <w:r>
        <w:rPr>
          <w:rFonts w:ascii="Times New Roman" w:hAnsi="Times New Roman"/>
          <w:sz w:val="20"/>
          <w:u w:val="single"/>
        </w:rPr>
        <w:t>Section 11.2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the General Partner (A) makes a general assignment for the benefit of creditors; (B) files a voluntary bankruptcy petition for relief under Chapter 7 of the United States Bankruptcy Code; (C) files a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clauses (A)-(C) of this </w:t>
      </w:r>
      <w:r>
        <w:rPr>
          <w:rFonts w:ascii="Times New Roman" w:hAnsi="Times New Roman"/>
          <w:sz w:val="20"/>
          <w:u w:val="single"/>
        </w:rPr>
        <w:t>Section 11.1(a)(iv)</w:t>
      </w:r>
      <w:r>
        <w:rPr>
          <w:rFonts w:ascii="Times New Roman" w:hAnsi="Times New Roman"/>
          <w:sz w:val="20"/>
        </w:rPr>
        <w:t xml:space="preserve">; or (E) seeks, consents to or acquiesces in the appointment of a trustee (but not a debtor-in-possession), receiver or liquidator of the General Partner or of all or any substantial part of its properties; or </w:t>
      </w:r>
    </w:p>
    <w:p>
      <w:pPr>
        <w:pStyle w:val="TextBody"/>
        <w:bidi w:val="0"/>
        <w:spacing w:before="120" w:after="0"/>
        <w:jc w:val="left"/>
        <w:rPr>
          <w:rFonts w:ascii="Times New Roman" w:hAnsi="Times New Roman"/>
          <w:sz w:val="20"/>
        </w:rPr>
      </w:pPr>
      <w:r>
        <w:rPr>
          <w:rFonts w:ascii="Times New Roman" w:hAnsi="Times New Roman"/>
          <w:sz w:val="20"/>
        </w:rPr>
        <w:t xml:space="preserve">(v) a final and non-appealable order of relief under Chapter 7 of the United States Bankruptcy Code is entered by a court with appropriate jurisdiction pursuant to a voluntary or involuntary petition by or against the General Partner; or </w:t>
      </w:r>
    </w:p>
    <w:p>
      <w:pPr>
        <w:pStyle w:val="TextBody"/>
        <w:bidi w:val="0"/>
        <w:spacing w:before="120" w:after="0"/>
        <w:jc w:val="left"/>
        <w:rPr>
          <w:rFonts w:ascii="Times New Roman" w:hAnsi="Times New Roman"/>
          <w:sz w:val="20"/>
        </w:rPr>
      </w:pPr>
      <w:r>
        <w:rPr>
          <w:rFonts w:ascii="Times New Roman" w:hAnsi="Times New Roman"/>
          <w:sz w:val="20"/>
        </w:rPr>
        <w:t xml:space="preserve">(vi) (A) in the event the General Partner is a corporation, a certificate of dissolution or its equivalent is filed for the General Partner, or 90 days expire after the date of notice to the General Partner of revocation of its charter without a reinstatement of its charter, under the laws of its state of incorporation; (B) in the event the General Partner is a partnership or a limited liability company, the dissolution and commencement of winding up of the General Partner; (C) in the event the General Partner is acting in such capacity by virtue of being a trustee of a trust, the termination of the trust; (D) in the event the General Partner is a natural person, his death or adjudication of incompetency; and (E) otherwise in the event of the termination of the General Partner.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Withdrawal specified in </w:t>
      </w:r>
      <w:r>
        <w:rPr>
          <w:rFonts w:ascii="Times New Roman" w:hAnsi="Times New Roman"/>
          <w:sz w:val="20"/>
          <w:u w:val="single"/>
        </w:rPr>
        <w:t>Section 11.1(a)(iv)</w:t>
      </w:r>
      <w:r>
        <w:rPr>
          <w:rFonts w:ascii="Times New Roman" w:hAnsi="Times New Roman"/>
          <w:sz w:val="20"/>
        </w:rPr>
        <w:t xml:space="preserve"> or </w:t>
      </w:r>
      <w:r>
        <w:rPr>
          <w:rFonts w:ascii="Times New Roman" w:hAnsi="Times New Roman"/>
          <w:sz w:val="20"/>
          <w:u w:val="single"/>
        </w:rPr>
        <w:t>(vi)(A)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or </w:t>
      </w:r>
      <w:r>
        <w:rPr>
          <w:rFonts w:ascii="Times New Roman" w:hAnsi="Times New Roman"/>
          <w:sz w:val="20"/>
          <w:u w:val="single"/>
        </w:rPr>
        <w:t>(E)</w:t>
      </w:r>
      <w:r>
        <w:rPr>
          <w:rFonts w:ascii="Times New Roman" w:hAnsi="Times New Roman"/>
          <w:sz w:val="20"/>
        </w:rPr>
        <w:t xml:space="preserve"> occurs, the withdrawing General Partner shall give notice to the Limited Partners within 30 days after such occurrence. The Partners hereby agree that only the Events of Withdrawal described in this </w:t>
      </w:r>
      <w:r>
        <w:rPr>
          <w:rFonts w:ascii="Times New Roman" w:hAnsi="Times New Roman"/>
          <w:sz w:val="20"/>
          <w:u w:val="single"/>
        </w:rPr>
        <w:t>Section 11.1</w:t>
      </w:r>
      <w:r>
        <w:rPr>
          <w:rFonts w:ascii="Times New Roman" w:hAnsi="Times New Roman"/>
          <w:sz w:val="20"/>
        </w:rPr>
        <w:t xml:space="preserve"> shall result in the withdrawal of the General Partner from the Partnership.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Withdrawal of the General Partner from the Partnership upon the occurrence of an Event of Withdrawal shall not constitute a breach of this Agreement under the following circumstances: (i) the General Partner voluntarily withdraws by giving at least 90 days’ advance notice to the Unitholders, such withdrawal to take effect on the date specified in such notice; (ii) at any time that the General Partner ceases to be the General Partner pursuant to </w:t>
      </w:r>
      <w:r>
        <w:rPr>
          <w:rFonts w:ascii="Times New Roman" w:hAnsi="Times New Roman"/>
          <w:sz w:val="20"/>
          <w:u w:val="single"/>
        </w:rPr>
        <w:t>Section 11.1(a)(ii)</w:t>
      </w:r>
      <w:r>
        <w:rPr>
          <w:rFonts w:ascii="Times New Roman" w:hAnsi="Times New Roman"/>
          <w:sz w:val="20"/>
        </w:rPr>
        <w:t xml:space="preserve"> or is removed pursuant to </w:t>
      </w:r>
      <w:r>
        <w:rPr>
          <w:rFonts w:ascii="Times New Roman" w:hAnsi="Times New Roman"/>
          <w:sz w:val="20"/>
          <w:u w:val="single"/>
        </w:rPr>
        <w:t>Section 11.2</w:t>
      </w:r>
      <w:r>
        <w:rPr>
          <w:rFonts w:ascii="Times New Roman" w:hAnsi="Times New Roman"/>
          <w:sz w:val="20"/>
        </w:rPr>
        <w:t xml:space="preserve">; or (iii) at any time that the General Partner voluntarily withdraws by giving at least 90 days’ advance notice of its intention to withdraw to the Limited Partners, such withdrawal to take effect on the date specified in the notice, if at the time such notice is given one Person and its Affiliates (other than the General Partner and its Affiliates) own beneficially or of record or control at least 50% of the Outstanding Units. The withdrawal of the General Partner from the Partnership upon the occurrence of an Event of Withdrawal shall also constitute the withdrawal of the General Partner as general partner or managing member, to the extent applicable, of the other Group Members. If the General Partner gives a notice of withdrawal pursuant to </w:t>
      </w:r>
      <w:r>
        <w:rPr>
          <w:rFonts w:ascii="Times New Roman" w:hAnsi="Times New Roman"/>
          <w:sz w:val="20"/>
          <w:u w:val="single"/>
        </w:rPr>
        <w:t>Section 11.1(a)(i)</w:t>
      </w:r>
      <w:r>
        <w:rPr>
          <w:rFonts w:ascii="Times New Roman" w:hAnsi="Times New Roman"/>
          <w:sz w:val="20"/>
        </w:rPr>
        <w:t xml:space="preserve">, the holders of a Unit Majority, may, prior to the effective date of such withdrawal, elect a successor General Partner. The Person so elected as successor General Partner shall automatically become the successor general partner or managing member, to the extent applicable, of the other Group Members of which the General Partner is a general partner or a managing member. Any successor General Partner elected in accordance with the terms of this </w:t>
      </w:r>
      <w:r>
        <w:rPr>
          <w:rFonts w:ascii="Times New Roman" w:hAnsi="Times New Roman"/>
          <w:sz w:val="20"/>
          <w:u w:val="single"/>
        </w:rPr>
        <w:t>Section 11.1</w:t>
      </w:r>
      <w:r>
        <w:rPr>
          <w:rFonts w:ascii="Times New Roman" w:hAnsi="Times New Roman"/>
          <w:sz w:val="20"/>
        </w:rPr>
        <w:t xml:space="preserve"> shall be subject to the provisions of </w:t>
      </w:r>
      <w:r>
        <w:rPr>
          <w:rFonts w:ascii="Times New Roman" w:hAnsi="Times New Roman"/>
          <w:sz w:val="20"/>
          <w:u w:val="single"/>
        </w:rPr>
        <w:t>Section 10.2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Removal of the General Partner</w:t>
      </w:r>
      <w:r>
        <w:rPr>
          <w:rFonts w:ascii="Times New Roman" w:hAnsi="Times New Roman"/>
          <w:sz w:val="20"/>
        </w:rPr>
        <w:t xml:space="preserve">. The General Partner may be removed if such removal is approved by the Unitholders holding at least 66 2/3% of the Outstanding Units (including Units held by the General Partner and its Affiliates). Any such action by such holders for removal of the General Partner must also provide for the election of a successor General Partner by the Unitholders holding a majority of Outstanding Units (including Units held by the General Partner and its Affiliates). Such removal shall be effective immediately following the admission of a successor General Partner pursuant to </w:t>
      </w:r>
      <w:r>
        <w:rPr>
          <w:rFonts w:ascii="Times New Roman" w:hAnsi="Times New Roman"/>
          <w:sz w:val="20"/>
          <w:u w:val="single"/>
        </w:rPr>
        <w:t>Section 10.2</w:t>
      </w:r>
      <w:r>
        <w:rPr>
          <w:rFonts w:ascii="Times New Roman" w:hAnsi="Times New Roman"/>
          <w:sz w:val="20"/>
        </w:rPr>
        <w:t xml:space="preserve">. The removal of the General Partner shall also automatically constitute the removal of the General Partner as general partner or managing member, to the extent applicable, of the other Group Members of which the General Partner is a general partner or a managing member. If a Person is elected as a successor General Partner in accordance with the terms of this </w:t>
      </w:r>
      <w:r>
        <w:rPr>
          <w:rFonts w:ascii="Times New Roman" w:hAnsi="Times New Roman"/>
          <w:sz w:val="20"/>
          <w:u w:val="single"/>
        </w:rPr>
        <w:t>Section 11.2</w:t>
      </w:r>
      <w:r>
        <w:rPr>
          <w:rFonts w:ascii="Times New Roman" w:hAnsi="Times New Roman"/>
          <w:sz w:val="20"/>
        </w:rPr>
        <w:t xml:space="preserve">, such Person shall, upon admission pursuant to </w:t>
      </w:r>
      <w:r>
        <w:rPr>
          <w:rFonts w:ascii="Times New Roman" w:hAnsi="Times New Roman"/>
          <w:sz w:val="20"/>
          <w:u w:val="single"/>
        </w:rPr>
        <w:t>Section 10.2</w:t>
      </w:r>
      <w:r>
        <w:rPr>
          <w:rFonts w:ascii="Times New Roman" w:hAnsi="Times New Roman"/>
          <w:sz w:val="20"/>
        </w:rPr>
        <w:t xml:space="preserve">, automatically become a successor general partner or managing member, to the extent applicable, of the other Group Members of which the General Partner is a general partner or a managing member. The right of the holders of Outstanding Units to remove the General Partner shall not exist or be exercised unless the Partnership has received an opinion opining that such removal (following the selection of the successor General Partner) would not result in the loss of the limited liability of any Limited Partner or any Group Member or cause any Group Member to be treated as an association taxable as a corporation or otherwise to be taxed as an entity for federal income tax purposes (to the extent not previously treated or taxed as such). Any successor General Partner elected in accordance with the terms of this </w:t>
      </w:r>
      <w:r>
        <w:rPr>
          <w:rFonts w:ascii="Times New Roman" w:hAnsi="Times New Roman"/>
          <w:sz w:val="20"/>
          <w:u w:val="single"/>
        </w:rPr>
        <w:t>Section 11.2</w:t>
      </w:r>
      <w:r>
        <w:rPr>
          <w:rFonts w:ascii="Times New Roman" w:hAnsi="Times New Roman"/>
          <w:sz w:val="20"/>
        </w:rPr>
        <w:t xml:space="preserve"> shall be subject to the provisions of </w:t>
      </w:r>
      <w:r>
        <w:rPr>
          <w:rFonts w:ascii="Times New Roman" w:hAnsi="Times New Roman"/>
          <w:sz w:val="20"/>
          <w:u w:val="single"/>
        </w:rPr>
        <w:t>Section 10.2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11.3 </w:t>
      </w:r>
      <w:r>
        <w:rPr>
          <w:rFonts w:ascii="Times New Roman" w:hAnsi="Times New Roman"/>
          <w:sz w:val="20"/>
          <w:u w:val="single"/>
        </w:rPr>
        <w:t>Interest of Departing General Partner and Successor General Partner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of (i) withdrawal of the General Partner under circumstances where such withdrawal does not violate this Agreement or (ii) removal of the General Partner by the holders of Outstanding Units under circumstances where Cause does not exist, if a successor General Partner is elected in accordance with the terms of </w:t>
      </w:r>
      <w:r>
        <w:rPr>
          <w:rFonts w:ascii="Times New Roman" w:hAnsi="Times New Roman"/>
          <w:sz w:val="20"/>
          <w:u w:val="single"/>
        </w:rPr>
        <w:t>Sections 11.1</w:t>
      </w:r>
      <w:r>
        <w:rPr>
          <w:rFonts w:ascii="Times New Roman" w:hAnsi="Times New Roman"/>
          <w:sz w:val="20"/>
        </w:rPr>
        <w:t xml:space="preserve"> or </w:t>
      </w:r>
      <w:r>
        <w:rPr>
          <w:rFonts w:ascii="Times New Roman" w:hAnsi="Times New Roman"/>
          <w:sz w:val="20"/>
          <w:u w:val="single"/>
        </w:rPr>
        <w:t>11.2</w:t>
      </w:r>
      <w:r>
        <w:rPr>
          <w:rFonts w:ascii="Times New Roman" w:hAnsi="Times New Roman"/>
          <w:sz w:val="20"/>
        </w:rPr>
        <w:t xml:space="preserve">, the Departing General Partner shall have the option exercisable prior to the effective date of the departure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Departing General Partner to require its successor to purchase (x) its General Partner Interest and (y) its general partner interest (or equivalent interest), if any, in the other Group Members ((x) and (y) collectively, the “</w:t>
      </w:r>
      <w:r>
        <w:rPr>
          <w:rFonts w:ascii="Times New Roman" w:hAnsi="Times New Roman"/>
          <w:i/>
          <w:sz w:val="20"/>
        </w:rPr>
        <w:t>Combined Interest</w:t>
      </w:r>
      <w:r>
        <w:rPr>
          <w:rFonts w:ascii="Times New Roman" w:hAnsi="Times New Roman"/>
          <w:sz w:val="20"/>
        </w:rPr>
        <w:t xml:space="preserve">”) in exchange for an amount in cash equal to the fair market value of such Combined Interest, such amount to be determined and payable as of the effective date of its departure or, if there is not agreement as to the fair market value of such Combined Interest, within ten (10) days after such agreement is reached. If the General Partner is removed by the Unitholders under circumstances where Cause exists or if the General Partner withdraws under circumstances where such withdrawal violates this Agreement, and if a successor General Partner is elected in accordance with the terms of </w:t>
      </w:r>
      <w:r>
        <w:rPr>
          <w:rFonts w:ascii="Times New Roman" w:hAnsi="Times New Roman"/>
          <w:sz w:val="20"/>
          <w:u w:val="single"/>
        </w:rPr>
        <w:t>Sections 11.1</w:t>
      </w:r>
      <w:r>
        <w:rPr>
          <w:rFonts w:ascii="Times New Roman" w:hAnsi="Times New Roman"/>
          <w:sz w:val="20"/>
        </w:rPr>
        <w:t xml:space="preserve"> or </w:t>
      </w:r>
      <w:r>
        <w:rPr>
          <w:rFonts w:ascii="Times New Roman" w:hAnsi="Times New Roman"/>
          <w:sz w:val="20"/>
          <w:u w:val="single"/>
        </w:rPr>
        <w:t>11.2</w:t>
      </w:r>
      <w:r>
        <w:rPr>
          <w:rFonts w:ascii="Times New Roman" w:hAnsi="Times New Roman"/>
          <w:sz w:val="20"/>
        </w:rPr>
        <w:t xml:space="preserve"> (or if the business of the Partnership is continued pursuant to </w:t>
      </w:r>
      <w:r>
        <w:rPr>
          <w:rFonts w:ascii="Times New Roman" w:hAnsi="Times New Roman"/>
          <w:sz w:val="20"/>
          <w:u w:val="single"/>
        </w:rPr>
        <w:t>Section 12.2</w:t>
      </w:r>
      <w:r>
        <w:rPr>
          <w:rFonts w:ascii="Times New Roman" w:hAnsi="Times New Roman"/>
          <w:sz w:val="20"/>
        </w:rPr>
        <w:t xml:space="preserve"> and the successor General Partner is not the former General Partner), such successor shall have the option, exercisable prior to the effective date of the departure of such Departing General Partner (or, in the event the business of the Partnership is continued, prior to the date the business of the Partnership is continued), to purchase the Combined Interest of the Departing General Partner for such fair market value of such Combined Interest of the Departing General Partner. In either event, the Departing General Partner shall be entitled to receive all reimbursements due such Departing General Partner pursuant to </w:t>
      </w:r>
      <w:r>
        <w:rPr>
          <w:rFonts w:ascii="Times New Roman" w:hAnsi="Times New Roman"/>
          <w:sz w:val="20"/>
          <w:u w:val="single"/>
        </w:rPr>
        <w:t>Section 7.4</w:t>
      </w:r>
      <w:r>
        <w:rPr>
          <w:rFonts w:ascii="Times New Roman" w:hAnsi="Times New Roman"/>
          <w:sz w:val="20"/>
        </w:rPr>
        <w:t xml:space="preserve">, including any employee-related liabilities (including severance liabilities), incurred in connection with the termination of any employees employed by the Departing General Partner for the benefit of the Partnership or the other Group Members.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11.3(a)</w:t>
      </w:r>
      <w:r>
        <w:rPr>
          <w:rFonts w:ascii="Times New Roman" w:hAnsi="Times New Roman"/>
          <w:sz w:val="20"/>
        </w:rPr>
        <w:t xml:space="preserve">, the fair market value of a Departing General Partner’s Combined Interest shall be determined by agreement between the Departing General Partner and its successor or, failing agreement within 30 days after the effective date of such Departing General Partner’s departure, by an independent investment banking firm or other independent expert selected by the Departing General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the Departing General Partner shall designate an independent investment banking firm or other independent expert, the Departing General Partner’s successor shall designate an independent investment banking firm or other independent expert, and such firms or experts shall mutually select a third independent investment banking firm or independent expert, which third independent investment banking firm or other independent expert shall determine the fair market value of the Combined Interest of the Departing General Partner. In making its determination, such third independent investment banking firm or other independent expert may consider the then current trading price of Units on any National Securities Exchange on which Units are then listed or admitted for trading, the value of the Partnership’s assets, the rights and obligations of the Departing General Partner and other factors it may deem relevant. </w:t>
      </w:r>
    </w:p>
    <w:p>
      <w:pPr>
        <w:pStyle w:val="TextBody"/>
        <w:bidi w:val="0"/>
        <w:spacing w:before="240" w:after="0"/>
        <w:jc w:val="left"/>
        <w:rPr>
          <w:rFonts w:ascii="Times New Roman" w:hAnsi="Times New Roman"/>
          <w:sz w:val="20"/>
        </w:rPr>
      </w:pPr>
      <w:r>
        <w:rPr>
          <w:rFonts w:ascii="Times New Roman" w:hAnsi="Times New Roman"/>
          <w:sz w:val="20"/>
        </w:rPr>
        <w:t xml:space="preserve">(b) If the Combined Interest is not purchased in the manner set forth in </w:t>
      </w:r>
      <w:r>
        <w:rPr>
          <w:rFonts w:ascii="Times New Roman" w:hAnsi="Times New Roman"/>
          <w:sz w:val="20"/>
          <w:u w:val="single"/>
        </w:rPr>
        <w:t>Section 11.3(a)</w:t>
      </w:r>
      <w:r>
        <w:rPr>
          <w:rFonts w:ascii="Times New Roman" w:hAnsi="Times New Roman"/>
          <w:sz w:val="20"/>
        </w:rPr>
        <w:t xml:space="preserve">, the Departing General Partner (or its transferee) shall become a Limited Partner and its Combined Interest shall be converted into Common Units pursuant to a valuation made by an investment banking firm or other independent expert selected pursuant to </w:t>
      </w:r>
      <w:r>
        <w:rPr>
          <w:rFonts w:ascii="Times New Roman" w:hAnsi="Times New Roman"/>
          <w:sz w:val="20"/>
          <w:u w:val="single"/>
        </w:rPr>
        <w:t>Section 11.3(a)</w:t>
      </w:r>
      <w:r>
        <w:rPr>
          <w:rFonts w:ascii="Times New Roman" w:hAnsi="Times New Roman"/>
          <w:sz w:val="20"/>
        </w:rPr>
        <w:t xml:space="preserve">, without reduction in such Partnership Interest (but subject to proportionate dilution by reason of the admission of its successor). Any successor General Partner shall indemnify the Departing General Partner (or its transferee) as to all debts and liabilities of the Partnership arising on or after the date on which the Departing General Partner (or its transferee) becomes a Limited Partner. For purposes of this Agreement, conversion of the Combined Interest of the Departing General Partner to Common Units will be characterized as if such General Partner (or its transferee) contributed its Combined Interest to the Partnership in exchange for the newly issued Common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11.4 </w:t>
      </w:r>
      <w:r>
        <w:rPr>
          <w:rFonts w:ascii="Times New Roman" w:hAnsi="Times New Roman"/>
          <w:sz w:val="20"/>
          <w:u w:val="single"/>
        </w:rPr>
        <w:t>Withdrawal of Limited Partners</w:t>
      </w:r>
      <w:r>
        <w:rPr>
          <w:rFonts w:ascii="Times New Roman" w:hAnsi="Times New Roman"/>
          <w:sz w:val="20"/>
        </w:rPr>
        <w:t xml:space="preserve">. No Limited Partner shall have any right to withdraw from the Partnership;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when a transferee of a Limited Partner’s Limited Partner Interest becomes a Record Holder of the Limited Partner Interest so transferred, such transferring Limited Partner shall cease to be a Limited Partner with respect to the Limited Partner Interest so transferred. For the avoidance of doubt, Section 152.601 of the Texas Limited Partnership Law shall not apply to any such cessation.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0" w:after="0"/>
        <w:jc w:val="center"/>
        <w:rPr>
          <w:rFonts w:ascii="Times New Roman" w:hAnsi="Times New Roman"/>
          <w:b/>
          <w:sz w:val="20"/>
        </w:rPr>
      </w:pPr>
      <w:r>
        <w:rPr>
          <w:rFonts w:ascii="Times New Roman" w:hAnsi="Times New Roman"/>
          <w:b/>
          <w:sz w:val="20"/>
        </w:rPr>
        <w:t xml:space="preserve">DISSOLUTION AND LIQUIDATION </w:t>
      </w:r>
    </w:p>
    <w:p>
      <w:pPr>
        <w:pStyle w:val="TextBody"/>
        <w:bidi w:val="0"/>
        <w:spacing w:before="240" w:after="0"/>
        <w:jc w:val="left"/>
        <w:rPr>
          <w:rFonts w:ascii="Times New Roman" w:hAnsi="Times New Roman"/>
          <w:sz w:val="20"/>
        </w:rPr>
      </w:pPr>
      <w:r>
        <w:rPr>
          <w:rFonts w:ascii="Times New Roman" w:hAnsi="Times New Roman"/>
          <w:sz w:val="20"/>
        </w:rPr>
        <w:t xml:space="preserve">Section 12.1 </w:t>
      </w:r>
      <w:r>
        <w:rPr>
          <w:rFonts w:ascii="Times New Roman" w:hAnsi="Times New Roman"/>
          <w:sz w:val="20"/>
          <w:u w:val="single"/>
        </w:rPr>
        <w:t>Dissolution</w:t>
      </w:r>
      <w:r>
        <w:rPr>
          <w:rFonts w:ascii="Times New Roman" w:hAnsi="Times New Roman"/>
          <w:sz w:val="20"/>
        </w:rPr>
        <w:t xml:space="preserve">. The Partnership shall not be dissolved by the admission of Additional Limited Partners or by the admission of a successor General Partner in accordance with the terms of this Agreement. Upon the removal or withdrawal of the General Partner, if a successor General Partner is elected pursuant to </w:t>
      </w:r>
      <w:r>
        <w:rPr>
          <w:rFonts w:ascii="Times New Roman" w:hAnsi="Times New Roman"/>
          <w:sz w:val="20"/>
          <w:u w:val="single"/>
        </w:rPr>
        <w:t>Sections 11.1</w:t>
      </w:r>
      <w:r>
        <w:rPr>
          <w:rFonts w:ascii="Times New Roman" w:hAnsi="Times New Roman"/>
          <w:sz w:val="20"/>
        </w:rPr>
        <w:t xml:space="preserve"> or </w:t>
      </w:r>
      <w:r>
        <w:rPr>
          <w:rFonts w:ascii="Times New Roman" w:hAnsi="Times New Roman"/>
          <w:sz w:val="20"/>
          <w:u w:val="single"/>
        </w:rPr>
        <w:t>11.2</w:t>
      </w:r>
      <w:r>
        <w:rPr>
          <w:rFonts w:ascii="Times New Roman" w:hAnsi="Times New Roman"/>
          <w:sz w:val="20"/>
        </w:rPr>
        <w:t xml:space="preserve">, the Partnership shall not be dissolved and such successor General Partner shall continue the business of the Partnership. The Partnership shall dissolve, and (subject to </w:t>
      </w:r>
      <w:r>
        <w:rPr>
          <w:rFonts w:ascii="Times New Roman" w:hAnsi="Times New Roman"/>
          <w:sz w:val="20"/>
          <w:u w:val="single"/>
        </w:rPr>
        <w:t>Section 12.2</w:t>
      </w:r>
      <w:r>
        <w:rPr>
          <w:rFonts w:ascii="Times New Roman" w:hAnsi="Times New Roman"/>
          <w:sz w:val="20"/>
        </w:rPr>
        <w:t xml:space="preserve">) its affairs shall be wound up, upon: </w:t>
      </w:r>
    </w:p>
    <w:p>
      <w:pPr>
        <w:pStyle w:val="TextBody"/>
        <w:bidi w:val="0"/>
        <w:spacing w:before="120" w:after="0"/>
        <w:jc w:val="left"/>
        <w:rPr>
          <w:rFonts w:ascii="Times New Roman" w:hAnsi="Times New Roman"/>
          <w:sz w:val="20"/>
        </w:rPr>
      </w:pPr>
      <w:r>
        <w:rPr>
          <w:rFonts w:ascii="Times New Roman" w:hAnsi="Times New Roman"/>
          <w:sz w:val="20"/>
        </w:rPr>
        <w:t xml:space="preserve">(a) an Event of Withdrawal of the General Partner as provided in </w:t>
      </w:r>
      <w:r>
        <w:rPr>
          <w:rFonts w:ascii="Times New Roman" w:hAnsi="Times New Roman"/>
          <w:sz w:val="20"/>
          <w:u w:val="single"/>
        </w:rPr>
        <w:t>Section 11.1(a)</w:t>
      </w:r>
      <w:r>
        <w:rPr>
          <w:rFonts w:ascii="Times New Roman" w:hAnsi="Times New Roman"/>
          <w:sz w:val="20"/>
        </w:rPr>
        <w:t xml:space="preserve"> (other than </w:t>
      </w:r>
      <w:r>
        <w:rPr>
          <w:rFonts w:ascii="Times New Roman" w:hAnsi="Times New Roman"/>
          <w:sz w:val="20"/>
          <w:u w:val="single"/>
        </w:rPr>
        <w:t>Section 11.1(a)(ii)</w:t>
      </w:r>
      <w:r>
        <w:rPr>
          <w:rFonts w:ascii="Times New Roman" w:hAnsi="Times New Roman"/>
          <w:sz w:val="20"/>
        </w:rPr>
        <w:t xml:space="preserve">), unless a successor is elected and an Opinion of Counsel is received as provided in </w:t>
      </w:r>
      <w:r>
        <w:rPr>
          <w:rFonts w:ascii="Times New Roman" w:hAnsi="Times New Roman"/>
          <w:sz w:val="20"/>
          <w:u w:val="single"/>
        </w:rPr>
        <w:t>Sections 11.1(b)</w:t>
      </w:r>
      <w:r>
        <w:rPr>
          <w:rFonts w:ascii="Times New Roman" w:hAnsi="Times New Roman"/>
          <w:sz w:val="20"/>
        </w:rPr>
        <w:t xml:space="preserve"> or </w:t>
      </w:r>
      <w:r>
        <w:rPr>
          <w:rFonts w:ascii="Times New Roman" w:hAnsi="Times New Roman"/>
          <w:sz w:val="20"/>
          <w:u w:val="single"/>
        </w:rPr>
        <w:t>11.2</w:t>
      </w:r>
      <w:r>
        <w:rPr>
          <w:rFonts w:ascii="Times New Roman" w:hAnsi="Times New Roman"/>
          <w:sz w:val="20"/>
        </w:rPr>
        <w:t xml:space="preserve"> and such successor is admitted to the Partnership pursuant to </w:t>
      </w:r>
      <w:r>
        <w:rPr>
          <w:rFonts w:ascii="Times New Roman" w:hAnsi="Times New Roman"/>
          <w:sz w:val="20"/>
          <w:u w:val="single"/>
        </w:rPr>
        <w:t>Section 10.2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an election to dissolve the Partnership by the General Partner that is approved by the holders of a Unit Majority; </w:t>
      </w:r>
    </w:p>
    <w:p>
      <w:pPr>
        <w:pStyle w:val="TextBody"/>
        <w:bidi w:val="0"/>
        <w:spacing w:before="240" w:after="0"/>
        <w:jc w:val="left"/>
        <w:rPr>
          <w:rFonts w:ascii="Times New Roman" w:hAnsi="Times New Roman"/>
          <w:sz w:val="20"/>
        </w:rPr>
      </w:pPr>
      <w:r>
        <w:rPr>
          <w:rFonts w:ascii="Times New Roman" w:hAnsi="Times New Roman"/>
          <w:sz w:val="20"/>
        </w:rPr>
        <w:t xml:space="preserve">(c) the entry of a decree of judicial dissolution of the Partnership pursuant to the provisions of the Texas Limited Partnership Law; or </w:t>
      </w:r>
    </w:p>
    <w:p>
      <w:pPr>
        <w:pStyle w:val="TextBody"/>
        <w:bidi w:val="0"/>
        <w:spacing w:before="240" w:after="0"/>
        <w:jc w:val="left"/>
        <w:rPr>
          <w:rFonts w:ascii="Times New Roman" w:hAnsi="Times New Roman"/>
          <w:sz w:val="20"/>
        </w:rPr>
      </w:pPr>
      <w:r>
        <w:rPr>
          <w:rFonts w:ascii="Times New Roman" w:hAnsi="Times New Roman"/>
          <w:sz w:val="20"/>
        </w:rPr>
        <w:t xml:space="preserve">(d) at any time there are no Limited Partners, unless the Partnership is continued without dissolution in accordance with the Texas Limited Partnership Law. </w:t>
      </w:r>
    </w:p>
    <w:p>
      <w:pPr>
        <w:pStyle w:val="TextBody"/>
        <w:bidi w:val="0"/>
        <w:spacing w:before="240" w:after="0"/>
        <w:jc w:val="left"/>
        <w:rPr>
          <w:rFonts w:ascii="Times New Roman" w:hAnsi="Times New Roman"/>
          <w:sz w:val="20"/>
        </w:rPr>
      </w:pPr>
      <w:r>
        <w:rPr>
          <w:rFonts w:ascii="Times New Roman" w:hAnsi="Times New Roman"/>
          <w:sz w:val="20"/>
        </w:rPr>
        <w:t xml:space="preserve">Section 12.2 </w:t>
      </w:r>
      <w:r>
        <w:rPr>
          <w:rFonts w:ascii="Times New Roman" w:hAnsi="Times New Roman"/>
          <w:sz w:val="20"/>
          <w:u w:val="single"/>
        </w:rPr>
        <w:t>Continuation of the Business of the Partnership After Dissolution</w:t>
      </w:r>
      <w:r>
        <w:rPr>
          <w:rFonts w:ascii="Times New Roman" w:hAnsi="Times New Roman"/>
          <w:sz w:val="20"/>
        </w:rPr>
        <w:t xml:space="preserve">. Upon (a) dissolution of the Partnership following an Event of Withdrawal caused by the withdrawal or removal of the General Partner as provided in </w:t>
      </w:r>
      <w:r>
        <w:rPr>
          <w:rFonts w:ascii="Times New Roman" w:hAnsi="Times New Roman"/>
          <w:sz w:val="20"/>
          <w:u w:val="single"/>
        </w:rPr>
        <w:t>Section 11.1(a)(i)</w:t>
      </w:r>
      <w:r>
        <w:rPr>
          <w:rFonts w:ascii="Times New Roman" w:hAnsi="Times New Roman"/>
          <w:sz w:val="20"/>
        </w:rPr>
        <w:t xml:space="preserve"> or (iii) and the failure of the Partners to select a successor to such Departing General Partner pursuant to </w:t>
      </w:r>
      <w:r>
        <w:rPr>
          <w:rFonts w:ascii="Times New Roman" w:hAnsi="Times New Roman"/>
          <w:sz w:val="20"/>
          <w:u w:val="single"/>
        </w:rPr>
        <w:t>Sections 11.1</w:t>
      </w:r>
      <w:r>
        <w:rPr>
          <w:rFonts w:ascii="Times New Roman" w:hAnsi="Times New Roman"/>
          <w:sz w:val="20"/>
        </w:rPr>
        <w:t xml:space="preserve"> or </w:t>
      </w:r>
      <w:r>
        <w:rPr>
          <w:rFonts w:ascii="Times New Roman" w:hAnsi="Times New Roman"/>
          <w:sz w:val="20"/>
          <w:u w:val="single"/>
        </w:rPr>
        <w:t>11.2</w:t>
      </w:r>
      <w:r>
        <w:rPr>
          <w:rFonts w:ascii="Times New Roman" w:hAnsi="Times New Roman"/>
          <w:sz w:val="20"/>
        </w:rPr>
        <w:t xml:space="preserve">, then within 90 days thereafter, or (b) dissolution of the Partnership upon an event constituting an Event of Withdrawal as defined in </w:t>
      </w:r>
      <w:r>
        <w:rPr>
          <w:rFonts w:ascii="Times New Roman" w:hAnsi="Times New Roman"/>
          <w:sz w:val="20"/>
          <w:u w:val="single"/>
        </w:rPr>
        <w:t>Section 11.1(a)(iv)</w:t>
      </w:r>
      <w:r>
        <w:rPr>
          <w:rFonts w:ascii="Times New Roman" w:hAnsi="Times New Roman"/>
          <w:sz w:val="20"/>
        </w:rPr>
        <w:t xml:space="preserve"> or (v), then, to the maximum extent permitted by law, within 180 days thereafter, the holders of a Unit Majority may elect to continue the business of the Partnership on the same terms and conditions set forth in this Agreement by appointing as a successor General Partner a Person approved by the holders of a majority of Outstanding Units. Unless such an election is made within the applicable time period as set forth above, the Partnership shall conduct only activities necessary to wind up its affairs. If such an election is so made, then: </w:t>
      </w:r>
    </w:p>
    <w:p>
      <w:pPr>
        <w:pStyle w:val="TextBody"/>
        <w:bidi w:val="0"/>
        <w:spacing w:before="120" w:after="0"/>
        <w:jc w:val="left"/>
        <w:rPr>
          <w:rFonts w:ascii="Times New Roman" w:hAnsi="Times New Roman"/>
          <w:sz w:val="20"/>
        </w:rPr>
      </w:pPr>
      <w:r>
        <w:rPr>
          <w:rFonts w:ascii="Times New Roman" w:hAnsi="Times New Roman"/>
          <w:sz w:val="20"/>
        </w:rPr>
        <w:t xml:space="preserve">(i) the Partnership shall continue without dissolution unless earlier dissolved in accordance with this </w:t>
      </w:r>
      <w:r>
        <w:rPr>
          <w:rFonts w:ascii="Times New Roman" w:hAnsi="Times New Roman"/>
          <w:sz w:val="20"/>
          <w:u w:val="single"/>
        </w:rPr>
        <w:t>Article XII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the successor General Partner is not the former General Partner, then the interest of the former General Partner shall be treated in the manner provided in </w:t>
      </w:r>
      <w:r>
        <w:rPr>
          <w:rFonts w:ascii="Times New Roman" w:hAnsi="Times New Roman"/>
          <w:sz w:val="20"/>
          <w:u w:val="single"/>
        </w:rPr>
        <w:t>Section 11.3</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(iii) the successor General Partner shall be admitted to the Partnership as General Partner, effective as of the Event of Withdrawal, by agreeing in writing to be bound by this Agreement;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the right of the holders of a majority of Outstanding Units to approve a successor General Partner and to reconstitute and to continue the business of the Partnership shall not exist and may not be exercised unless the Partnership has received an Opinion of Counsel that (x) the exercise of the right would not result in the loss of limited liability of any Limited Partner and (y) the Partnership would not be treated as an association taxable as a corporation or otherwise be taxable as an entity for federal income tax purposes upon the exercise of such right to continue (to the extent not already so treated or taxed). </w:t>
      </w:r>
    </w:p>
    <w:p>
      <w:pPr>
        <w:pStyle w:val="TextBody"/>
        <w:bidi w:val="0"/>
        <w:spacing w:before="240" w:after="0"/>
        <w:jc w:val="left"/>
        <w:rPr>
          <w:rFonts w:ascii="Times New Roman" w:hAnsi="Times New Roman"/>
          <w:sz w:val="20"/>
        </w:rPr>
      </w:pPr>
      <w:r>
        <w:rPr>
          <w:rFonts w:ascii="Times New Roman" w:hAnsi="Times New Roman"/>
          <w:sz w:val="20"/>
        </w:rPr>
        <w:t xml:space="preserve">Section 12.3 </w:t>
      </w:r>
      <w:r>
        <w:rPr>
          <w:rFonts w:ascii="Times New Roman" w:hAnsi="Times New Roman"/>
          <w:sz w:val="20"/>
          <w:u w:val="single"/>
        </w:rPr>
        <w:t>Liquidator</w:t>
      </w:r>
      <w:r>
        <w:rPr>
          <w:rFonts w:ascii="Times New Roman" w:hAnsi="Times New Roman"/>
          <w:sz w:val="20"/>
        </w:rPr>
        <w:t xml:space="preserve">. Upon dissolution of the Partnership, unless the Partnership is continued pursuant to </w:t>
      </w:r>
      <w:r>
        <w:rPr>
          <w:rFonts w:ascii="Times New Roman" w:hAnsi="Times New Roman"/>
          <w:sz w:val="20"/>
          <w:u w:val="single"/>
        </w:rPr>
        <w:t>Section 12.2</w:t>
      </w:r>
      <w:r>
        <w:rPr>
          <w:rFonts w:ascii="Times New Roman" w:hAnsi="Times New Roman"/>
          <w:sz w:val="20"/>
        </w:rPr>
        <w:t xml:space="preserve">, the General Partner shall select one or more Persons to act as Liquidator. The Liquidator (if other than the General Partner) shall be entitled to receive such compensation for its services as may be approved by holders of at least a majority of the Outstanding Common Units voting as a single class. The Liquidator (if other than the General Partner) shall agree not to resign at any time without 15 days’ prior notice and may be removed at any time, with or without cause, by notice of removal approved by holders of at least a majority of the Outstanding Common Units voting as a single class. Upon dissolution, removal or resignation of the Liquidator, a successor and substitute Liquidator (who shall have and succeed to all rights, powers and duties of the original Liquidator) shall within 30 days thereafter be approved by holders of at least a majority of the Outstanding Common Units voting as a single class. The right to approve a successor or substitute Liquidator in the manner provided herein shall be deemed to refer also to any such successor or substitute Liquidator approved in the manner herein provided. Except as expressly provided in this </w:t>
      </w:r>
      <w:r>
        <w:rPr>
          <w:rFonts w:ascii="Times New Roman" w:hAnsi="Times New Roman"/>
          <w:sz w:val="20"/>
          <w:u w:val="single"/>
        </w:rPr>
        <w:t>Article XII</w:t>
      </w:r>
      <w:r>
        <w:rPr>
          <w:rFonts w:ascii="Times New Roman" w:hAnsi="Times New Roman"/>
          <w:sz w:val="20"/>
        </w:rPr>
        <w:t xml:space="preserve">, the Liquidator approved in the manner provided herein shall have and may exercise, without further authorization or consent of any of the parties hereto, all of the powers conferred upon the General Partner under the terms of this Agreement (but subject to all of the applicable limitations, contractual and otherwise, upon the exercise of such powers, other than the limitation on sale set forth in </w:t>
      </w:r>
      <w:r>
        <w:rPr>
          <w:rFonts w:ascii="Times New Roman" w:hAnsi="Times New Roman"/>
          <w:sz w:val="20"/>
          <w:u w:val="single"/>
        </w:rPr>
        <w:t>Section 7.3</w:t>
      </w:r>
      <w:r>
        <w:rPr>
          <w:rFonts w:ascii="Times New Roman" w:hAnsi="Times New Roman"/>
          <w:sz w:val="20"/>
        </w:rPr>
        <w:t xml:space="preserve">) necessary or appropriate to carry out the duties and functions of the Liquidator hereunder for and during the period of time required to complete the winding up and liquidation of the Partnership as provided for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12.4 </w:t>
      </w:r>
      <w:r>
        <w:rPr>
          <w:rFonts w:ascii="Times New Roman" w:hAnsi="Times New Roman"/>
          <w:sz w:val="20"/>
          <w:u w:val="single"/>
        </w:rPr>
        <w:t>Liquidation</w:t>
      </w:r>
      <w:r>
        <w:rPr>
          <w:rFonts w:ascii="Times New Roman" w:hAnsi="Times New Roman"/>
          <w:sz w:val="20"/>
        </w:rPr>
        <w:t xml:space="preserve">. The Liquidator shall proceed to dispose of the assets of the Partnership, discharge its liabilities, and otherwise wind up its affairs in such manner and over such period as the Liquidator determines to be in the best interest of the Partners, subject to Sections 11.053 and 153.210 of the Texas Limited Partnership Law and the following: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Disposition of Assets</w:t>
      </w:r>
      <w:r>
        <w:rPr>
          <w:rFonts w:ascii="Times New Roman" w:hAnsi="Times New Roman"/>
          <w:sz w:val="20"/>
        </w:rPr>
        <w:t xml:space="preserve">. The assets may be disposed of by public or private sale or by distribution in kind to one or more Partners on such terms as the Liquidator and such Partner or Partners may agree. If any property is distributed in kind, the Partner receiving the property shall be deemed for purposes of </w:t>
      </w:r>
      <w:r>
        <w:rPr>
          <w:rFonts w:ascii="Times New Roman" w:hAnsi="Times New Roman"/>
          <w:sz w:val="20"/>
          <w:u w:val="single"/>
        </w:rPr>
        <w:t>Section 12.4(c)</w:t>
      </w:r>
      <w:r>
        <w:rPr>
          <w:rFonts w:ascii="Times New Roman" w:hAnsi="Times New Roman"/>
          <w:sz w:val="20"/>
        </w:rPr>
        <w:t xml:space="preserve"> to have received cash equal to its fair market value; and contemporaneously therewith, appropriate cash distributions must be made to the other Partners. The Liquidator may defer liquidation or distribution of the Partnership’s assets for a reasonable time if it determines that an immediate sale or distribution of all or some of the Partnership’s assets would be impractical or would cause undue loss to the Partners. The Liquidator may distribute the Partnership’s assets, in whole or in part, in kind if it determines that a sale would be impractical or would cause undue loss to the Partners.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Discharge of Liabilities</w:t>
      </w:r>
      <w:r>
        <w:rPr>
          <w:rFonts w:ascii="Times New Roman" w:hAnsi="Times New Roman"/>
          <w:sz w:val="20"/>
        </w:rPr>
        <w:t xml:space="preserve">. Liabilities of the Partnership include amounts owed to the Liquidator as compensation for serving in such capacity (subject to the terms of </w:t>
      </w:r>
      <w:r>
        <w:rPr>
          <w:rFonts w:ascii="Times New Roman" w:hAnsi="Times New Roman"/>
          <w:sz w:val="20"/>
          <w:u w:val="single"/>
        </w:rPr>
        <w:t>Section 12.3</w:t>
      </w:r>
      <w:r>
        <w:rPr>
          <w:rFonts w:ascii="Times New Roman" w:hAnsi="Times New Roman"/>
          <w:sz w:val="20"/>
        </w:rPr>
        <w:t xml:space="preserve">) and amounts to Partners otherwise than in respect of their distribution rights under </w:t>
      </w:r>
      <w:r>
        <w:rPr>
          <w:rFonts w:ascii="Times New Roman" w:hAnsi="Times New Roman"/>
          <w:sz w:val="20"/>
          <w:u w:val="single"/>
        </w:rPr>
        <w:t>Article VI</w:t>
      </w:r>
      <w:r>
        <w:rPr>
          <w:rFonts w:ascii="Times New Roman" w:hAnsi="Times New Roman"/>
          <w:sz w:val="20"/>
        </w:rPr>
        <w:t xml:space="preserve">. With respect to any liability that is contingent, conditional or unmatured or is otherwise not yet due and payable, the Liquidator shall either settle such claim for such amount as it thinks appropriate or establish a reserve of cash or other assets to provide for its payment. When paid, any unused portion of the reserve shall be distributed as additional liquidation proceeds.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Liquidation Distributions</w:t>
      </w:r>
      <w:r>
        <w:rPr>
          <w:rFonts w:ascii="Times New Roman" w:hAnsi="Times New Roman"/>
          <w:sz w:val="20"/>
        </w:rPr>
        <w:t xml:space="preserve">. All property and all cash in excess of that required to discharge liabilities as provided in </w:t>
      </w:r>
      <w:r>
        <w:rPr>
          <w:rFonts w:ascii="Times New Roman" w:hAnsi="Times New Roman"/>
          <w:sz w:val="20"/>
          <w:u w:val="single"/>
        </w:rPr>
        <w:t>Section 12.4(b)</w:t>
      </w:r>
      <w:r>
        <w:rPr>
          <w:rFonts w:ascii="Times New Roman" w:hAnsi="Times New Roman"/>
          <w:sz w:val="20"/>
        </w:rPr>
        <w:t xml:space="preserve"> and that required to satisfy the Series B Liquidation Preference provided for under </w:t>
      </w:r>
      <w:r>
        <w:rPr>
          <w:rFonts w:ascii="Times New Roman" w:hAnsi="Times New Roman"/>
          <w:sz w:val="20"/>
          <w:u w:val="single"/>
        </w:rPr>
        <w:t>Section 5.11(b)(v)</w:t>
      </w:r>
      <w:r>
        <w:rPr>
          <w:rFonts w:ascii="Times New Roman" w:hAnsi="Times New Roman"/>
          <w:sz w:val="20"/>
        </w:rPr>
        <w:t xml:space="preserve">, the Series G Liquidation Preference provided for under </w:t>
      </w:r>
      <w:r>
        <w:rPr>
          <w:rFonts w:ascii="Times New Roman" w:hAnsi="Times New Roman"/>
          <w:sz w:val="20"/>
          <w:u w:val="single"/>
        </w:rPr>
        <w:t>Section 5.12(b)(v)</w:t>
      </w:r>
      <w:r>
        <w:rPr>
          <w:rFonts w:ascii="Times New Roman" w:hAnsi="Times New Roman"/>
          <w:sz w:val="20"/>
        </w:rPr>
        <w:t xml:space="preserve">, the Series H Liquidation Preference provided for under </w:t>
      </w:r>
      <w:r>
        <w:rPr>
          <w:rFonts w:ascii="Times New Roman" w:hAnsi="Times New Roman"/>
          <w:sz w:val="20"/>
          <w:u w:val="single"/>
        </w:rPr>
        <w:t>Section 5.14(b)(v)</w:t>
      </w:r>
      <w:r>
        <w:rPr>
          <w:rFonts w:ascii="Times New Roman" w:hAnsi="Times New Roman"/>
          <w:sz w:val="20"/>
        </w:rPr>
        <w:t xml:space="preserve"> and the Series I Liquidation Preference provided for under </w:t>
      </w:r>
      <w:r>
        <w:rPr>
          <w:rFonts w:ascii="Times New Roman" w:hAnsi="Times New Roman"/>
          <w:sz w:val="20"/>
          <w:u w:val="single"/>
        </w:rPr>
        <w:t>Section 5.15(g)</w:t>
      </w:r>
      <w:r>
        <w:rPr>
          <w:rFonts w:ascii="Times New Roman" w:hAnsi="Times New Roman"/>
          <w:sz w:val="20"/>
        </w:rPr>
        <w:t xml:space="preserve"> shall be distributed to the Partners in accordance with, and to the extent of, the positive balances in their respective Capital Accounts, as determined after taking into account all Capital Account adjustments (other than those made by reason of distributions pursuant to this </w:t>
      </w:r>
      <w:r>
        <w:rPr>
          <w:rFonts w:ascii="Times New Roman" w:hAnsi="Times New Roman"/>
          <w:sz w:val="20"/>
          <w:u w:val="single"/>
        </w:rPr>
        <w:t>Section 12.4(c)</w:t>
      </w:r>
      <w:r>
        <w:rPr>
          <w:rFonts w:ascii="Times New Roman" w:hAnsi="Times New Roman"/>
          <w:sz w:val="20"/>
        </w:rPr>
        <w:t xml:space="preserve">) for the taxable year of the Partnership during which the liquidation of the Partnership occurs (with such date of occurrence being determined pursuant to Treasury Regulation Section 1.704-1(b)(2)(ii)(g)), and such distribution shall be made by the end of such taxable year (or, if later, within 90 calendar days after said date of such occurrence). </w:t>
      </w:r>
    </w:p>
    <w:p>
      <w:pPr>
        <w:pStyle w:val="TextBody"/>
        <w:bidi w:val="0"/>
        <w:spacing w:before="240" w:after="0"/>
        <w:jc w:val="left"/>
        <w:rPr>
          <w:rFonts w:ascii="Times New Roman" w:hAnsi="Times New Roman"/>
          <w:sz w:val="20"/>
        </w:rPr>
      </w:pPr>
      <w:r>
        <w:rPr>
          <w:rFonts w:ascii="Times New Roman" w:hAnsi="Times New Roman"/>
          <w:sz w:val="20"/>
        </w:rPr>
        <w:t xml:space="preserve">Section 12.5 </w:t>
      </w:r>
      <w:r>
        <w:rPr>
          <w:rFonts w:ascii="Times New Roman" w:hAnsi="Times New Roman"/>
          <w:sz w:val="20"/>
          <w:u w:val="single"/>
        </w:rPr>
        <w:t>Termination</w:t>
      </w:r>
      <w:r>
        <w:rPr>
          <w:rFonts w:ascii="Times New Roman" w:hAnsi="Times New Roman"/>
          <w:sz w:val="20"/>
        </w:rPr>
        <w:t xml:space="preserve">. Upon the completion of the distribution of Partnership cash and property as provided in </w:t>
      </w:r>
      <w:r>
        <w:rPr>
          <w:rFonts w:ascii="Times New Roman" w:hAnsi="Times New Roman"/>
          <w:sz w:val="20"/>
          <w:u w:val="single"/>
        </w:rPr>
        <w:t>Section 12.4</w:t>
      </w:r>
      <w:r>
        <w:rPr>
          <w:rFonts w:ascii="Times New Roman" w:hAnsi="Times New Roman"/>
          <w:sz w:val="20"/>
        </w:rPr>
        <w:t xml:space="preserve"> in connection with the liquidation of the Partnership, the Partnership shall file a certificate of termination as provided in the Texas Limited Partnership Law, all qualifications of the Partnership as a foreign limited partnership in jurisdictions other than the State of Texas shall be canceled and such other actions as may be necessary to terminate the Partnership shall be taken. </w:t>
      </w:r>
    </w:p>
    <w:p>
      <w:pPr>
        <w:pStyle w:val="TextBody"/>
        <w:bidi w:val="0"/>
        <w:spacing w:before="240" w:after="0"/>
        <w:jc w:val="left"/>
        <w:rPr>
          <w:rFonts w:ascii="Times New Roman" w:hAnsi="Times New Roman"/>
          <w:sz w:val="20"/>
        </w:rPr>
      </w:pPr>
      <w:r>
        <w:rPr>
          <w:rFonts w:ascii="Times New Roman" w:hAnsi="Times New Roman"/>
          <w:sz w:val="20"/>
        </w:rPr>
        <w:t xml:space="preserve">Section 12.6 </w:t>
      </w:r>
      <w:r>
        <w:rPr>
          <w:rFonts w:ascii="Times New Roman" w:hAnsi="Times New Roman"/>
          <w:sz w:val="20"/>
          <w:u w:val="single"/>
        </w:rPr>
        <w:t>Return of Contributions</w:t>
      </w:r>
      <w:r>
        <w:rPr>
          <w:rFonts w:ascii="Times New Roman" w:hAnsi="Times New Roman"/>
          <w:sz w:val="20"/>
        </w:rPr>
        <w:t xml:space="preserve">. The General Partner shall not be personally liable for, and shall have no obligation to contribute or loan any monies or property to the Partnership to enable it to effectuate, the return of the Capital Contributions of the Limited Partners or Unitholders, or any portion thereof, it being expressly understood that any such return shall be made solely from Partnership assets. </w:t>
      </w:r>
    </w:p>
    <w:p>
      <w:pPr>
        <w:pStyle w:val="TextBody"/>
        <w:bidi w:val="0"/>
        <w:spacing w:before="240" w:after="0"/>
        <w:jc w:val="left"/>
        <w:rPr>
          <w:rFonts w:ascii="Times New Roman" w:hAnsi="Times New Roman"/>
          <w:sz w:val="20"/>
        </w:rPr>
      </w:pPr>
      <w:r>
        <w:rPr>
          <w:rFonts w:ascii="Times New Roman" w:hAnsi="Times New Roman"/>
          <w:sz w:val="20"/>
        </w:rPr>
        <w:t xml:space="preserve">Section 12.7 </w:t>
      </w:r>
      <w:r>
        <w:rPr>
          <w:rFonts w:ascii="Times New Roman" w:hAnsi="Times New Roman"/>
          <w:sz w:val="20"/>
          <w:u w:val="single"/>
        </w:rPr>
        <w:t>Waiver of Partition</w:t>
      </w:r>
      <w:r>
        <w:rPr>
          <w:rFonts w:ascii="Times New Roman" w:hAnsi="Times New Roman"/>
          <w:sz w:val="20"/>
        </w:rPr>
        <w:t xml:space="preserve">. To the maximum extent permitted by law, each Partner hereby waives any right to partition of the Partnership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12.8 </w:t>
      </w:r>
      <w:r>
        <w:rPr>
          <w:rFonts w:ascii="Times New Roman" w:hAnsi="Times New Roman"/>
          <w:sz w:val="20"/>
          <w:u w:val="single"/>
        </w:rPr>
        <w:t>Capital Account Restoration</w:t>
      </w:r>
      <w:r>
        <w:rPr>
          <w:rFonts w:ascii="Times New Roman" w:hAnsi="Times New Roman"/>
          <w:sz w:val="20"/>
        </w:rPr>
        <w:t xml:space="preserve">. No Partner shall have any obligation to restore any negative balance in its Capital Account upon liquidation of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Section 12.9 </w:t>
      </w:r>
      <w:r>
        <w:rPr>
          <w:rFonts w:ascii="Times New Roman" w:hAnsi="Times New Roman"/>
          <w:sz w:val="20"/>
          <w:u w:val="single"/>
        </w:rPr>
        <w:t>Certain Prohibited Acts</w:t>
      </w:r>
      <w:r>
        <w:rPr>
          <w:rFonts w:ascii="Times New Roman" w:hAnsi="Times New Roman"/>
          <w:sz w:val="20"/>
        </w:rPr>
        <w:t xml:space="preserve">. Without obtaining Special Approval, the General Partner shall not take any action to cause the Partnership to (i) make or consent to a general assignment for the benefit of the Partnership’s creditors; (ii) file or consent to the filing of any bankruptcy, insolvency or reorganization petition for relief under the United States Bankruptcy Code naming the Partnership or otherwise seek, with respect to the Partnership, relief from debts or protection from creditors generally; (iii) file or consent to the filing of a petition or answer seeking for the Partnership a liquidation, dissolution, arrangement, or similar relief under any law; (iv) file an answer or other pleading admitting or failing to contest the material allegations of a petition filed against the Partnership in a proceeding of the type described in clauses (i)—(iii) of this </w:t>
      </w:r>
      <w:r>
        <w:rPr>
          <w:rFonts w:ascii="Times New Roman" w:hAnsi="Times New Roman"/>
          <w:sz w:val="20"/>
          <w:u w:val="single"/>
        </w:rPr>
        <w:t>Section 12.9</w:t>
      </w:r>
      <w:r>
        <w:rPr>
          <w:rFonts w:ascii="Times New Roman" w:hAnsi="Times New Roman"/>
          <w:sz w:val="20"/>
        </w:rPr>
        <w:t xml:space="preserve">; (v) seek, consent to or acquiesce in the appointment of a receiver, liquidator, conservator, assignee, trustee, sequestrator, custodian or any similar official for the Partnership or for all or any substantial portion of its properties; (vi) sell all or substantially all of its assets, except in accordance with </w:t>
      </w:r>
      <w:r>
        <w:rPr>
          <w:rFonts w:ascii="Times New Roman" w:hAnsi="Times New Roman"/>
          <w:sz w:val="20"/>
          <w:u w:val="single"/>
        </w:rPr>
        <w:t>Section 7.3</w:t>
      </w:r>
      <w:r>
        <w:rPr>
          <w:rFonts w:ascii="Times New Roman" w:hAnsi="Times New Roman"/>
          <w:sz w:val="20"/>
        </w:rPr>
        <w:t xml:space="preserve">; (vii) dissolve or liquidate, except in accordance with </w:t>
      </w:r>
      <w:r>
        <w:rPr>
          <w:rFonts w:ascii="Times New Roman" w:hAnsi="Times New Roman"/>
          <w:sz w:val="20"/>
          <w:u w:val="single"/>
        </w:rPr>
        <w:t>Article XII</w:t>
      </w:r>
      <w:r>
        <w:rPr>
          <w:rFonts w:ascii="Times New Roman" w:hAnsi="Times New Roman"/>
          <w:sz w:val="20"/>
        </w:rPr>
        <w:t xml:space="preserve">; or (viii) merge or consolidate, except in accordance with </w:t>
      </w:r>
      <w:r>
        <w:rPr>
          <w:rFonts w:ascii="Times New Roman" w:hAnsi="Times New Roman"/>
          <w:sz w:val="20"/>
          <w:u w:val="single"/>
        </w:rPr>
        <w:t>Article XIV</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XIII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 OF PARTNERSHIP AGREEMENT; MEETINGS; RECORD DATE </w:t>
      </w:r>
    </w:p>
    <w:p>
      <w:pPr>
        <w:pStyle w:val="TextBody"/>
        <w:bidi w:val="0"/>
        <w:spacing w:before="240" w:after="0"/>
        <w:jc w:val="left"/>
        <w:rPr>
          <w:rFonts w:ascii="Times New Roman" w:hAnsi="Times New Roman"/>
          <w:sz w:val="20"/>
        </w:rPr>
      </w:pPr>
      <w:r>
        <w:rPr>
          <w:rFonts w:ascii="Times New Roman" w:hAnsi="Times New Roman"/>
          <w:sz w:val="20"/>
        </w:rPr>
        <w:t xml:space="preserve">Section 13.1 </w:t>
      </w:r>
      <w:r>
        <w:rPr>
          <w:rFonts w:ascii="Times New Roman" w:hAnsi="Times New Roman"/>
          <w:sz w:val="20"/>
          <w:u w:val="single"/>
        </w:rPr>
        <w:t>Amendments to be Adopted Solely by the General Partner</w:t>
      </w:r>
      <w:r>
        <w:rPr>
          <w:rFonts w:ascii="Times New Roman" w:hAnsi="Times New Roman"/>
          <w:sz w:val="20"/>
        </w:rPr>
        <w:t xml:space="preserve">. Each Limited Partner agrees that the General Partner, without the approval of any Partner, may amend any provision of this Agreement and execute, swear to, acknowledge, deliver, file and record whatever documents may be required in connection therewith, to reflect: </w:t>
      </w:r>
    </w:p>
    <w:p>
      <w:pPr>
        <w:pStyle w:val="TextBody"/>
        <w:bidi w:val="0"/>
        <w:spacing w:before="120" w:after="0"/>
        <w:jc w:val="left"/>
        <w:rPr>
          <w:rFonts w:ascii="Times New Roman" w:hAnsi="Times New Roman"/>
          <w:sz w:val="20"/>
        </w:rPr>
      </w:pPr>
      <w:r>
        <w:rPr>
          <w:rFonts w:ascii="Times New Roman" w:hAnsi="Times New Roman"/>
          <w:sz w:val="20"/>
        </w:rPr>
        <w:t xml:space="preserve">(a) a change in the name of the Partnership, the location of the principal place of business of the Partnership, the registered agent of the Partnership or the registered office of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(b) the admission, substitution, withdrawal or removal of Partners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a change that the General Partner determines to be necessary or appropriate to qualify or continue the qualification of the Partnership as a limited partnership or a partnership in which the Limited Partners have limited liability under the laws of any state or to ensure that the Group Members will not be treated as associations taxable as corporations or otherwise taxed as entities for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(d) a change that the General Partner determines (i) does not adversely affect the Limited Partners (including any particular class of Partnership Interests as compared to other classes of Partnership Interests) in any material respect, (ii) to be necessary or appropriate to (A) satisfy any requirements, conditions or guidelines contained in any opinion, directive, order, ruling or regulation of any federal or state agency or judicial authority or contained in any federal or state statute (including the Texas Limited Partnership Law) or (B) facilitate the trading of the Limited Partner Interests (including the division of any class or classes of Outstanding Limited Partner Interests into different classes to facilitate uniformity of tax consequences within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classes of Limited Partner Interests) or comply with any rule, regulation, guideline or requirement of any National Securities Exchange on which the Limited Partner Interests are or will be listed, (iii) to be necessary or appropriate in connection with action taken by the General Partner pursuant to </w:t>
      </w:r>
      <w:r>
        <w:rPr>
          <w:rFonts w:ascii="Times New Roman" w:hAnsi="Times New Roman"/>
          <w:sz w:val="20"/>
          <w:u w:val="single"/>
        </w:rPr>
        <w:t>Section 5.8</w:t>
      </w:r>
      <w:r>
        <w:rPr>
          <w:rFonts w:ascii="Times New Roman" w:hAnsi="Times New Roman"/>
          <w:sz w:val="20"/>
        </w:rPr>
        <w:t xml:space="preserve"> or (iv) to be required to effect the intent expressed in the Registration Statement or the intent of the provisions of this Agreement or is otherwise contemplated by this Agreement; </w:t>
      </w:r>
    </w:p>
    <w:p>
      <w:pPr>
        <w:pStyle w:val="TextBody"/>
        <w:bidi w:val="0"/>
        <w:spacing w:before="240" w:after="0"/>
        <w:jc w:val="left"/>
        <w:rPr>
          <w:rFonts w:ascii="Times New Roman" w:hAnsi="Times New Roman"/>
          <w:sz w:val="20"/>
        </w:rPr>
      </w:pPr>
      <w:r>
        <w:rPr>
          <w:rFonts w:ascii="Times New Roman" w:hAnsi="Times New Roman"/>
          <w:sz w:val="20"/>
        </w:rPr>
        <w:t>(e) a change in the fiscal year or taxable year of the Partnership and any other changes that the General Partner determines to be necessary or appropriate as a result of a change in the fiscal year or taxable year of the Partnership including, if the General Partner shall so determine, a change in the definition of “</w:t>
      </w:r>
      <w:r>
        <w:rPr>
          <w:rFonts w:ascii="Times New Roman" w:hAnsi="Times New Roman"/>
          <w:i/>
          <w:sz w:val="20"/>
        </w:rPr>
        <w:t>Quarter</w:t>
      </w:r>
      <w:r>
        <w:rPr>
          <w:rFonts w:ascii="Times New Roman" w:hAnsi="Times New Roman"/>
          <w:sz w:val="20"/>
        </w:rPr>
        <w:t xml:space="preserve">” and the dates on which distributions (other than Series B Distributions, Series G Distributions, Series H Distributions and Series I Distributions) are to be made by the Partnership; </w:t>
      </w:r>
    </w:p>
    <w:p>
      <w:pPr>
        <w:pStyle w:val="TextBody"/>
        <w:bidi w:val="0"/>
        <w:spacing w:before="240" w:after="0"/>
        <w:jc w:val="left"/>
        <w:rPr>
          <w:rFonts w:ascii="Times New Roman" w:hAnsi="Times New Roman"/>
          <w:sz w:val="20"/>
        </w:rPr>
      </w:pPr>
      <w:r>
        <w:rPr>
          <w:rFonts w:ascii="Times New Roman" w:hAnsi="Times New Roman"/>
          <w:sz w:val="20"/>
        </w:rPr>
        <w:t>(f) an amendment that is necessary, in the Opinion of Counsel, to prevent the Partnership, or the General Partner or its directors, officers, trustees or agents from in any manner being subjected to the provisions of the Investment Company Act of 1940, as amended, the Investment Advisers Act of 1940, as amended, or “</w:t>
      </w:r>
      <w:r>
        <w:rPr>
          <w:rFonts w:ascii="Times New Roman" w:hAnsi="Times New Roman"/>
          <w:i/>
          <w:sz w:val="20"/>
        </w:rPr>
        <w:t>plan asset</w:t>
      </w:r>
      <w:r>
        <w:rPr>
          <w:rFonts w:ascii="Times New Roman" w:hAnsi="Times New Roman"/>
          <w:sz w:val="20"/>
        </w:rPr>
        <w:t xml:space="preserve">” regulations adopted under the Employee Retirement Income Security Act of 1974, as amended, regardless of whether such are substantially similar to plan asset regulations currently applied or proposed by the United States Department of Labor; </w:t>
      </w:r>
    </w:p>
    <w:p>
      <w:pPr>
        <w:pStyle w:val="TextBody"/>
        <w:bidi w:val="0"/>
        <w:spacing w:before="240" w:after="0"/>
        <w:jc w:val="left"/>
        <w:rPr>
          <w:rFonts w:ascii="Times New Roman" w:hAnsi="Times New Roman"/>
          <w:sz w:val="20"/>
        </w:rPr>
      </w:pPr>
      <w:r>
        <w:rPr>
          <w:rFonts w:ascii="Times New Roman" w:hAnsi="Times New Roman"/>
          <w:sz w:val="20"/>
        </w:rPr>
        <w:t xml:space="preserve">(g) an amendment that the General Partner determines to be necessary or appropriate in connection with the authorization of issuance of any class or series of Partnership Securities pursuant to </w:t>
      </w:r>
      <w:r>
        <w:rPr>
          <w:rFonts w:ascii="Times New Roman" w:hAnsi="Times New Roman"/>
          <w:sz w:val="20"/>
          <w:u w:val="single"/>
        </w:rPr>
        <w:t>Section 5.6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any amendment expressly permitted in this Agreement to be made by the General Partner acting alone; </w:t>
      </w:r>
    </w:p>
    <w:p>
      <w:pPr>
        <w:pStyle w:val="TextBody"/>
        <w:bidi w:val="0"/>
        <w:spacing w:before="240" w:after="0"/>
        <w:jc w:val="left"/>
        <w:rPr>
          <w:rFonts w:ascii="Times New Roman" w:hAnsi="Times New Roman"/>
          <w:sz w:val="20"/>
        </w:rPr>
      </w:pPr>
      <w:r>
        <w:rPr>
          <w:rFonts w:ascii="Times New Roman" w:hAnsi="Times New Roman"/>
          <w:sz w:val="20"/>
        </w:rPr>
        <w:t xml:space="preserve">(i) an amendment effected, necessitated or contemplated by a Merger Agreement approved in accordance with </w:t>
      </w:r>
      <w:r>
        <w:rPr>
          <w:rFonts w:ascii="Times New Roman" w:hAnsi="Times New Roman"/>
          <w:sz w:val="20"/>
          <w:u w:val="single"/>
        </w:rPr>
        <w:t>Section 14.3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an amendment that the General Partner determines to be necessary or appropriate to reflect and account for the formation by the Partnership of, or investment by the Partnership in, any corporation, partnership, joint venture, limited liability company or other entity, in connection with the conduct by the Partnership of activities permitted by the terms of </w:t>
      </w:r>
      <w:r>
        <w:rPr>
          <w:rFonts w:ascii="Times New Roman" w:hAnsi="Times New Roman"/>
          <w:sz w:val="20"/>
          <w:u w:val="single"/>
        </w:rPr>
        <w:t>Section 2.4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a merger or conveyance pursuant to </w:t>
      </w:r>
      <w:r>
        <w:rPr>
          <w:rFonts w:ascii="Times New Roman" w:hAnsi="Times New Roman"/>
          <w:sz w:val="20"/>
          <w:u w:val="single"/>
        </w:rPr>
        <w:t>Section 14.3(d)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 a change in the form of the Transfer Application or the Taxation Certification necessary or appropriate as determined by the General Partner to effectuate the purposes of </w:t>
      </w:r>
      <w:r>
        <w:rPr>
          <w:rFonts w:ascii="Times New Roman" w:hAnsi="Times New Roman"/>
          <w:sz w:val="20"/>
          <w:u w:val="single"/>
        </w:rPr>
        <w:t>Section 4.5</w:t>
      </w:r>
      <w:r>
        <w:rPr>
          <w:rFonts w:ascii="Times New Roman" w:hAnsi="Times New Roman"/>
          <w:sz w:val="20"/>
        </w:rPr>
        <w:t xml:space="preserve"> or </w:t>
      </w:r>
      <w:r>
        <w:rPr>
          <w:rFonts w:ascii="Times New Roman" w:hAnsi="Times New Roman"/>
          <w:sz w:val="20"/>
          <w:u w:val="single"/>
        </w:rPr>
        <w:t>Section 4.8</w:t>
      </w:r>
      <w:r>
        <w:rPr>
          <w:rFonts w:ascii="Times New Roman" w:hAnsi="Times New Roman"/>
          <w:sz w:val="20"/>
        </w:rPr>
        <w:t xml:space="preserve"> hereof; or </w:t>
      </w:r>
    </w:p>
    <w:p>
      <w:pPr>
        <w:pStyle w:val="TextBody"/>
        <w:bidi w:val="0"/>
        <w:spacing w:before="240" w:after="0"/>
        <w:jc w:val="left"/>
        <w:rPr>
          <w:rFonts w:ascii="Times New Roman" w:hAnsi="Times New Roman"/>
          <w:sz w:val="20"/>
        </w:rPr>
      </w:pPr>
      <w:r>
        <w:rPr>
          <w:rFonts w:ascii="Times New Roman" w:hAnsi="Times New Roman"/>
          <w:sz w:val="20"/>
        </w:rPr>
        <w:t xml:space="preserve">(m) any other amendments substantially similar to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13.2 </w:t>
      </w:r>
      <w:r>
        <w:rPr>
          <w:rFonts w:ascii="Times New Roman" w:hAnsi="Times New Roman"/>
          <w:sz w:val="20"/>
          <w:u w:val="single"/>
        </w:rPr>
        <w:t>Amendment Procedures</w:t>
      </w:r>
      <w:r>
        <w:rPr>
          <w:rFonts w:ascii="Times New Roman" w:hAnsi="Times New Roman"/>
          <w:sz w:val="20"/>
        </w:rPr>
        <w:t xml:space="preserve">. Except as provided in </w:t>
      </w:r>
      <w:r>
        <w:rPr>
          <w:rFonts w:ascii="Times New Roman" w:hAnsi="Times New Roman"/>
          <w:sz w:val="20"/>
          <w:u w:val="single"/>
        </w:rPr>
        <w:t>Sections 13.1</w:t>
      </w:r>
      <w:r>
        <w:rPr>
          <w:rFonts w:ascii="Times New Roman" w:hAnsi="Times New Roman"/>
          <w:sz w:val="20"/>
        </w:rPr>
        <w:t xml:space="preserve"> and </w:t>
      </w:r>
      <w:r>
        <w:rPr>
          <w:rFonts w:ascii="Times New Roman" w:hAnsi="Times New Roman"/>
          <w:sz w:val="20"/>
          <w:u w:val="single"/>
        </w:rPr>
        <w:t>13.3</w:t>
      </w:r>
      <w:r>
        <w:rPr>
          <w:rFonts w:ascii="Times New Roman" w:hAnsi="Times New Roman"/>
          <w:sz w:val="20"/>
        </w:rPr>
        <w:t xml:space="preserve">, all amendments to this Agreement shall be made in accordance with the following requirements. Amendments to this Agreement may be proposed only by the General Partner;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General Partner shall have no duty or obligation to propose any amendment to this Agreement and may decline to do so free of any fiduciary duty or obligation whatsoever to the Partnership or any Limited Partner and, in declining to propose an amendment to the maximum extent permitted by law, shall not be required to act in good faith or pursuant to any other standard imposed by this Agreement, any other agreement contemplated hereby or under the Texas Limited Partnership Law or any other law, rule or regulation or at equity. A proposed amendment shall be effective upon its approval by the General Partner and the holders of a Unit Majority, unless a greater or different percentage is required under this Agreement or by Texas law. Each proposed amendment that requires the approval of the holders of a specified percentage of Outstanding Units shall be set forth in a writing that contains the text of the proposed amendment. If such an amendment is proposed, the General Partner shall seek the written approval of the requisite percentage of Outstanding Units or call a meeting of the Unitholders to consider and vote on such proposed amendment. The General Partner shall notify all Record Holders upon final adoption of any such proposed amendments. Notwithstanding the provisions of </w:t>
      </w:r>
      <w:r>
        <w:rPr>
          <w:rFonts w:ascii="Times New Roman" w:hAnsi="Times New Roman"/>
          <w:sz w:val="20"/>
          <w:u w:val="single"/>
        </w:rPr>
        <w:t>Sections 13.1</w:t>
      </w:r>
      <w:r>
        <w:rPr>
          <w:rFonts w:ascii="Times New Roman" w:hAnsi="Times New Roman"/>
          <w:sz w:val="20"/>
        </w:rPr>
        <w:t xml:space="preserve"> and </w:t>
      </w:r>
      <w:r>
        <w:rPr>
          <w:rFonts w:ascii="Times New Roman" w:hAnsi="Times New Roman"/>
          <w:sz w:val="20"/>
          <w:u w:val="single"/>
        </w:rPr>
        <w:t>13.2</w:t>
      </w:r>
      <w:r>
        <w:rPr>
          <w:rFonts w:ascii="Times New Roman" w:hAnsi="Times New Roman"/>
          <w:sz w:val="20"/>
        </w:rPr>
        <w:t>, no amendment of (i) the definitions of “</w:t>
      </w:r>
      <w:r>
        <w:rPr>
          <w:rFonts w:ascii="Times New Roman" w:hAnsi="Times New Roman"/>
          <w:i/>
          <w:sz w:val="20"/>
        </w:rPr>
        <w:t>Conflicts Committee</w:t>
      </w:r>
      <w:r>
        <w:rPr>
          <w:rFonts w:ascii="Times New Roman" w:hAnsi="Times New Roman"/>
          <w:sz w:val="20"/>
        </w:rPr>
        <w:t>” and “</w:t>
      </w:r>
      <w:r>
        <w:rPr>
          <w:rFonts w:ascii="Times New Roman" w:hAnsi="Times New Roman"/>
          <w:i/>
          <w:sz w:val="20"/>
        </w:rPr>
        <w:t>Special Approval</w:t>
      </w:r>
      <w:r>
        <w:rPr>
          <w:rFonts w:ascii="Times New Roman" w:hAnsi="Times New Roman"/>
          <w:sz w:val="20"/>
        </w:rPr>
        <w:t>”, (ii)</w:t>
      </w:r>
      <w:r>
        <w:rPr>
          <w:rFonts w:ascii="Times New Roman" w:hAnsi="Times New Roman"/>
          <w:sz w:val="20"/>
          <w:u w:val="single"/>
        </w:rPr>
        <w:t> Section 4.6</w:t>
      </w:r>
      <w:r>
        <w:rPr>
          <w:rFonts w:ascii="Times New Roman" w:hAnsi="Times New Roman"/>
          <w:sz w:val="20"/>
        </w:rPr>
        <w:t>, (iii)</w:t>
      </w:r>
      <w:r>
        <w:rPr>
          <w:rFonts w:ascii="Times New Roman" w:hAnsi="Times New Roman"/>
          <w:sz w:val="20"/>
          <w:u w:val="single"/>
        </w:rPr>
        <w:t> Section 7.3</w:t>
      </w:r>
      <w:r>
        <w:rPr>
          <w:rFonts w:ascii="Times New Roman" w:hAnsi="Times New Roman"/>
          <w:sz w:val="20"/>
        </w:rPr>
        <w:t xml:space="preserve"> (iv)</w:t>
      </w:r>
      <w:r>
        <w:rPr>
          <w:rFonts w:ascii="Times New Roman" w:hAnsi="Times New Roman"/>
          <w:sz w:val="20"/>
          <w:u w:val="single"/>
        </w:rPr>
        <w:t> Section 7.9(a)</w:t>
      </w:r>
      <w:r>
        <w:rPr>
          <w:rFonts w:ascii="Times New Roman" w:hAnsi="Times New Roman"/>
          <w:sz w:val="20"/>
        </w:rPr>
        <w:t>, (v)</w:t>
      </w:r>
      <w:r>
        <w:rPr>
          <w:rFonts w:ascii="Times New Roman" w:hAnsi="Times New Roman"/>
          <w:sz w:val="20"/>
          <w:u w:val="single"/>
        </w:rPr>
        <w:t> Section 12.9</w:t>
      </w:r>
      <w:r>
        <w:rPr>
          <w:rFonts w:ascii="Times New Roman" w:hAnsi="Times New Roman"/>
          <w:sz w:val="20"/>
        </w:rPr>
        <w:t>, (vi)</w:t>
      </w:r>
      <w:r>
        <w:rPr>
          <w:rFonts w:ascii="Times New Roman" w:hAnsi="Times New Roman"/>
          <w:sz w:val="20"/>
          <w:u w:val="single"/>
        </w:rPr>
        <w:t> Section 14.2</w:t>
      </w:r>
      <w:r>
        <w:rPr>
          <w:rFonts w:ascii="Times New Roman" w:hAnsi="Times New Roman"/>
          <w:sz w:val="20"/>
        </w:rPr>
        <w:t xml:space="preserve">, or (vii) any other provision of this Agreement requiring that Special Approval be obtained as a condition to any action, shall be effective without first obtaining Special Approval. </w:t>
      </w:r>
    </w:p>
    <w:p>
      <w:pPr>
        <w:pStyle w:val="TextBody"/>
        <w:bidi w:val="0"/>
        <w:spacing w:before="240" w:after="0"/>
        <w:jc w:val="left"/>
        <w:rPr>
          <w:rFonts w:ascii="Times New Roman" w:hAnsi="Times New Roman"/>
          <w:sz w:val="20"/>
        </w:rPr>
      </w:pPr>
      <w:r>
        <w:rPr>
          <w:rFonts w:ascii="Times New Roman" w:hAnsi="Times New Roman"/>
          <w:sz w:val="20"/>
        </w:rPr>
        <w:t xml:space="preserve">Section 13.3 </w:t>
      </w:r>
      <w:r>
        <w:rPr>
          <w:rFonts w:ascii="Times New Roman" w:hAnsi="Times New Roman"/>
          <w:sz w:val="20"/>
          <w:u w:val="single"/>
        </w:rPr>
        <w:t>Amendment Requirements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the provisions of </w:t>
      </w:r>
      <w:r>
        <w:rPr>
          <w:rFonts w:ascii="Times New Roman" w:hAnsi="Times New Roman"/>
          <w:sz w:val="20"/>
          <w:u w:val="single"/>
        </w:rPr>
        <w:t>Sections 13.1</w:t>
      </w:r>
      <w:r>
        <w:rPr>
          <w:rFonts w:ascii="Times New Roman" w:hAnsi="Times New Roman"/>
          <w:sz w:val="20"/>
        </w:rPr>
        <w:t xml:space="preserve"> and </w:t>
      </w:r>
      <w:r>
        <w:rPr>
          <w:rFonts w:ascii="Times New Roman" w:hAnsi="Times New Roman"/>
          <w:sz w:val="20"/>
          <w:u w:val="single"/>
        </w:rPr>
        <w:t>13.2</w:t>
      </w:r>
      <w:r>
        <w:rPr>
          <w:rFonts w:ascii="Times New Roman" w:hAnsi="Times New Roman"/>
          <w:sz w:val="20"/>
        </w:rPr>
        <w:t xml:space="preserve">, no provision of this Agreement that establishes a percentage of Outstanding Units (including Units deemed owned by the General Partner) required to take any action shall be amended, altered, changed, repealed or rescinded in any respect that would have the effect of reducing such voting percentage unless such amendment is approved by the written consent or the affirmative vote of holders of Outstanding Units whose aggregate Outstanding Units constitute not less than the voting requirement sought to be reduced.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provisions of </w:t>
      </w:r>
      <w:r>
        <w:rPr>
          <w:rFonts w:ascii="Times New Roman" w:hAnsi="Times New Roman"/>
          <w:sz w:val="20"/>
          <w:u w:val="single"/>
        </w:rPr>
        <w:t>Sections 13.1</w:t>
      </w:r>
      <w:r>
        <w:rPr>
          <w:rFonts w:ascii="Times New Roman" w:hAnsi="Times New Roman"/>
          <w:sz w:val="20"/>
        </w:rPr>
        <w:t xml:space="preserve"> and </w:t>
      </w:r>
      <w:r>
        <w:rPr>
          <w:rFonts w:ascii="Times New Roman" w:hAnsi="Times New Roman"/>
          <w:sz w:val="20"/>
          <w:u w:val="single"/>
        </w:rPr>
        <w:t>13.2</w:t>
      </w:r>
      <w:r>
        <w:rPr>
          <w:rFonts w:ascii="Times New Roman" w:hAnsi="Times New Roman"/>
          <w:sz w:val="20"/>
        </w:rPr>
        <w:t xml:space="preserve">, no amendment to this Agreement may (i) enlarge the obligations of any Limited Partner without its consent, unless such shall be deemed to have occurred as a result of an amendment approved pursuant to </w:t>
      </w:r>
      <w:r>
        <w:rPr>
          <w:rFonts w:ascii="Times New Roman" w:hAnsi="Times New Roman"/>
          <w:sz w:val="20"/>
          <w:u w:val="single"/>
        </w:rPr>
        <w:t>Section 13.3(c)</w:t>
      </w:r>
      <w:r>
        <w:rPr>
          <w:rFonts w:ascii="Times New Roman" w:hAnsi="Times New Roman"/>
          <w:sz w:val="20"/>
        </w:rPr>
        <w:t xml:space="preserve"> or (ii) enlarge the obligations of, restrict in any way any action by or rights of, or reduce in any way the amounts distributable, reimbursable or otherwise payable to the General Partner or any of its Affiliates without its consent, which consent may be given or withheld at its option. </w:t>
      </w:r>
    </w:p>
    <w:p>
      <w:pPr>
        <w:pStyle w:val="TextBody"/>
        <w:bidi w:val="0"/>
        <w:spacing w:before="240" w:after="0"/>
        <w:jc w:val="left"/>
        <w:rPr>
          <w:rFonts w:ascii="Times New Roman" w:hAnsi="Times New Roman"/>
          <w:sz w:val="20"/>
        </w:rPr>
      </w:pPr>
      <w:r>
        <w:rPr>
          <w:rFonts w:ascii="Times New Roman" w:hAnsi="Times New Roman"/>
          <w:sz w:val="20"/>
        </w:rPr>
        <w:t xml:space="preserve">(c) Except as provided in </w:t>
      </w:r>
      <w:r>
        <w:rPr>
          <w:rFonts w:ascii="Times New Roman" w:hAnsi="Times New Roman"/>
          <w:sz w:val="20"/>
          <w:u w:val="single"/>
        </w:rPr>
        <w:t>Section 14.3</w:t>
      </w:r>
      <w:r>
        <w:rPr>
          <w:rFonts w:ascii="Times New Roman" w:hAnsi="Times New Roman"/>
          <w:sz w:val="20"/>
        </w:rPr>
        <w:t xml:space="preserve">, and without limitation of the General Partner’s authority to adopt amendments to this Agreement without the approval of any Partners as contemplated in </w:t>
      </w:r>
      <w:r>
        <w:rPr>
          <w:rFonts w:ascii="Times New Roman" w:hAnsi="Times New Roman"/>
          <w:sz w:val="20"/>
          <w:u w:val="single"/>
        </w:rPr>
        <w:t>Section 13.1</w:t>
      </w:r>
      <w:r>
        <w:rPr>
          <w:rFonts w:ascii="Times New Roman" w:hAnsi="Times New Roman"/>
          <w:sz w:val="20"/>
        </w:rPr>
        <w:t xml:space="preserve">, any amendment that would have a material adverse effect on the rights or preferences of any class of Partnership Interests in relation to other classes of Partnership Interests must be approved by the holders of not less than a majority of the Outstanding Partnership Interests of the class affected.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 other provision of this Agreement, except for amendments pursuant to </w:t>
      </w:r>
      <w:r>
        <w:rPr>
          <w:rFonts w:ascii="Times New Roman" w:hAnsi="Times New Roman"/>
          <w:sz w:val="20"/>
          <w:u w:val="single"/>
        </w:rPr>
        <w:t>Section 13.1</w:t>
      </w:r>
      <w:r>
        <w:rPr>
          <w:rFonts w:ascii="Times New Roman" w:hAnsi="Times New Roman"/>
          <w:sz w:val="20"/>
        </w:rPr>
        <w:t xml:space="preserve"> and except as otherwise provided by </w:t>
      </w:r>
      <w:r>
        <w:rPr>
          <w:rFonts w:ascii="Times New Roman" w:hAnsi="Times New Roman"/>
          <w:sz w:val="20"/>
          <w:u w:val="single"/>
        </w:rPr>
        <w:t>Section 14.3(b)</w:t>
      </w:r>
      <w:r>
        <w:rPr>
          <w:rFonts w:ascii="Times New Roman" w:hAnsi="Times New Roman"/>
          <w:sz w:val="20"/>
        </w:rPr>
        <w:t xml:space="preserve">, no amendments shall become effective without the approval of the holders of at least 90% of the Outstanding Units voting as a single class unless the Partnership obtains an Opinion of Counsel to the effect that such amendment will not affect the limited liability of any Limited Partner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Except as provided in </w:t>
      </w:r>
      <w:r>
        <w:rPr>
          <w:rFonts w:ascii="Times New Roman" w:hAnsi="Times New Roman"/>
          <w:sz w:val="20"/>
          <w:u w:val="single"/>
        </w:rPr>
        <w:t>Section 13.1</w:t>
      </w:r>
      <w:r>
        <w:rPr>
          <w:rFonts w:ascii="Times New Roman" w:hAnsi="Times New Roman"/>
          <w:sz w:val="20"/>
        </w:rPr>
        <w:t xml:space="preserve">, this </w:t>
      </w:r>
      <w:r>
        <w:rPr>
          <w:rFonts w:ascii="Times New Roman" w:hAnsi="Times New Roman"/>
          <w:sz w:val="20"/>
          <w:u w:val="single"/>
        </w:rPr>
        <w:t>Section 13.3</w:t>
      </w:r>
      <w:r>
        <w:rPr>
          <w:rFonts w:ascii="Times New Roman" w:hAnsi="Times New Roman"/>
          <w:sz w:val="20"/>
        </w:rPr>
        <w:t xml:space="preserve"> shall only be amended with the approval of the holders of at least 90% of the Outstanding Units.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herein, without the approval of the holders of 66 2/3% of the Class A Units, the Partnership may not take any action that disproportionately or materially adversely affects the rights, preferences or privileges of the Class A Units or amend the terms of the Class A Units. </w:t>
      </w:r>
    </w:p>
    <w:p>
      <w:pPr>
        <w:pStyle w:val="TextBody"/>
        <w:bidi w:val="0"/>
        <w:spacing w:before="240" w:after="0"/>
        <w:jc w:val="left"/>
        <w:rPr>
          <w:rFonts w:ascii="Times New Roman" w:hAnsi="Times New Roman"/>
          <w:sz w:val="20"/>
        </w:rPr>
      </w:pPr>
      <w:r>
        <w:rPr>
          <w:rFonts w:ascii="Times New Roman" w:hAnsi="Times New Roman"/>
          <w:sz w:val="20"/>
        </w:rPr>
        <w:t xml:space="preserve">Section 13.4 </w:t>
      </w:r>
      <w:r>
        <w:rPr>
          <w:rFonts w:ascii="Times New Roman" w:hAnsi="Times New Roman"/>
          <w:sz w:val="20"/>
          <w:u w:val="single"/>
        </w:rPr>
        <w:t>Special Meetings</w:t>
      </w:r>
      <w:r>
        <w:rPr>
          <w:rFonts w:ascii="Times New Roman" w:hAnsi="Times New Roman"/>
          <w:sz w:val="20"/>
        </w:rPr>
        <w:t xml:space="preserve">. All acts of Limited Partners to be taken pursuant to this Agreement shall be taken in the manner provided in this </w:t>
      </w:r>
      <w:r>
        <w:rPr>
          <w:rFonts w:ascii="Times New Roman" w:hAnsi="Times New Roman"/>
          <w:sz w:val="20"/>
          <w:u w:val="single"/>
        </w:rPr>
        <w:t>Article XIII</w:t>
      </w:r>
      <w:r>
        <w:rPr>
          <w:rFonts w:ascii="Times New Roman" w:hAnsi="Times New Roman"/>
          <w:sz w:val="20"/>
        </w:rPr>
        <w:t xml:space="preserve">. Special meetings of the Limited Partners may be called by the General Partner or by Limited Partners owning 20% or more of the Outstanding Partnership Securities of the class or classes for which a meeting is proposed. Limited Partners shall call a special meeting by delivering to the General Partner one or more requests in writing stating that the signing Limited Partners wish to call a special meeting and indicating the general or specific purposes for which the special meeting is to be called. Within 60 days after receipt of such a call from Limited Partners or within such greater time as may be reasonably necessary for the Partnership to comply with any statutes, rules, regulations, listing agreements or similar requirements governing the holding of a meeting or the solicitation of proxies for use at such a meeting, the General Partner shall send a notice of the meeting to the Limited Partners either directly or indirectly through the Transfer Agent. A meeting shall be held at a time and place determined by the General Partner on a date not less than 10 days nor more than 60 days after the mailing of notice of the meeting. Limited Partners shall not vote on matters that would cause the Limited Partners to be deemed to be taking part in the management and control of the business and affairs of the Partnership so as to jeopardize the Limited Partners’ limited liability under the Texas Limited Partnership Law or the law of any other state in which the Partnership is qualified to do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13.5 </w:t>
      </w:r>
      <w:r>
        <w:rPr>
          <w:rFonts w:ascii="Times New Roman" w:hAnsi="Times New Roman"/>
          <w:sz w:val="20"/>
          <w:u w:val="single"/>
        </w:rPr>
        <w:t>Notice of a Meeting</w:t>
      </w:r>
      <w:r>
        <w:rPr>
          <w:rFonts w:ascii="Times New Roman" w:hAnsi="Times New Roman"/>
          <w:sz w:val="20"/>
        </w:rPr>
        <w:t xml:space="preserve">. Notice of a meeting called pursuant to </w:t>
      </w:r>
      <w:r>
        <w:rPr>
          <w:rFonts w:ascii="Times New Roman" w:hAnsi="Times New Roman"/>
          <w:sz w:val="20"/>
          <w:u w:val="single"/>
        </w:rPr>
        <w:t>Section 13.4</w:t>
      </w:r>
      <w:r>
        <w:rPr>
          <w:rFonts w:ascii="Times New Roman" w:hAnsi="Times New Roman"/>
          <w:sz w:val="20"/>
        </w:rPr>
        <w:t xml:space="preserve"> shall be given to the Record Holders of the class or classes of Limited Partner Interests for which a meeting is proposed in writing by mail or other means of written communication in accordance with </w:t>
      </w:r>
      <w:r>
        <w:rPr>
          <w:rFonts w:ascii="Times New Roman" w:hAnsi="Times New Roman"/>
          <w:sz w:val="20"/>
          <w:u w:val="single"/>
        </w:rPr>
        <w:t>Section 16.1</w:t>
      </w:r>
      <w:r>
        <w:rPr>
          <w:rFonts w:ascii="Times New Roman" w:hAnsi="Times New Roman"/>
          <w:sz w:val="20"/>
        </w:rPr>
        <w:t xml:space="preserve">. The notice shall be deemed to have been given at the time when deposited in the mail or sent by other means of written communication.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13.6 </w:t>
      </w:r>
      <w:r>
        <w:rPr>
          <w:rFonts w:ascii="Times New Roman" w:hAnsi="Times New Roman"/>
          <w:sz w:val="20"/>
          <w:u w:val="single"/>
        </w:rPr>
        <w:t>Record Date</w:t>
      </w:r>
      <w:r>
        <w:rPr>
          <w:rFonts w:ascii="Times New Roman" w:hAnsi="Times New Roman"/>
          <w:sz w:val="20"/>
        </w:rPr>
        <w:t xml:space="preserve">. For purposes of determining the Limited Partners entitled to notice of or to vote at a meeting of the Limited Partners or to give approvals without a meeting as provided in </w:t>
      </w:r>
      <w:r>
        <w:rPr>
          <w:rFonts w:ascii="Times New Roman" w:hAnsi="Times New Roman"/>
          <w:sz w:val="20"/>
          <w:u w:val="single"/>
        </w:rPr>
        <w:t>Section 13.11</w:t>
      </w:r>
      <w:r>
        <w:rPr>
          <w:rFonts w:ascii="Times New Roman" w:hAnsi="Times New Roman"/>
          <w:sz w:val="20"/>
        </w:rPr>
        <w:t xml:space="preserve"> the General Partner may set a Record Date, which shall not be less than 10 nor more than 60 days before (a) the date of the meeting (unless such requirement conflicts with any rule, regulation, guideline or requirement of any National Securities Exchange on which the Limited Partner Interests are listed or admitted for trading, in which case the rule, regulation, guideline or requirement of such National Securities Exchange shall govern) or (b) in the event that approvals are sought without a meeting, the date by which Limited Partners are requested in writing by the General Partner to give such approvals.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13.7 </w:t>
      </w:r>
      <w:r>
        <w:rPr>
          <w:rFonts w:ascii="Times New Roman" w:hAnsi="Times New Roman"/>
          <w:sz w:val="20"/>
          <w:u w:val="single"/>
        </w:rPr>
        <w:t>Adjournment</w:t>
      </w:r>
      <w:r>
        <w:rPr>
          <w:rFonts w:ascii="Times New Roman" w:hAnsi="Times New Roman"/>
          <w:sz w:val="20"/>
        </w:rPr>
        <w:t xml:space="preserve">. 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 45 days. At the adjourned meeting, the Partnership may transact any business which might have been transacted at the original meeting. If the adjournment is for more than 45 days or if a new Record Date is fixed for the adjourned meeting, a notice of the adjourned meeting shall be given in accordance with this </w:t>
      </w:r>
      <w:r>
        <w:rPr>
          <w:rFonts w:ascii="Times New Roman" w:hAnsi="Times New Roman"/>
          <w:sz w:val="20"/>
          <w:u w:val="single"/>
        </w:rPr>
        <w:t>Article XIII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13.8 </w:t>
      </w:r>
      <w:r>
        <w:rPr>
          <w:rFonts w:ascii="Times New Roman" w:hAnsi="Times New Roman"/>
          <w:sz w:val="20"/>
          <w:u w:val="single"/>
        </w:rPr>
        <w:t>Waiver of Notice; Approval of Meeting; Approval of Minutes</w:t>
      </w:r>
      <w:r>
        <w:rPr>
          <w:rFonts w:ascii="Times New Roman" w:hAnsi="Times New Roman"/>
          <w:sz w:val="20"/>
        </w:rPr>
        <w:t xml:space="preserve">. The transactions of any meeting of Limited Partners, however called and noticed, and whenever held, shall be as valid as if it had occurred at a meeting duly held after regular call and notice, if a quorum is present, either in person or by proxy. Attendance of a Limited Partner at a meeting shall constitute a waiver of notice of the meeting, except when the Limited Partner attends the meeting for the express purpose of objecting, at the beginning of the meeting, to the transaction of any business because the meeting is not lawfully called or convened; and except that attendance at a meeting is not a waiver of any right to disapprove the consideration of matters required to be included in the notice of the meeting, but not so included, if the disapproval is expressly made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13.9 </w:t>
      </w:r>
      <w:r>
        <w:rPr>
          <w:rFonts w:ascii="Times New Roman" w:hAnsi="Times New Roman"/>
          <w:sz w:val="20"/>
          <w:u w:val="single"/>
        </w:rPr>
        <w:t>Quorum</w:t>
      </w:r>
      <w:r>
        <w:rPr>
          <w:rFonts w:ascii="Times New Roman" w:hAnsi="Times New Roman"/>
          <w:sz w:val="20"/>
        </w:rPr>
        <w:t xml:space="preserve">. The holders of a majority of the Outstanding Partnership Securities of the class or classes for which a meeting has been called (including Limited Partner Interests deemed owned by the General Partner) represented in person or by proxy shall constitute a quorum at a meeting of Limited Partners of such class or classes unless any such action by the Limited Partners requires approval by holders of a greater percentage of such Limited Partner Interests, in which case the quorum shall be such greater percentage. At any meeting of the Limited Partners duly called and held in accordance with this Agreement at which a quorum is present, the act of Limited Partners holding Outstanding Partnership Securities that in the aggregate represent a majority of the Outstanding Partnership Securities entitled to vote and be present in person or by proxy at such meeting shall be deemed to constitute the act of all Limited Partners, unless a greater or different percentage is required with respect to such action under the provisions of this Agreement, in which case the act of the Limited Partners holding Outstanding Partnership Securities that in the aggregate represent at least such greater or different percentage shall be required. The Limited Partners present at a duly called or held meeting at which a quorum is present may continue to transact business until adjournment, notwithstanding the withdrawal of enough Limited Partners to leave less than a quorum, if any action taken (other than adjournment) is approved by the required percentage of Outstanding Partnership Securities specified in this Agreement (including Outstanding Partnership Securities deemed owned by the General Partner). In the absence of a quorum any meeting of Limited Partners may be adjourned from time to time by the affirmative vote of holders of at least a majority of the Outstanding Partnership Securities entitled to vote at such meeting (including Outstanding Partnership Securities deemed owned by the General Partner) represented either in person or by proxy, but no other business may be transacted, except as provided in </w:t>
      </w:r>
      <w:r>
        <w:rPr>
          <w:rFonts w:ascii="Times New Roman" w:hAnsi="Times New Roman"/>
          <w:sz w:val="20"/>
          <w:u w:val="single"/>
        </w:rPr>
        <w:t>Section 13.7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13.10 </w:t>
      </w:r>
      <w:r>
        <w:rPr>
          <w:rFonts w:ascii="Times New Roman" w:hAnsi="Times New Roman"/>
          <w:sz w:val="20"/>
          <w:u w:val="single"/>
        </w:rPr>
        <w:t>Conduct of a Meeting</w:t>
      </w:r>
      <w:r>
        <w:rPr>
          <w:rFonts w:ascii="Times New Roman" w:hAnsi="Times New Roman"/>
          <w:sz w:val="20"/>
        </w:rPr>
        <w:t xml:space="preserve">. The General Partner shall have full power and authority concerning the manner of conducting any meeting of the Limited Partners or solicitation of approvals in writing, including the determination of Persons entitled to vote, the existence of a quorum, the satisfaction of the requirements of </w:t>
      </w:r>
      <w:r>
        <w:rPr>
          <w:rFonts w:ascii="Times New Roman" w:hAnsi="Times New Roman"/>
          <w:sz w:val="20"/>
          <w:u w:val="single"/>
        </w:rPr>
        <w:t>Section 13.4</w:t>
      </w:r>
      <w:r>
        <w:rPr>
          <w:rFonts w:ascii="Times New Roman" w:hAnsi="Times New Roman"/>
          <w:sz w:val="20"/>
        </w:rPr>
        <w:t xml:space="preserve">, the conduct of voting, the validity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effect of any proxies and the determination of any controversies, votes or challenges arising in connection with or during the meeting or voting. The General Partner shall designate a Person to serve as chairman of any meeting and shall further designate a Person to take the minutes of any meeting. All minutes shall be kept with the records of the Partnership maintained by the General Partner. The General Partner may make such other regulations consistent with applicable law and this Agreement as it may deem advisable concerning the conduct of any meeting of the Limited Partners or solicitation of approvals in writing, including regulations in regard to the appointment of proxies, the appointment and duties of inspectors of votes and approvals, the submission and examination of proxies and other evidence of the right to vote, and the revocation of approvals in writing. </w:t>
      </w:r>
    </w:p>
    <w:p>
      <w:pPr>
        <w:pStyle w:val="TextBody"/>
        <w:bidi w:val="0"/>
        <w:spacing w:before="240" w:after="0"/>
        <w:jc w:val="left"/>
        <w:rPr>
          <w:rFonts w:ascii="Times New Roman" w:hAnsi="Times New Roman"/>
          <w:sz w:val="20"/>
        </w:rPr>
      </w:pPr>
      <w:r>
        <w:rPr>
          <w:rFonts w:ascii="Times New Roman" w:hAnsi="Times New Roman"/>
          <w:sz w:val="20"/>
        </w:rPr>
        <w:t xml:space="preserve">Section 13.11 </w:t>
      </w:r>
      <w:r>
        <w:rPr>
          <w:rFonts w:ascii="Times New Roman" w:hAnsi="Times New Roman"/>
          <w:sz w:val="20"/>
          <w:u w:val="single"/>
        </w:rPr>
        <w:t>Action Without a Meeting</w:t>
      </w:r>
      <w:r>
        <w:rPr>
          <w:rFonts w:ascii="Times New Roman" w:hAnsi="Times New Roman"/>
          <w:sz w:val="20"/>
        </w:rPr>
        <w:t xml:space="preserve">. If authorized by the General Partner, any action that may be taken at a meeting of the Limited Partners may be taken without a meeting if an approval in writing setting forth the action so taken is signed by Limited Partners owning not less than the minimum percentage of the Outstanding Limited Partner Interests (including Limited Partner Interests deemed owned by the General Partner) that would be necessary to authorize or take such action at a meeting at which all the Limited Partners were present and voted (unless such provision conflicts with any rule, regulation, guideline or requirement of any National Securities Exchange on which the Limited Partner Interests are listed or admitted for trading, in which case the rule, regulation, guideline or requirement of such National Securities Exchange shall govern). Prompt notice of the taking of action without a meeting shall be given to the Limited Partners who have not approved in writing. The General Partner may specify that any written ballot submitted to Limited Partners for the purpose of taking any action without a meeting shall be returned to the Partnership within the time period, which shall be not less than 20 days, specified by the General Partner. If a ballot returned to the Partnership does not vote all of the Limited Partner Interests held by the Limited Partners, the Partnership shall be deemed to have failed to receive a ballot for the Limited Partner Interests that were not voted. If approval of the taking of any action by the Limited Partners is solicited by any Person other than by or on behalf of the General Partner, the written approvals shall have no force and effect unless and until (a) they are deposited with the Partnership in care of the General Partner, (b) approvals sufficient to take the action proposed are dated as of a date not more than 90 days prior to the date sufficient approvals are deposited with the Partnership and (c) an Opinion of Counsel is delivered to the General Partner to the effect that the exercise of such right and the action proposed to be taken with respect to any particular matter (i) will not cause the Limited Partners to be deemed to be taking part in the management and control of the business and affairs of the Partnership so as to jeopardize the Limited Partners’ limited liability, and (ii) is otherwise permissible under the state statutes then governing the rights, duties and liabilities of the Partnership and the Partners. </w:t>
      </w:r>
    </w:p>
    <w:p>
      <w:pPr>
        <w:pStyle w:val="TextBody"/>
        <w:bidi w:val="0"/>
        <w:spacing w:before="240" w:after="0"/>
        <w:jc w:val="left"/>
        <w:rPr>
          <w:rFonts w:ascii="Times New Roman" w:hAnsi="Times New Roman"/>
          <w:sz w:val="20"/>
        </w:rPr>
      </w:pPr>
      <w:r>
        <w:rPr>
          <w:rFonts w:ascii="Times New Roman" w:hAnsi="Times New Roman"/>
          <w:sz w:val="20"/>
        </w:rPr>
        <w:t xml:space="preserve">Section 13.12 </w:t>
      </w:r>
      <w:r>
        <w:rPr>
          <w:rFonts w:ascii="Times New Roman" w:hAnsi="Times New Roman"/>
          <w:sz w:val="20"/>
          <w:u w:val="single"/>
        </w:rPr>
        <w:t>Voting and Other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Only those Record Holders of the Limited Partner Interests on the Record Date set pursuant to </w:t>
      </w:r>
      <w:r>
        <w:rPr>
          <w:rFonts w:ascii="Times New Roman" w:hAnsi="Times New Roman"/>
          <w:sz w:val="20"/>
          <w:u w:val="single"/>
        </w:rPr>
        <w:t>Section 13.6</w:t>
      </w:r>
      <w:r>
        <w:rPr>
          <w:rFonts w:ascii="Times New Roman" w:hAnsi="Times New Roman"/>
          <w:sz w:val="20"/>
        </w:rPr>
        <w:t xml:space="preserve"> (and also subject to the limitations contained in the definition of “</w:t>
      </w:r>
      <w:r>
        <w:rPr>
          <w:rFonts w:ascii="Times New Roman" w:hAnsi="Times New Roman"/>
          <w:i/>
          <w:sz w:val="20"/>
        </w:rPr>
        <w:t>Outstanding</w:t>
      </w:r>
      <w:r>
        <w:rPr>
          <w:rFonts w:ascii="Times New Roman" w:hAnsi="Times New Roman"/>
          <w:sz w:val="20"/>
        </w:rPr>
        <w:t xml:space="preserve">”) shall be entitled to notice of, and to vote at, a meeting of Limited Partners or to act with respect to matters as to which the holders of the Outstanding Limited Partner Interests have the right to vote or to act. All references in this Agreement to votes of, or other acts that may be taken by, the Outstanding Limited Partner Interests shall be deemed to be references to the votes or acts of the Record Holders of such Outstanding Limited Partner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 respect to Limited Partner Interests that are held for a Person’s account by another Person (such as a broker, dealer, bank, trust company or clearing corporation, or an agent of any of the foregoing), in whose name such Limited Partner Interests are registered, such other Person shall, in exercising the voting rights in respect of such Limited Partner Interests on any matter, and unless the arrangement between such Persons provides otherwise, vote such Limited Partner Interests in favor of, and at the direction of, the Person who is the beneficial owner, and the Partnership shall be entitled to assume it is so acting without further inquiry. The provisions of this </w:t>
      </w:r>
      <w:r>
        <w:rPr>
          <w:rFonts w:ascii="Times New Roman" w:hAnsi="Times New Roman"/>
          <w:sz w:val="20"/>
          <w:u w:val="single"/>
        </w:rPr>
        <w:t>Section 13.12(b)</w:t>
      </w:r>
      <w:r>
        <w:rPr>
          <w:rFonts w:ascii="Times New Roman" w:hAnsi="Times New Roman"/>
          <w:sz w:val="20"/>
        </w:rPr>
        <w:t xml:space="preserve"> (as well as all other provisions of this Agreement) are subject to the provisions of </w:t>
      </w:r>
      <w:r>
        <w:rPr>
          <w:rFonts w:ascii="Times New Roman" w:hAnsi="Times New Roman"/>
          <w:sz w:val="20"/>
          <w:u w:val="single"/>
        </w:rPr>
        <w:t>Section 4.3</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XIV </w:t>
      </w:r>
    </w:p>
    <w:p>
      <w:pPr>
        <w:pStyle w:val="TextBody"/>
        <w:bidi w:val="0"/>
        <w:spacing w:before="0" w:after="0"/>
        <w:jc w:val="center"/>
        <w:rPr>
          <w:rFonts w:ascii="Times New Roman" w:hAnsi="Times New Roman"/>
          <w:b/>
          <w:sz w:val="20"/>
        </w:rPr>
      </w:pPr>
      <w:r>
        <w:rPr>
          <w:rFonts w:ascii="Times New Roman" w:hAnsi="Times New Roman"/>
          <w:b/>
          <w:sz w:val="20"/>
        </w:rPr>
        <w:t xml:space="preserve">MERGER, CONSOLIDATION OR CONVERSION </w:t>
      </w:r>
    </w:p>
    <w:p>
      <w:pPr>
        <w:pStyle w:val="TextBody"/>
        <w:bidi w:val="0"/>
        <w:spacing w:before="240" w:after="0"/>
        <w:jc w:val="left"/>
        <w:rPr>
          <w:rFonts w:ascii="Times New Roman" w:hAnsi="Times New Roman"/>
          <w:sz w:val="20"/>
        </w:rPr>
      </w:pPr>
      <w:r>
        <w:rPr>
          <w:rFonts w:ascii="Times New Roman" w:hAnsi="Times New Roman"/>
          <w:sz w:val="20"/>
        </w:rPr>
        <w:t xml:space="preserve">Section 14.1 </w:t>
      </w:r>
      <w:r>
        <w:rPr>
          <w:rFonts w:ascii="Times New Roman" w:hAnsi="Times New Roman"/>
          <w:sz w:val="20"/>
          <w:u w:val="single"/>
        </w:rPr>
        <w:t>Authority</w:t>
      </w:r>
      <w:r>
        <w:rPr>
          <w:rFonts w:ascii="Times New Roman" w:hAnsi="Times New Roman"/>
          <w:sz w:val="20"/>
        </w:rPr>
        <w:t>. The Partnership may merge or consolidate with one or more corporations, limited liability companies, statutory trusts or associations, real estate investment trusts, common law trusts or unincorporated businesses, including a partnership (whether general or limited (including a limited liability partnership)) or convert into any such entity, whether such entity is formed under the laws of the State of Texas or any other state of the United States of America, pursuant to a written agreement of merger or consolidation (“</w:t>
      </w:r>
      <w:r>
        <w:rPr>
          <w:rFonts w:ascii="Times New Roman" w:hAnsi="Times New Roman"/>
          <w:i/>
          <w:sz w:val="20"/>
        </w:rPr>
        <w:t>Merger Agreement</w:t>
      </w:r>
      <w:r>
        <w:rPr>
          <w:rFonts w:ascii="Times New Roman" w:hAnsi="Times New Roman"/>
          <w:sz w:val="20"/>
        </w:rPr>
        <w:t>”) or a written plan of conversion (“</w:t>
      </w:r>
      <w:r>
        <w:rPr>
          <w:rFonts w:ascii="Times New Roman" w:hAnsi="Times New Roman"/>
          <w:i/>
          <w:sz w:val="20"/>
        </w:rPr>
        <w:t>Plan of Conversion</w:t>
      </w:r>
      <w:r>
        <w:rPr>
          <w:rFonts w:ascii="Times New Roman" w:hAnsi="Times New Roman"/>
          <w:sz w:val="20"/>
        </w:rPr>
        <w:t xml:space="preserve">”), as the case may be, in accordance with this </w:t>
      </w:r>
      <w:r>
        <w:rPr>
          <w:rFonts w:ascii="Times New Roman" w:hAnsi="Times New Roman"/>
          <w:sz w:val="20"/>
          <w:u w:val="single"/>
        </w:rPr>
        <w:t>Article XIV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14.2 </w:t>
      </w:r>
      <w:r>
        <w:rPr>
          <w:rFonts w:ascii="Times New Roman" w:hAnsi="Times New Roman"/>
          <w:sz w:val="20"/>
          <w:u w:val="single"/>
        </w:rPr>
        <w:t>Procedure for Merger, Consolidation or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Merger, consolidation or conversion of the Partnership pursuant to this </w:t>
      </w:r>
      <w:r>
        <w:rPr>
          <w:rFonts w:ascii="Times New Roman" w:hAnsi="Times New Roman"/>
          <w:sz w:val="20"/>
          <w:u w:val="single"/>
        </w:rPr>
        <w:t>Article XIV</w:t>
      </w:r>
      <w:r>
        <w:rPr>
          <w:rFonts w:ascii="Times New Roman" w:hAnsi="Times New Roman"/>
          <w:sz w:val="20"/>
        </w:rPr>
        <w:t xml:space="preserve"> requires the prior consent of the General Partner,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to the maximum extent permitted by law, the General Partner shall have no duty or obligation to consent to any merger, consolidation or conversion of the Partnership and may decline to do so free of any fiduciary duty or obligation whatsoever to the Partnership, any Limited Partner and, in declining to consent to a merger, consolidation or conversion, shall not be required to act in good faith or pursuant to any other standard imposed by this Agreement, any other agreement contemplated hereby or under the Texas Limited Partnership Law or any other law, rule or regulation or at equity. </w:t>
      </w:r>
    </w:p>
    <w:p>
      <w:pPr>
        <w:pStyle w:val="TextBody"/>
        <w:bidi w:val="0"/>
        <w:spacing w:before="240" w:after="0"/>
        <w:jc w:val="left"/>
        <w:rPr>
          <w:rFonts w:ascii="Times New Roman" w:hAnsi="Times New Roman"/>
          <w:sz w:val="20"/>
        </w:rPr>
      </w:pPr>
      <w:r>
        <w:rPr>
          <w:rFonts w:ascii="Times New Roman" w:hAnsi="Times New Roman"/>
          <w:sz w:val="20"/>
        </w:rPr>
        <w:t xml:space="preserve">(b) If the General Partner shall determine to consent to the merger or consolidation, the General Partner shall approve the Merger Agreement, which shall set forth: </w:t>
      </w:r>
    </w:p>
    <w:p>
      <w:pPr>
        <w:pStyle w:val="TextBody"/>
        <w:bidi w:val="0"/>
        <w:spacing w:before="120" w:after="0"/>
        <w:jc w:val="left"/>
        <w:rPr>
          <w:rFonts w:ascii="Times New Roman" w:hAnsi="Times New Roman"/>
          <w:sz w:val="20"/>
        </w:rPr>
      </w:pPr>
      <w:r>
        <w:rPr>
          <w:rFonts w:ascii="Times New Roman" w:hAnsi="Times New Roman"/>
          <w:sz w:val="20"/>
        </w:rPr>
        <w:t xml:space="preserve">(i) the names and jurisdictions of formation or organization of each of the business entities proposing to merge or consolidate; </w:t>
      </w:r>
    </w:p>
    <w:p>
      <w:pPr>
        <w:pStyle w:val="TextBody"/>
        <w:bidi w:val="0"/>
        <w:spacing w:before="120" w:after="0"/>
        <w:jc w:val="left"/>
        <w:rPr>
          <w:rFonts w:ascii="Times New Roman" w:hAnsi="Times New Roman"/>
          <w:sz w:val="20"/>
        </w:rPr>
      </w:pPr>
      <w:r>
        <w:rPr>
          <w:rFonts w:ascii="Times New Roman" w:hAnsi="Times New Roman"/>
          <w:sz w:val="20"/>
        </w:rPr>
        <w:t>(ii) the name and jurisdiction of formation or organization of the business entity that is to survive the proposed merger or consolidation (the “</w:t>
      </w:r>
      <w:r>
        <w:rPr>
          <w:rFonts w:ascii="Times New Roman" w:hAnsi="Times New Roman"/>
          <w:i/>
          <w:sz w:val="20"/>
        </w:rPr>
        <w:t>Surviving Business Entity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the terms and conditions of the proposed merger or consolidation;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 manner and basis of exchanging or converting the equity securities of each constituent business entity for, or into, cash, property or interests, rights, securities or obligations of the Surviving Business Entity; and (i) if any general or limited partner interests, securities or rights of any constituent business entity are not to be exchanged or converted solely for, or into, cash, property or general or limited partner interests, rights, securities or obligations of the Surviving Business Entity, the cash, property or interests, rights, securities or obligations of any general or limited partnership, corporation, trust, limited liability company, unincorporated business or other entity (other than the Surviving Business Entity) which the holders of such general or limited partner interests, securities or rights are to receive in exchange for, or upon conversion of their interests, securities or rights, and (ii) in the case of securities represented by certificates, upon the surrender of such certificates, which cash, property or general or limited partner interests, rights, securities or obligations of the Surviving Business Entity or any general or limited partnership, corporation, trust, limited liability company, unincorporated business or other entity (other than the Surviving Business Entity), or evidences thereof, are to be delivered; </w:t>
      </w:r>
    </w:p>
    <w:p>
      <w:pPr>
        <w:pStyle w:val="TextBody"/>
        <w:bidi w:val="0"/>
        <w:spacing w:before="120" w:after="0"/>
        <w:jc w:val="left"/>
        <w:rPr>
          <w:rFonts w:ascii="Times New Roman" w:hAnsi="Times New Roman"/>
          <w:sz w:val="20"/>
        </w:rPr>
      </w:pPr>
      <w:r>
        <w:rPr>
          <w:rFonts w:ascii="Times New Roman" w:hAnsi="Times New Roman"/>
          <w:sz w:val="20"/>
        </w:rPr>
        <w:t xml:space="preserve">(v) a statement of any changes in the constituent documents or the adoption of new constituent documents (the articles or certificate of incorporation, articles of trust, declaration of trust, certificate or agreement of limited partnership, operating agreement or other similar charter or governing document) of the Surviving Business Entity to be effected by such merger or consolidation; </w:t>
      </w:r>
    </w:p>
    <w:p>
      <w:pPr>
        <w:pStyle w:val="TextBody"/>
        <w:bidi w:val="0"/>
        <w:spacing w:before="120" w:after="0"/>
        <w:jc w:val="left"/>
        <w:rPr>
          <w:rFonts w:ascii="Times New Roman" w:hAnsi="Times New Roman"/>
          <w:sz w:val="20"/>
        </w:rPr>
      </w:pPr>
      <w:r>
        <w:rPr>
          <w:rFonts w:ascii="Times New Roman" w:hAnsi="Times New Roman"/>
          <w:sz w:val="20"/>
        </w:rPr>
        <w:t xml:space="preserve">(vi) the effective time of the merger, which may be the date of the filing of the certificate of merger pursuant to </w:t>
      </w:r>
      <w:r>
        <w:rPr>
          <w:rFonts w:ascii="Times New Roman" w:hAnsi="Times New Roman"/>
          <w:sz w:val="20"/>
          <w:u w:val="single"/>
        </w:rPr>
        <w:t>Section 14.4</w:t>
      </w:r>
      <w:r>
        <w:rPr>
          <w:rFonts w:ascii="Times New Roman" w:hAnsi="Times New Roman"/>
          <w:sz w:val="20"/>
        </w:rPr>
        <w:t xml:space="preserve"> or a later date specified in or determinable in accordance with the Merger Agreement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if the effective time of the merger is to be later than the date of the filing of such certificate of merger, the effective time shall be fixed at a date or time certain at or prior to the time of the filing of such certificate of merger and stated therein); and (vii) such other provisions with respect to the proposed merger or consolidation that the General Partner determines to be necessary or appropriate. </w:t>
      </w:r>
    </w:p>
    <w:p>
      <w:pPr>
        <w:pStyle w:val="TextBody"/>
        <w:bidi w:val="0"/>
        <w:spacing w:before="240" w:after="0"/>
        <w:jc w:val="left"/>
        <w:rPr>
          <w:rFonts w:ascii="Times New Roman" w:hAnsi="Times New Roman"/>
          <w:sz w:val="20"/>
        </w:rPr>
      </w:pPr>
      <w:r>
        <w:rPr>
          <w:rFonts w:ascii="Times New Roman" w:hAnsi="Times New Roman"/>
          <w:sz w:val="20"/>
        </w:rPr>
        <w:t xml:space="preserve">(c) If the General Partner shall determine to consent to the conversion, the General Partner may approve and adopt a Plan of Conversion containing such terms and conditions that the General Partner determines to be necessary or appropriate. </w:t>
      </w:r>
    </w:p>
    <w:p>
      <w:pPr>
        <w:pStyle w:val="TextBody"/>
        <w:bidi w:val="0"/>
        <w:spacing w:before="240" w:after="0"/>
        <w:jc w:val="left"/>
        <w:rPr>
          <w:rFonts w:ascii="Times New Roman" w:hAnsi="Times New Roman"/>
          <w:sz w:val="20"/>
        </w:rPr>
      </w:pPr>
      <w:r>
        <w:rPr>
          <w:rFonts w:ascii="Times New Roman" w:hAnsi="Times New Roman"/>
          <w:sz w:val="20"/>
        </w:rPr>
        <w:t xml:space="preserve">Section 14.3 </w:t>
      </w:r>
      <w:r>
        <w:rPr>
          <w:rFonts w:ascii="Times New Roman" w:hAnsi="Times New Roman"/>
          <w:sz w:val="20"/>
          <w:u w:val="single"/>
        </w:rPr>
        <w:t>Approval by Limited Partners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provided in </w:t>
      </w:r>
      <w:r>
        <w:rPr>
          <w:rFonts w:ascii="Times New Roman" w:hAnsi="Times New Roman"/>
          <w:sz w:val="20"/>
          <w:u w:val="single"/>
        </w:rPr>
        <w:t>Section 14.3(d)</w:t>
      </w:r>
      <w:r>
        <w:rPr>
          <w:rFonts w:ascii="Times New Roman" w:hAnsi="Times New Roman"/>
          <w:sz w:val="20"/>
        </w:rPr>
        <w:t xml:space="preserve">, the General Partner, upon its approval of the Merger Agreement or Plan of Conversion, as the case may be, shall direct that the Merger Agreement or the Plan of Conversion, as applicable, be submitted to a vote of Limited Partners, whether at a special meeting or by written consent, in either case in accordance with the requirements of </w:t>
      </w:r>
      <w:r>
        <w:rPr>
          <w:rFonts w:ascii="Times New Roman" w:hAnsi="Times New Roman"/>
          <w:sz w:val="20"/>
          <w:u w:val="single"/>
        </w:rPr>
        <w:t>Article XIII</w:t>
      </w:r>
      <w:r>
        <w:rPr>
          <w:rFonts w:ascii="Times New Roman" w:hAnsi="Times New Roman"/>
          <w:sz w:val="20"/>
        </w:rPr>
        <w:t xml:space="preserve">. A copy or a summary of the Merger Agreement or the Plan of Conversion, as applicable, shall be included in or enclosed with the notice of a special meeting or the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(b) Except as provided in </w:t>
      </w:r>
      <w:r>
        <w:rPr>
          <w:rFonts w:ascii="Times New Roman" w:hAnsi="Times New Roman"/>
          <w:sz w:val="20"/>
          <w:u w:val="single"/>
        </w:rPr>
        <w:t>Section 14.3(d)</w:t>
      </w:r>
      <w:r>
        <w:rPr>
          <w:rFonts w:ascii="Times New Roman" w:hAnsi="Times New Roman"/>
          <w:sz w:val="20"/>
        </w:rPr>
        <w:t xml:space="preserve">, the Merger Agreement or the Plan of Conversion, as applicable, shall be approved upon receiving the affirmative vote or consent of the holders of a Unit Majority.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Except as provided in </w:t>
      </w:r>
      <w:r>
        <w:rPr>
          <w:rFonts w:ascii="Times New Roman" w:hAnsi="Times New Roman"/>
          <w:sz w:val="20"/>
          <w:u w:val="single"/>
        </w:rPr>
        <w:t>Section 14.3(d)</w:t>
      </w:r>
      <w:r>
        <w:rPr>
          <w:rFonts w:ascii="Times New Roman" w:hAnsi="Times New Roman"/>
          <w:sz w:val="20"/>
        </w:rPr>
        <w:t xml:space="preserve">, after such approval by vote or consent of the Limited Partners, and at any time prior to the filing of the certificate of merger or a certificate of conversion pursuant to </w:t>
      </w:r>
      <w:r>
        <w:rPr>
          <w:rFonts w:ascii="Times New Roman" w:hAnsi="Times New Roman"/>
          <w:sz w:val="20"/>
          <w:u w:val="single"/>
        </w:rPr>
        <w:t>Section 14.4</w:t>
      </w:r>
      <w:r>
        <w:rPr>
          <w:rFonts w:ascii="Times New Roman" w:hAnsi="Times New Roman"/>
          <w:sz w:val="20"/>
        </w:rPr>
        <w:t xml:space="preserve">, the merger, consolidation or conversion may be abandoned pursuant to provisions therefor, if any, set forth in the Merger Agreement or the Plan of Conversion,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else contained in this </w:t>
      </w:r>
      <w:r>
        <w:rPr>
          <w:rFonts w:ascii="Times New Roman" w:hAnsi="Times New Roman"/>
          <w:sz w:val="20"/>
          <w:u w:val="single"/>
        </w:rPr>
        <w:t>Article XIV</w:t>
      </w:r>
      <w:r>
        <w:rPr>
          <w:rFonts w:ascii="Times New Roman" w:hAnsi="Times New Roman"/>
          <w:sz w:val="20"/>
        </w:rPr>
        <w:t xml:space="preserve"> or in this Agreement, the General Partner is permitted without Limited Partner approval, to convert the Partnership or any Group Member into a new limited liability entity, to merge the Partnership or any Group Member into, or convey all of the Partnership’s assets to, another limited liability entity which shall be newly formed and shall have no assets, liabilities or operations at the time of such conversion, merger or conveyance other than those it receives from the Partnership or other Group Member if (i) the General Partner has received an Opinion of Counsel that the merger or conveyance, as the case may be, would not result in the loss of the limited liability of any Limited Partner or cause the Partnership to be treated as an association taxable as a corporation or otherwise to be taxed as an entity for federal income tax purposes (to the extent not previously treated as such), (ii) the sole purpose of such conversion, merger or conveyance is to effect a mere change in the legal form of the Partnership into another limited liability entity and (iii) the governing instruments of the new entity provide the Limited Partners and the General Partner with the same rights and obligations as are herein contained. </w:t>
      </w:r>
    </w:p>
    <w:p>
      <w:pPr>
        <w:pStyle w:val="TextBody"/>
        <w:bidi w:val="0"/>
        <w:spacing w:before="240" w:after="0"/>
        <w:jc w:val="left"/>
        <w:rPr>
          <w:rFonts w:ascii="Times New Roman" w:hAnsi="Times New Roman"/>
          <w:sz w:val="20"/>
        </w:rPr>
      </w:pPr>
      <w:r>
        <w:rPr>
          <w:rFonts w:ascii="Times New Roman" w:hAnsi="Times New Roman"/>
          <w:sz w:val="20"/>
        </w:rPr>
        <w:t xml:space="preserve">(e) Additionally, notwithstanding anything else contained in this </w:t>
      </w:r>
      <w:r>
        <w:rPr>
          <w:rFonts w:ascii="Times New Roman" w:hAnsi="Times New Roman"/>
          <w:sz w:val="20"/>
          <w:u w:val="single"/>
        </w:rPr>
        <w:t>Article XIV</w:t>
      </w:r>
      <w:r>
        <w:rPr>
          <w:rFonts w:ascii="Times New Roman" w:hAnsi="Times New Roman"/>
          <w:sz w:val="20"/>
        </w:rPr>
        <w:t xml:space="preserve"> or in this Agreement, the General Partner is permitted, without Limited Partner approval, to merge or consolidate the Partnership with or into another entity if (A) the General Partner has received an Opinion of Counsel that the merger or consolidation, as the case may be, would not result in the loss of the limited liability of any Limited Partner or cause the Partnership to be treated as an association taxable as a corporation or otherwise to be taxed as an entity for federal income tax purposes (to the extent not previously treated as such), (B) the merger or consolidation would not result in an amendment to this Agreement, other than any amendments that could be adopted pursuant to </w:t>
      </w:r>
      <w:r>
        <w:rPr>
          <w:rFonts w:ascii="Times New Roman" w:hAnsi="Times New Roman"/>
          <w:sz w:val="20"/>
          <w:u w:val="single"/>
        </w:rPr>
        <w:t>Section 13.1</w:t>
      </w:r>
      <w:r>
        <w:rPr>
          <w:rFonts w:ascii="Times New Roman" w:hAnsi="Times New Roman"/>
          <w:sz w:val="20"/>
        </w:rPr>
        <w:t xml:space="preserve">, (C) the Partnership is the Surviving Business Entity in such merger or consolidation, (D) each Unit outstanding immediately prior to the effective date of the merger or consolidation is to be an identical Unit of the Partnership after the effective date of the merger or consolidation, and (E) the number of Partnership Securities to be issued by the Partnership in such merger or consolidation do not exceed 20% of the Partnership Securities Outstanding immediately prior to the effective date of such merger or consolidation. </w:t>
      </w:r>
    </w:p>
    <w:p>
      <w:pPr>
        <w:pStyle w:val="TextBody"/>
        <w:bidi w:val="0"/>
        <w:spacing w:before="240" w:after="0"/>
        <w:jc w:val="left"/>
        <w:rPr>
          <w:rFonts w:ascii="Times New Roman" w:hAnsi="Times New Roman"/>
          <w:sz w:val="20"/>
        </w:rPr>
      </w:pPr>
      <w:r>
        <w:rPr>
          <w:rFonts w:ascii="Times New Roman" w:hAnsi="Times New Roman"/>
          <w:sz w:val="20"/>
        </w:rPr>
        <w:t xml:space="preserve">Section 14.4 </w:t>
      </w:r>
      <w:r>
        <w:rPr>
          <w:rFonts w:ascii="Times New Roman" w:hAnsi="Times New Roman"/>
          <w:sz w:val="20"/>
          <w:u w:val="single"/>
        </w:rPr>
        <w:t>Certificate of 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Upon the required approval, if any, by the General Partner and the Unitholders of a Merger Agreement or a Plan of Conversion, as the case may be, a certificate of merger or certificate of conversion, as applicable, shall be executed and filed with the Secretary of State of the State of Texas in conformity with the requirements of the Texas Limited Partnership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At the effective time of the certificate of merger: </w:t>
      </w:r>
    </w:p>
    <w:p>
      <w:pPr>
        <w:pStyle w:val="TextBody"/>
        <w:bidi w:val="0"/>
        <w:spacing w:before="120" w:after="0"/>
        <w:jc w:val="left"/>
        <w:rPr>
          <w:rFonts w:ascii="Times New Roman" w:hAnsi="Times New Roman"/>
          <w:sz w:val="20"/>
        </w:rPr>
      </w:pPr>
      <w:r>
        <w:rPr>
          <w:rFonts w:ascii="Times New Roman" w:hAnsi="Times New Roman"/>
          <w:sz w:val="20"/>
        </w:rPr>
        <w:t xml:space="preserve">(i) all of the rights, privileges and powers of each of the business entities that has merged or consolidated, and all property, real, personal and mixed, and all debts due to any of those business entities and all other things and causes of action belonging to each of those business entities, shall be vested in the Surviving Business Entity and after the merger or consolidation shall be the property of the Surviving Business Entity to the extent they were of each constituent business entity; </w:t>
      </w:r>
    </w:p>
    <w:p>
      <w:pPr>
        <w:pStyle w:val="TextBody"/>
        <w:bidi w:val="0"/>
        <w:spacing w:before="120" w:after="0"/>
        <w:jc w:val="left"/>
        <w:rPr>
          <w:rFonts w:ascii="Times New Roman" w:hAnsi="Times New Roman"/>
          <w:sz w:val="20"/>
        </w:rPr>
      </w:pPr>
      <w:r>
        <w:rPr>
          <w:rFonts w:ascii="Times New Roman" w:hAnsi="Times New Roman"/>
          <w:sz w:val="20"/>
        </w:rPr>
        <w:t xml:space="preserve">(ii) the title to any real property vested by deed or otherwise in any of those constituent business entities shall not revert and is not in any way impaired because of the merger or consolidation; </w:t>
      </w:r>
    </w:p>
    <w:p>
      <w:pPr>
        <w:pStyle w:val="TextBody"/>
        <w:bidi w:val="0"/>
        <w:spacing w:before="120" w:after="0"/>
        <w:jc w:val="left"/>
        <w:rPr>
          <w:rFonts w:ascii="Times New Roman" w:hAnsi="Times New Roman"/>
          <w:sz w:val="20"/>
        </w:rPr>
      </w:pPr>
      <w:r>
        <w:rPr>
          <w:rFonts w:ascii="Times New Roman" w:hAnsi="Times New Roman"/>
          <w:sz w:val="20"/>
        </w:rPr>
        <w:t xml:space="preserve">(iii) all rights of creditors and all liens on or security interests in property of any of those constituent business entities shall be preserved unimpaired; and (iv) all debts, liabilities and duties of those constituent business entities shall attach to the Surviving Business Entity and may be enforced against it to the same extent as if the debts, liabilities and duties had been incurred or contracted by it. </w:t>
      </w:r>
    </w:p>
    <w:p>
      <w:pPr>
        <w:pStyle w:val="TextBody"/>
        <w:bidi w:val="0"/>
        <w:spacing w:before="240" w:after="0"/>
        <w:jc w:val="left"/>
        <w:rPr>
          <w:rFonts w:ascii="Times New Roman" w:hAnsi="Times New Roman"/>
          <w:sz w:val="20"/>
        </w:rPr>
      </w:pPr>
      <w:r>
        <w:rPr>
          <w:rFonts w:ascii="Times New Roman" w:hAnsi="Times New Roman"/>
          <w:sz w:val="20"/>
        </w:rPr>
        <w:t xml:space="preserve">(c) At the effective time of conversion: </w:t>
      </w:r>
    </w:p>
    <w:p>
      <w:pPr>
        <w:pStyle w:val="TextBody"/>
        <w:bidi w:val="0"/>
        <w:spacing w:before="120" w:after="0"/>
        <w:jc w:val="left"/>
        <w:rPr>
          <w:rFonts w:ascii="Times New Roman" w:hAnsi="Times New Roman"/>
          <w:sz w:val="20"/>
        </w:rPr>
      </w:pPr>
      <w:r>
        <w:rPr>
          <w:rFonts w:ascii="Times New Roman" w:hAnsi="Times New Roman"/>
          <w:sz w:val="20"/>
        </w:rPr>
        <w:t xml:space="preserve">(i) the Partnership shall continue to exist, without interruption, but in the organizational form of the converted entity rather than in its prior organizational form; </w:t>
      </w:r>
    </w:p>
    <w:p>
      <w:pPr>
        <w:pStyle w:val="TextBody"/>
        <w:bidi w:val="0"/>
        <w:spacing w:before="120" w:after="0"/>
        <w:jc w:val="left"/>
        <w:rPr>
          <w:rFonts w:ascii="Times New Roman" w:hAnsi="Times New Roman"/>
          <w:sz w:val="20"/>
        </w:rPr>
      </w:pPr>
      <w:r>
        <w:rPr>
          <w:rFonts w:ascii="Times New Roman" w:hAnsi="Times New Roman"/>
          <w:sz w:val="20"/>
        </w:rPr>
        <w:t xml:space="preserve">(ii) all rights, title, and interests to all real estate and other property owned by the Partnership shall continue to be owned by the converted entity in its new organizational form without reversion or impairment, without further act or deed, and without any transfer or assignment having occurred, but subject to any existing liens or other encumbrances thereon; </w:t>
      </w:r>
    </w:p>
    <w:p>
      <w:pPr>
        <w:pStyle w:val="TextBody"/>
        <w:bidi w:val="0"/>
        <w:spacing w:before="120" w:after="0"/>
        <w:jc w:val="left"/>
        <w:rPr>
          <w:rFonts w:ascii="Times New Roman" w:hAnsi="Times New Roman"/>
          <w:sz w:val="20"/>
        </w:rPr>
      </w:pPr>
      <w:r>
        <w:rPr>
          <w:rFonts w:ascii="Times New Roman" w:hAnsi="Times New Roman"/>
          <w:sz w:val="20"/>
        </w:rPr>
        <w:t xml:space="preserve">(iii) all liabilities and obligations of the Partnership shall continue to be liabilities and obligations of the converted entity in its new organizational form without impairment or diminution by reason of the conversion; </w:t>
      </w:r>
    </w:p>
    <w:p>
      <w:pPr>
        <w:pStyle w:val="TextBody"/>
        <w:bidi w:val="0"/>
        <w:spacing w:before="120" w:after="0"/>
        <w:jc w:val="left"/>
        <w:rPr>
          <w:rFonts w:ascii="Times New Roman" w:hAnsi="Times New Roman"/>
          <w:sz w:val="20"/>
        </w:rPr>
      </w:pPr>
      <w:r>
        <w:rPr>
          <w:rFonts w:ascii="Times New Roman" w:hAnsi="Times New Roman"/>
          <w:sz w:val="20"/>
        </w:rPr>
        <w:t xml:space="preserve">(iv) all rights of creditors or other parties with respect to or against the prior interest holders or other owners of the Partnership in their capacities as such in existence as of the effective time of conversion will continue in existence as to those liabilities and obligations and may be pursued by such creditors and obligees as if the conversion did not occur; </w:t>
      </w:r>
    </w:p>
    <w:p>
      <w:pPr>
        <w:pStyle w:val="TextBody"/>
        <w:bidi w:val="0"/>
        <w:spacing w:before="120" w:after="0"/>
        <w:jc w:val="left"/>
        <w:rPr>
          <w:rFonts w:ascii="Times New Roman" w:hAnsi="Times New Roman"/>
          <w:sz w:val="20"/>
        </w:rPr>
      </w:pPr>
      <w:r>
        <w:rPr>
          <w:rFonts w:ascii="Times New Roman" w:hAnsi="Times New Roman"/>
          <w:sz w:val="20"/>
        </w:rPr>
        <w:t xml:space="preserve">(v) a proceeding pending by or against the Partnership or by or against any of Partners in their capacities as such may be continued by or against the converted entity in its new organizational form and by or against the prior partners without any need for substitution of parties; and (vi) the Partnership Securities that are to be converted into partnership interests, shares, evidences of ownership, or other securities in the converted entity as provided in the Plan of Conversion or certificate of conversion shall be so converted, and Partners shall be entitled only to the rights provided in the Plan of Conversion or certificate of conversion.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 merger, consolidation or conversion effected pursuant to this Article shall not be deemed to result in a transfer or assignment of assets or liabilities from one entity to another. </w:t>
      </w:r>
    </w:p>
    <w:p>
      <w:pPr>
        <w:pStyle w:val="TextBody"/>
        <w:bidi w:val="0"/>
        <w:spacing w:before="240" w:after="0"/>
        <w:jc w:val="left"/>
        <w:rPr>
          <w:rFonts w:ascii="Times New Roman" w:hAnsi="Times New Roman"/>
          <w:sz w:val="20"/>
        </w:rPr>
      </w:pPr>
      <w:r>
        <w:rPr>
          <w:rFonts w:ascii="Times New Roman" w:hAnsi="Times New Roman"/>
          <w:sz w:val="20"/>
        </w:rPr>
        <w:t xml:space="preserve">Section 14.5 </w:t>
      </w:r>
      <w:r>
        <w:rPr>
          <w:rFonts w:ascii="Times New Roman" w:hAnsi="Times New Roman"/>
          <w:sz w:val="20"/>
          <w:u w:val="single"/>
        </w:rPr>
        <w:t>Amendment of Partnership Agreement</w:t>
      </w:r>
      <w:r>
        <w:rPr>
          <w:rFonts w:ascii="Times New Roman" w:hAnsi="Times New Roman"/>
          <w:sz w:val="20"/>
        </w:rPr>
        <w:t xml:space="preserve">. Pursuant to Section 10.004(a)(1) of the Texas Limited Partnership Law, an agreement of merger or consolidation approved in accordance with Section 14.3(b) may (a) effect any amendment to this Agreement or (b) effect the adoption of a new partnership agreement for a limited partnership if it is the Surviving Business Entity. Any such amendment or adoption made pursuant to this </w:t>
      </w:r>
      <w:r>
        <w:rPr>
          <w:rFonts w:ascii="Times New Roman" w:hAnsi="Times New Roman"/>
          <w:sz w:val="20"/>
          <w:u w:val="single"/>
        </w:rPr>
        <w:t>Section 14.5</w:t>
      </w:r>
      <w:r>
        <w:rPr>
          <w:rFonts w:ascii="Times New Roman" w:hAnsi="Times New Roman"/>
          <w:sz w:val="20"/>
        </w:rPr>
        <w:t xml:space="preserve"> shall be effective at the effective time or date of the merger or consolidation.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XV </w:t>
      </w:r>
    </w:p>
    <w:p>
      <w:pPr>
        <w:pStyle w:val="TextBody"/>
        <w:bidi w:val="0"/>
        <w:spacing w:before="0" w:after="0"/>
        <w:jc w:val="center"/>
        <w:rPr>
          <w:rFonts w:ascii="Times New Roman" w:hAnsi="Times New Roman"/>
          <w:b/>
          <w:sz w:val="20"/>
        </w:rPr>
      </w:pPr>
      <w:r>
        <w:rPr>
          <w:rFonts w:ascii="Times New Roman" w:hAnsi="Times New Roman"/>
          <w:b/>
          <w:sz w:val="20"/>
        </w:rPr>
        <w:t xml:space="preserve">RIGHT TO ACQUIRE LIMITED PARTNER INTERESTS </w:t>
      </w:r>
    </w:p>
    <w:p>
      <w:pPr>
        <w:pStyle w:val="TextBody"/>
        <w:bidi w:val="0"/>
        <w:spacing w:before="240" w:after="0"/>
        <w:jc w:val="left"/>
        <w:rPr>
          <w:rFonts w:ascii="Times New Roman" w:hAnsi="Times New Roman"/>
          <w:sz w:val="20"/>
        </w:rPr>
      </w:pPr>
      <w:r>
        <w:rPr>
          <w:rFonts w:ascii="Times New Roman" w:hAnsi="Times New Roman"/>
          <w:sz w:val="20"/>
        </w:rPr>
        <w:t xml:space="preserve">Section 15.1 </w:t>
      </w:r>
      <w:r>
        <w:rPr>
          <w:rFonts w:ascii="Times New Roman" w:hAnsi="Times New Roman"/>
          <w:sz w:val="20"/>
          <w:u w:val="single"/>
        </w:rPr>
        <w:t>Right to Acquire Limited Partner Interests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 other provision of this Agreement, if at any time 90% or more of the total Limited Partner Interests of any class then Outstanding is held by the General Partner and its Affiliates, the General Partner shall then have the right, which right it may assign and transfer in whole or in part to the Partnership or any Affiliate of the General Partner, exercisable at its option, to purchase all, but not less than all, of such Limited Partner Interests of such class then Outstanding held by Persons other than the General Partner and its Affiliates, at the greater of (x) the Current Market Price as of the date three days prior to the date that the notice described in </w:t>
      </w:r>
      <w:r>
        <w:rPr>
          <w:rFonts w:ascii="Times New Roman" w:hAnsi="Times New Roman"/>
          <w:sz w:val="20"/>
          <w:u w:val="single"/>
        </w:rPr>
        <w:t>Article XV</w:t>
      </w:r>
      <w:r>
        <w:rPr>
          <w:rFonts w:ascii="Times New Roman" w:hAnsi="Times New Roman"/>
          <w:sz w:val="20"/>
        </w:rPr>
        <w:t xml:space="preserve"> is mailed and (y) the highest price paid by a General Partner or any of its Affiliates for any such Limited Partner Interest of such class purchased during the 90-day period preceding the date that the notice described in </w:t>
      </w:r>
      <w:r>
        <w:rPr>
          <w:rFonts w:ascii="Times New Roman" w:hAnsi="Times New Roman"/>
          <w:sz w:val="20"/>
          <w:u w:val="single"/>
        </w:rPr>
        <w:t>Section 15.1(b)</w:t>
      </w:r>
      <w:r>
        <w:rPr>
          <w:rFonts w:ascii="Times New Roman" w:hAnsi="Times New Roman"/>
          <w:sz w:val="20"/>
        </w:rPr>
        <w:t xml:space="preserve"> is mailed. As used in this Agreement, (i) “</w:t>
      </w:r>
      <w:r>
        <w:rPr>
          <w:rFonts w:ascii="Times New Roman" w:hAnsi="Times New Roman"/>
          <w:i/>
          <w:sz w:val="20"/>
        </w:rPr>
        <w:t>Current Market Price</w:t>
      </w:r>
      <w:r>
        <w:rPr>
          <w:rFonts w:ascii="Times New Roman" w:hAnsi="Times New Roman"/>
          <w:sz w:val="20"/>
        </w:rPr>
        <w:t>,” as of any date of any class of Limited Partner Interests listed or admitted to trading on any National Securities Exchange, means the average of the daily Closing Prices (as hereinafter defined) per limited partner interest of such class for the 20 consecutive Trading Days (as hereinafter defined) immediately prior to such date; (ii) “</w:t>
      </w:r>
      <w:r>
        <w:rPr>
          <w:rFonts w:ascii="Times New Roman" w:hAnsi="Times New Roman"/>
          <w:i/>
          <w:sz w:val="20"/>
        </w:rPr>
        <w:t>Closing Price</w:t>
      </w:r>
      <w:r>
        <w:rPr>
          <w:rFonts w:ascii="Times New Roman" w:hAnsi="Times New Roman"/>
          <w:sz w:val="20"/>
        </w:rPr>
        <w:t>” for any day means the last sale price on such day, regular way, or in case no such sale takes place on such day, the average of the closing bid and asked prices on such day, regular way, in either case as reported in the principal consolidated transaction reporting system with respect to securities listed or admitted for trading on the principal National Securities Exchange on which such Limited Partner Interests of such class are listed or admitted to trading or, if such Limited Partner Interests of such class are not listed or admitted to trading on any National Securities Exchange, the last quoted price on such day or, if not so quoted, the average of the high bid and low asked prices on such day in the over-the-counter market, as reported by the Nasdaq or any other system then in use, or, if on any such day such Limited Partner Interests of such class are not quoted by any such organization, the average of the closing bid and asked prices on such day as furnished by a professional market maker making a market in such Limited Partner Interests of such class selected by the General Partner, or if on any such day no market maker is making a market in such Limited Partner Interests of such class, the fair value of such Limited Partner Interests on such day as determined by the General Partner; and (iii) “</w:t>
      </w:r>
      <w:r>
        <w:rPr>
          <w:rFonts w:ascii="Times New Roman" w:hAnsi="Times New Roman"/>
          <w:i/>
          <w:sz w:val="20"/>
        </w:rPr>
        <w:t>Trading Day</w:t>
      </w:r>
      <w:r>
        <w:rPr>
          <w:rFonts w:ascii="Times New Roman" w:hAnsi="Times New Roman"/>
          <w:sz w:val="20"/>
        </w:rPr>
        <w:t xml:space="preserve">” means a day on which the principal National Securities Exchange on which such Limited Partner Interests of any class are listed or admitted to trading is open for the transaction of business or, if Limited Partner Interests of a class are not listed or admitted to trading on any National Securities Exchange, a day on which banking institutions in New York City generally are open.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the General Partner, any Affiliate of the General Partner or the Partnership elects to exercise the right to purchase Limited Partner Interests granted pursuant to </w:t>
      </w:r>
      <w:r>
        <w:rPr>
          <w:rFonts w:ascii="Times New Roman" w:hAnsi="Times New Roman"/>
          <w:sz w:val="20"/>
          <w:u w:val="single"/>
        </w:rPr>
        <w:t>Section 15.1(a)</w:t>
      </w:r>
      <w:r>
        <w:rPr>
          <w:rFonts w:ascii="Times New Roman" w:hAnsi="Times New Roman"/>
          <w:sz w:val="20"/>
        </w:rPr>
        <w:t>, the General Partner shall deliver to the Transfer Agent notice of such election to purchase (the “</w:t>
      </w:r>
      <w:r>
        <w:rPr>
          <w:rFonts w:ascii="Times New Roman" w:hAnsi="Times New Roman"/>
          <w:i/>
          <w:sz w:val="20"/>
        </w:rPr>
        <w:t>Notice of Election to Purchase</w:t>
      </w:r>
      <w:r>
        <w:rPr>
          <w:rFonts w:ascii="Times New Roman" w:hAnsi="Times New Roman"/>
          <w:sz w:val="20"/>
        </w:rPr>
        <w:t xml:space="preserve">”) and shall cause the Transfer Agent to mail a copy of such Notice of Election to Purchase to the Record Holders of Limited Partner Interests of such class or classes (as of a Record Date selected by the General Partner) at least 10, but not more than 60, days prior to the Purchase Date. Such Notice of Election to Purchase shall also be published for a period of at least three consecutive days in at least two daily newspapers of general circulation printed in the English language and published in the Borough of Manhattan, New York. The Notice of Election to Purchase shall specify the Purchase Date and the price (determined in accordance with </w:t>
      </w:r>
      <w:r>
        <w:rPr>
          <w:rFonts w:ascii="Times New Roman" w:hAnsi="Times New Roman"/>
          <w:sz w:val="20"/>
          <w:u w:val="single"/>
        </w:rPr>
        <w:t>Section 15.1(a)</w:t>
      </w:r>
      <w:r>
        <w:rPr>
          <w:rFonts w:ascii="Times New Roman" w:hAnsi="Times New Roman"/>
          <w:sz w:val="20"/>
        </w:rPr>
        <w:t xml:space="preserve">) at which Limited Partner Interests will be purchased and state that the General Partner, its Affiliate or the Partnership, as the case may be, elects to purchase such Limited Partner Interests, upon surrender of Certificates representing such Limited Partner Interests in exchange for payment, at such office or offices of the Transfer Agent as the Transfer Agent may specify, or as may be required by any National Securities Exchange on which such Limited Partner Interests are listed or admitted for trading. Any such Notice of Election to Purchase mailed to a Record Holder of Limited Partner Interests at his address as reflected in the records of the Transfer Agent shall be conclusively presumed to have been given regardless of whether the owner receives such notice. On or prior to the Purchase Date, the General Partner, its Affiliate or the Partnership, as the case may be, shall deposit with the Transfer Agent cash in an amount sufficient to pay the aggregate purchase price of all of such Limited Partner Interests to be purchased in accordance with this </w:t>
      </w:r>
      <w:r>
        <w:rPr>
          <w:rFonts w:ascii="Times New Roman" w:hAnsi="Times New Roman"/>
          <w:sz w:val="20"/>
          <w:u w:val="single"/>
        </w:rPr>
        <w:t>Section 15.1</w:t>
      </w:r>
      <w:r>
        <w:rPr>
          <w:rFonts w:ascii="Times New Roman" w:hAnsi="Times New Roman"/>
          <w:sz w:val="20"/>
        </w:rPr>
        <w:t xml:space="preserve">. If the Notice of Election to Purchase shall have been duly given as aforesaid at least 10 days prior to the Purchase Date, and if on or prior to the Purchase Date the deposit described in the preceding sentence has been made for the benefit of the holders of Limited Partner Interests subject to purchase as provided herein, then from and after the Purchase Date, notwithstanding that any Certificate shall not have been surrendered for purchase, all rights of the holders of such Limited Partner Interests (including any rights pursuant to </w:t>
      </w:r>
      <w:r>
        <w:rPr>
          <w:rFonts w:ascii="Times New Roman" w:hAnsi="Times New Roman"/>
          <w:sz w:val="20"/>
          <w:u w:val="single"/>
        </w:rPr>
        <w:t>Articles IV</w:t>
      </w:r>
      <w:r>
        <w:rPr>
          <w:rFonts w:ascii="Times New Roman" w:hAnsi="Times New Roman"/>
          <w:sz w:val="20"/>
        </w:rPr>
        <w:t xml:space="preserve">, </w:t>
      </w:r>
      <w:r>
        <w:rPr>
          <w:rFonts w:ascii="Times New Roman" w:hAnsi="Times New Roman"/>
          <w:sz w:val="20"/>
          <w:u w:val="single"/>
        </w:rPr>
        <w:t>V</w:t>
      </w:r>
      <w:r>
        <w:rPr>
          <w:rFonts w:ascii="Times New Roman" w:hAnsi="Times New Roman"/>
          <w:sz w:val="20"/>
        </w:rPr>
        <w:t xml:space="preserve">, </w:t>
      </w:r>
      <w:r>
        <w:rPr>
          <w:rFonts w:ascii="Times New Roman" w:hAnsi="Times New Roman"/>
          <w:sz w:val="20"/>
          <w:u w:val="single"/>
        </w:rPr>
        <w:t>VI</w:t>
      </w:r>
      <w:r>
        <w:rPr>
          <w:rFonts w:ascii="Times New Roman" w:hAnsi="Times New Roman"/>
          <w:sz w:val="20"/>
        </w:rPr>
        <w:t xml:space="preserve"> and </w:t>
      </w:r>
      <w:r>
        <w:rPr>
          <w:rFonts w:ascii="Times New Roman" w:hAnsi="Times New Roman"/>
          <w:sz w:val="20"/>
          <w:u w:val="single"/>
        </w:rPr>
        <w:t>XII</w:t>
      </w:r>
      <w:r>
        <w:rPr>
          <w:rFonts w:ascii="Times New Roman" w:hAnsi="Times New Roman"/>
          <w:sz w:val="20"/>
        </w:rPr>
        <w:t xml:space="preserve">) shall thereupon cease, except the right to receive the purchase price (determined in accordance with </w:t>
      </w:r>
      <w:r>
        <w:rPr>
          <w:rFonts w:ascii="Times New Roman" w:hAnsi="Times New Roman"/>
          <w:sz w:val="20"/>
          <w:u w:val="single"/>
        </w:rPr>
        <w:t>Section 15.1(a)</w:t>
      </w:r>
      <w:r>
        <w:rPr>
          <w:rFonts w:ascii="Times New Roman" w:hAnsi="Times New Roman"/>
          <w:sz w:val="20"/>
        </w:rPr>
        <w:t xml:space="preserve">) for Limited Partner Interests therefor, without interest, upon surrender to the Transfer Agent of the Certificates representing such Limited Partner Interests, and such Limited Partner Interests shall thereupon be deemed to be transferred to the General Partner, its Affiliate or the Partnership, as the case may be, on the record books of the Transfer Agent and the Partnership, and the General Partner or any Affiliate of the General Partner, or the Partnership, as the case may be, shall be deemed to be the owner of all such Limited Partner Interests from and after the Purchase Date and shall have all rights as the owner of such Limited Partner Interests (including all rights as owner of such Limited Partner Interests pursuant to </w:t>
      </w:r>
      <w:r>
        <w:rPr>
          <w:rFonts w:ascii="Times New Roman" w:hAnsi="Times New Roman"/>
          <w:sz w:val="20"/>
          <w:u w:val="single"/>
        </w:rPr>
        <w:t>Articles IV</w:t>
      </w:r>
      <w:r>
        <w:rPr>
          <w:rFonts w:ascii="Times New Roman" w:hAnsi="Times New Roman"/>
          <w:sz w:val="20"/>
        </w:rPr>
        <w:t xml:space="preserve">, </w:t>
      </w:r>
      <w:r>
        <w:rPr>
          <w:rFonts w:ascii="Times New Roman" w:hAnsi="Times New Roman"/>
          <w:sz w:val="20"/>
          <w:u w:val="single"/>
        </w:rPr>
        <w:t>V</w:t>
      </w:r>
      <w:r>
        <w:rPr>
          <w:rFonts w:ascii="Times New Roman" w:hAnsi="Times New Roman"/>
          <w:sz w:val="20"/>
        </w:rPr>
        <w:t xml:space="preserve">, </w:t>
      </w:r>
      <w:r>
        <w:rPr>
          <w:rFonts w:ascii="Times New Roman" w:hAnsi="Times New Roman"/>
          <w:sz w:val="20"/>
          <w:u w:val="single"/>
        </w:rPr>
        <w:t>VI</w:t>
      </w:r>
      <w:r>
        <w:rPr>
          <w:rFonts w:ascii="Times New Roman" w:hAnsi="Times New Roman"/>
          <w:sz w:val="20"/>
        </w:rPr>
        <w:t xml:space="preserve"> and </w:t>
      </w:r>
      <w:r>
        <w:rPr>
          <w:rFonts w:ascii="Times New Roman" w:hAnsi="Times New Roman"/>
          <w:sz w:val="20"/>
          <w:u w:val="single"/>
        </w:rPr>
        <w:t>XII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At any time from and after the Purchase Date, a holder of an Outstanding Limited Partner Interest subject to purchase as provided in this </w:t>
      </w:r>
      <w:r>
        <w:rPr>
          <w:rFonts w:ascii="Times New Roman" w:hAnsi="Times New Roman"/>
          <w:sz w:val="20"/>
          <w:u w:val="single"/>
        </w:rPr>
        <w:t>Section 15.1</w:t>
      </w:r>
      <w:r>
        <w:rPr>
          <w:rFonts w:ascii="Times New Roman" w:hAnsi="Times New Roman"/>
          <w:sz w:val="20"/>
        </w:rPr>
        <w:t xml:space="preserve"> may surrender his Certificate evidencing such Limited Partner Interest to the Transfer Agent in exchange for payment of the amount described in </w:t>
      </w:r>
      <w:r>
        <w:rPr>
          <w:rFonts w:ascii="Times New Roman" w:hAnsi="Times New Roman"/>
          <w:sz w:val="20"/>
          <w:u w:val="single"/>
        </w:rPr>
        <w:t>Section 15.1(a)</w:t>
      </w:r>
      <w:r>
        <w:rPr>
          <w:rFonts w:ascii="Times New Roman" w:hAnsi="Times New Roman"/>
          <w:sz w:val="20"/>
        </w:rPr>
        <w:t xml:space="preserve">, therefor, without interest thereon.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in </w:t>
      </w:r>
      <w:r>
        <w:rPr>
          <w:rFonts w:ascii="Times New Roman" w:hAnsi="Times New Roman"/>
          <w:sz w:val="20"/>
          <w:u w:val="single"/>
        </w:rPr>
        <w:t>Article XIII</w:t>
      </w:r>
      <w:r>
        <w:rPr>
          <w:rFonts w:ascii="Times New Roman" w:hAnsi="Times New Roman"/>
          <w:sz w:val="20"/>
        </w:rPr>
        <w:t xml:space="preserve"> to the contrary, this Article cannot be amended without the affirmative vote of the holders of not less than 90% of the Outstanding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XVI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16.1 </w:t>
      </w:r>
      <w:r>
        <w:rPr>
          <w:rFonts w:ascii="Times New Roman" w:hAnsi="Times New Roman"/>
          <w:sz w:val="20"/>
          <w:u w:val="single"/>
        </w:rPr>
        <w:t>Addresses and Notices</w:t>
      </w:r>
      <w:r>
        <w:rPr>
          <w:rFonts w:ascii="Times New Roman" w:hAnsi="Times New Roman"/>
          <w:sz w:val="20"/>
        </w:rPr>
        <w:t xml:space="preserve">. Any notice, demand, request, report or proxy materials required or permitted to be given or made to a Partner or Assignee under this Agreement shall be in writing and shall be deemed given or made when delivered in person or when sent by first class United States mail or by other means of written communication to the Partner or Assignee at the address described below. Any notice, payment or report to be given or made to a Partner or Assignee hereunder shall be deemed conclusively to have been given or made, and the obligation to give such notice or report or to make such payment shall be deemed conclusively to have been fully satisfied, upon sending of such notice, payment or report to the Record Holder of such Partnership Securities at his address as shown on the records of the Transfer Agent or as otherwise shown on the records of the Partnership, regardless of any claim of any Person who may have an interest in such Partnership Securities by reason of any assignment or otherwise. An affidavit or certificate of making of any notice, payment or report in accordance with the provisions of this </w:t>
      </w:r>
      <w:r>
        <w:rPr>
          <w:rFonts w:ascii="Times New Roman" w:hAnsi="Times New Roman"/>
          <w:sz w:val="20"/>
          <w:u w:val="single"/>
        </w:rPr>
        <w:t>Section 16.1</w:t>
      </w:r>
      <w:r>
        <w:rPr>
          <w:rFonts w:ascii="Times New Roman" w:hAnsi="Times New Roman"/>
          <w:sz w:val="20"/>
        </w:rPr>
        <w:t xml:space="preserve"> executed by the General Partner, the Transfer Agent or the mailing organization shall be prima facie evidence of the giving or making of such notice, payment or report. If any notice, payment or report addressed to a Record Holder at the address of such Record Holder appearing on the books and records of the Transfer Agent or the Partnership is returned by the United States Postal Service marked to indicate that the United States Postal Service is unable to deliver it, such notice, payment or report and any subsequent notices, payments and reports shall be deemed to have been duly given or made without further mailing (until such time as such Record Holder or another Person notifies the Transfer Agent or the Partnership of a change in his address) if they are available for the Partner or Assignee at the principal office of the Partnership for a period of one year from the date of the giving or making of such notice, payment or report to the other Partners and Assignees. Any notice to the Partnership shall be deemed given if received by the General Partner at the principal office of the Partnership designated pursuant to </w:t>
      </w:r>
      <w:r>
        <w:rPr>
          <w:rFonts w:ascii="Times New Roman" w:hAnsi="Times New Roman"/>
          <w:sz w:val="20"/>
          <w:u w:val="single"/>
        </w:rPr>
        <w:t>Section 2.3</w:t>
      </w:r>
      <w:r>
        <w:rPr>
          <w:rFonts w:ascii="Times New Roman" w:hAnsi="Times New Roman"/>
          <w:sz w:val="20"/>
        </w:rPr>
        <w:t xml:space="preserve">. The General Partner may rely and shall be protected in relying on any notice or other document from a Partner or Assignee or other Person if believed by it to be genuine. </w:t>
      </w:r>
    </w:p>
    <w:p>
      <w:pPr>
        <w:pStyle w:val="TextBody"/>
        <w:bidi w:val="0"/>
        <w:spacing w:before="240" w:after="0"/>
        <w:jc w:val="left"/>
        <w:rPr>
          <w:rFonts w:ascii="Times New Roman" w:hAnsi="Times New Roman"/>
          <w:sz w:val="20"/>
        </w:rPr>
      </w:pPr>
      <w:r>
        <w:rPr>
          <w:rFonts w:ascii="Times New Roman" w:hAnsi="Times New Roman"/>
          <w:sz w:val="20"/>
        </w:rPr>
        <w:t xml:space="preserve">Section 16.2 </w:t>
      </w:r>
      <w:r>
        <w:rPr>
          <w:rFonts w:ascii="Times New Roman" w:hAnsi="Times New Roman"/>
          <w:sz w:val="20"/>
          <w:u w:val="single"/>
        </w:rPr>
        <w:t>Further Action</w:t>
      </w:r>
      <w:r>
        <w:rPr>
          <w:rFonts w:ascii="Times New Roman" w:hAnsi="Times New Roman"/>
          <w:sz w:val="20"/>
        </w:rPr>
        <w:t xml:space="preserve">. The parties shall execute and deliver all documents, provide all information and take or refrain from taking action as may be necessary or appropriate to achieve the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16.3 </w:t>
      </w:r>
      <w:r>
        <w:rPr>
          <w:rFonts w:ascii="Times New Roman" w:hAnsi="Times New Roman"/>
          <w:sz w:val="20"/>
          <w:u w:val="single"/>
        </w:rPr>
        <w:t>Binding Effect</w:t>
      </w:r>
      <w:r>
        <w:rPr>
          <w:rFonts w:ascii="Times New Roman" w:hAnsi="Times New Roman"/>
          <w:sz w:val="20"/>
        </w:rPr>
        <w:t xml:space="preserve">. This Agreement shall be binding upon and inure to the benefit of the parties hereto and their heirs, executors, administrators, successors, legal representatives and permitted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16.4 </w:t>
      </w:r>
      <w:r>
        <w:rPr>
          <w:rFonts w:ascii="Times New Roman" w:hAnsi="Times New Roman"/>
          <w:sz w:val="20"/>
          <w:u w:val="single"/>
        </w:rPr>
        <w:t>Integration</w:t>
      </w:r>
      <w:r>
        <w:rPr>
          <w:rFonts w:ascii="Times New Roman" w:hAnsi="Times New Roman"/>
          <w:sz w:val="20"/>
        </w:rPr>
        <w:t xml:space="preserve">. This Agreement constitutes the entire agreement among the parties hereto pertaining to the subject matter hereof and supersedes all prior agreements and understandings pertaining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16.5 </w:t>
      </w:r>
      <w:r>
        <w:rPr>
          <w:rFonts w:ascii="Times New Roman" w:hAnsi="Times New Roman"/>
          <w:sz w:val="20"/>
          <w:u w:val="single"/>
        </w:rPr>
        <w:t>Creditors</w:t>
      </w:r>
      <w:r>
        <w:rPr>
          <w:rFonts w:ascii="Times New Roman" w:hAnsi="Times New Roman"/>
          <w:sz w:val="20"/>
        </w:rPr>
        <w:t xml:space="preserve">. None of the provisions of this Agreement shall be for the benefit of, or shall be enforceable by, any creditor of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Section 16.6 </w:t>
      </w:r>
      <w:r>
        <w:rPr>
          <w:rFonts w:ascii="Times New Roman" w:hAnsi="Times New Roman"/>
          <w:sz w:val="20"/>
          <w:u w:val="single"/>
        </w:rPr>
        <w:t>Waiver</w:t>
      </w:r>
      <w:r>
        <w:rPr>
          <w:rFonts w:ascii="Times New Roman" w:hAnsi="Times New Roman"/>
          <w:sz w:val="20"/>
        </w:rPr>
        <w:t xml:space="preserve">.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16.7 </w:t>
      </w:r>
      <w:r>
        <w:rPr>
          <w:rFonts w:ascii="Times New Roman" w:hAnsi="Times New Roman"/>
          <w:sz w:val="20"/>
          <w:u w:val="single"/>
        </w:rPr>
        <w:t>Counterparts</w:t>
      </w:r>
      <w:r>
        <w:rPr>
          <w:rFonts w:ascii="Times New Roman" w:hAnsi="Times New Roman"/>
          <w:sz w:val="20"/>
        </w:rPr>
        <w:t xml:space="preserve">. 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 or, in the case of a Person acquiring a Limited Partner Interest upon accepting the certificate evidencing such Limited Partner Interest or executing and delivering a Transfer Application as herein described, independently of the signature of any other party. </w:t>
      </w:r>
    </w:p>
    <w:p>
      <w:pPr>
        <w:pStyle w:val="TextBody"/>
        <w:bidi w:val="0"/>
        <w:spacing w:before="240" w:after="0"/>
        <w:jc w:val="left"/>
        <w:rPr>
          <w:rFonts w:ascii="Times New Roman" w:hAnsi="Times New Roman"/>
          <w:sz w:val="20"/>
        </w:rPr>
      </w:pPr>
      <w:r>
        <w:rPr>
          <w:rFonts w:ascii="Times New Roman" w:hAnsi="Times New Roman"/>
          <w:sz w:val="20"/>
        </w:rPr>
        <w:t xml:space="preserve">Section 16.8 </w:t>
      </w:r>
      <w:r>
        <w:rPr>
          <w:rFonts w:ascii="Times New Roman" w:hAnsi="Times New Roman"/>
          <w:sz w:val="20"/>
          <w:u w:val="single"/>
        </w:rPr>
        <w:t>Applicable Law</w:t>
      </w:r>
      <w:r>
        <w:rPr>
          <w:rFonts w:ascii="Times New Roman" w:hAnsi="Times New Roman"/>
          <w:sz w:val="20"/>
        </w:rPr>
        <w:t xml:space="preserve">. This Agreement shall be construed in accordance with and governed by the laws of the State of Texas, without regard to the principles of conflicts of law. </w:t>
      </w:r>
    </w:p>
    <w:p>
      <w:pPr>
        <w:pStyle w:val="TextBody"/>
        <w:bidi w:val="0"/>
        <w:spacing w:before="240" w:after="0"/>
        <w:jc w:val="left"/>
        <w:rPr>
          <w:rFonts w:ascii="Times New Roman" w:hAnsi="Times New Roman"/>
          <w:sz w:val="20"/>
        </w:rPr>
      </w:pPr>
      <w:r>
        <w:rPr>
          <w:rFonts w:ascii="Times New Roman" w:hAnsi="Times New Roman"/>
          <w:sz w:val="20"/>
        </w:rPr>
        <w:t xml:space="preserve">Section 16.9 </w:t>
      </w:r>
      <w:r>
        <w:rPr>
          <w:rFonts w:ascii="Times New Roman" w:hAnsi="Times New Roman"/>
          <w:sz w:val="20"/>
          <w:u w:val="single"/>
        </w:rPr>
        <w:t>Invalidity of Provisions</w:t>
      </w:r>
      <w:r>
        <w:rPr>
          <w:rFonts w:ascii="Times New Roman" w:hAnsi="Times New Roman"/>
          <w:sz w:val="20"/>
        </w:rPr>
        <w:t xml:space="preserve">. If any provision of this Agreement is or becomes invalid, illegal or unenforceable in any respect, the validity, legality and enforceability of the remaining provisions contained herein shall not be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16.10 </w:t>
      </w:r>
      <w:r>
        <w:rPr>
          <w:rFonts w:ascii="Times New Roman" w:hAnsi="Times New Roman"/>
          <w:sz w:val="20"/>
          <w:u w:val="single"/>
        </w:rPr>
        <w:t>Consent of Partners</w:t>
      </w:r>
      <w:r>
        <w:rPr>
          <w:rFonts w:ascii="Times New Roman" w:hAnsi="Times New Roman"/>
          <w:sz w:val="20"/>
        </w:rPr>
        <w:t xml:space="preserve">. Each Limited Partner hereby expressly consents and agrees that, whenever in this Agreement it is specified that an action may be taken upon the affirmative vote or consent of less than all of the Partners, such action may be so taken upon the concurrence of less than all of the Partners and each Partner shall be bound by the results of such action. </w:t>
      </w:r>
    </w:p>
    <w:p>
      <w:pPr>
        <w:pStyle w:val="TextBody"/>
        <w:bidi w:val="0"/>
        <w:spacing w:before="240" w:after="0"/>
        <w:jc w:val="left"/>
        <w:rPr>
          <w:rFonts w:ascii="Times New Roman" w:hAnsi="Times New Roman"/>
          <w:sz w:val="20"/>
        </w:rPr>
      </w:pPr>
      <w:r>
        <w:rPr>
          <w:rFonts w:ascii="Times New Roman" w:hAnsi="Times New Roman"/>
          <w:sz w:val="20"/>
        </w:rPr>
        <w:t xml:space="preserve">Section 16.11 </w:t>
      </w:r>
      <w:r>
        <w:rPr>
          <w:rFonts w:ascii="Times New Roman" w:hAnsi="Times New Roman"/>
          <w:sz w:val="20"/>
          <w:u w:val="single"/>
        </w:rPr>
        <w:t>Facsimile Signatures</w:t>
      </w:r>
      <w:r>
        <w:rPr>
          <w:rFonts w:ascii="Times New Roman" w:hAnsi="Times New Roman"/>
          <w:sz w:val="20"/>
        </w:rPr>
        <w:t xml:space="preserve">. The use of facsimile signatures affixed in the name and on behalf of the transfer agent and registrar of the Partnership on certificates representing Common Units is expressly permitted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16.12 </w:t>
      </w:r>
      <w:r>
        <w:rPr>
          <w:rFonts w:ascii="Times New Roman" w:hAnsi="Times New Roman"/>
          <w:sz w:val="20"/>
          <w:u w:val="single"/>
        </w:rPr>
        <w:t>Third Party Beneficiaries</w:t>
      </w:r>
      <w:r>
        <w:rPr>
          <w:rFonts w:ascii="Times New Roman" w:hAnsi="Times New Roman"/>
          <w:sz w:val="20"/>
        </w:rPr>
        <w:t xml:space="preserve">. Each Limited Partner agrees that any Indemnitee shall be entitled to assert rights and remedies hereunder as a third party beneficiary hereto with respect to those provisions of this Agreement affording a right, benefit or privilege to such Indemnitee.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Rest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LE GP, LLC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 </w:t>
            </w:r>
          </w:p>
        </w:tc>
      </w:tr>
      <w:tr>
        <w:trPr/>
        <w:tc>
          <w:tcPr>
            <w:tcW w:w="672"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Dylan A. Bramhall</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Executive Vice President and Group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LIMITED PARTNERS: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 xml:space="preserve">All Limited Partners now and hereafter admitted as Limited Partners of the Partnership, pursuant to powers of attorney now and hereafter executed in favor of, and granted and delivered to the General Partner or without execution hereof pursuant to </w:t>
            </w:r>
            <w:r>
              <w:rPr>
                <w:u w:val="single"/>
              </w:rPr>
              <w:t>Section 10.1(a)</w:t>
            </w:r>
            <w:r>
              <w:rPr/>
              <w:t>.</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vAlign w:val="bottom"/>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b/>
              </w:rPr>
            </w:pPr>
            <w:r>
              <w:rPr>
                <w:b/>
              </w:rPr>
              <w:t>LE GP,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General Partner, as attorney-in-fact for the Limited Partners pursuant to the Powers of Attorney granted pursuant to Section 2.6.</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 </w:t>
            </w:r>
          </w:p>
        </w:tc>
      </w:tr>
      <w:tr>
        <w:trPr/>
        <w:tc>
          <w:tcPr>
            <w:tcW w:w="672"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Dylan A. Bramhall</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Executive Vice President and Group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to the Agreement of Limited Partnership of </w:t>
      </w:r>
    </w:p>
    <w:p>
      <w:pPr>
        <w:pStyle w:val="TextBody"/>
        <w:bidi w:val="0"/>
        <w:spacing w:before="240" w:after="0"/>
        <w:jc w:val="center"/>
        <w:rPr>
          <w:rFonts w:ascii="Times New Roman" w:hAnsi="Times New Roman"/>
          <w:b/>
          <w:sz w:val="20"/>
        </w:rPr>
      </w:pPr>
      <w:r>
        <w:rPr>
          <w:rFonts w:ascii="Times New Roman" w:hAnsi="Times New Roman"/>
          <w:b/>
          <w:sz w:val="20"/>
        </w:rPr>
        <w:t xml:space="preserve">Energy Transfer LP Certificate Evidencing Common Units </w:t>
      </w:r>
    </w:p>
    <w:p>
      <w:pPr>
        <w:pStyle w:val="TextBody"/>
        <w:bidi w:val="0"/>
        <w:spacing w:before="240" w:after="0"/>
        <w:jc w:val="center"/>
        <w:rPr>
          <w:rFonts w:ascii="Times New Roman" w:hAnsi="Times New Roman"/>
          <w:b/>
          <w:sz w:val="20"/>
        </w:rPr>
      </w:pPr>
      <w:r>
        <w:rPr>
          <w:rFonts w:ascii="Times New Roman" w:hAnsi="Times New Roman"/>
          <w:b/>
          <w:sz w:val="20"/>
        </w:rPr>
        <w:t xml:space="preserve">Representing Limited Partner Interests in Energy Transfer LP </w:t>
      </w:r>
    </w:p>
    <w:p>
      <w:pPr>
        <w:pStyle w:val="TextBody"/>
        <w:bidi w:val="0"/>
        <w:spacing w:before="240" w:after="0"/>
        <w:jc w:val="left"/>
        <w:rPr>
          <w:rFonts w:ascii="Times New Roman" w:hAnsi="Times New Roman"/>
          <w:sz w:val="20"/>
        </w:rPr>
      </w:pPr>
      <w:r>
        <w:rPr>
          <w:rFonts w:ascii="Times New Roman" w:hAnsi="Times New Roman"/>
          <w:sz w:val="20"/>
        </w:rPr>
        <w:t xml:space="preserve">No. _______________                                      _______________ Common Units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w:t>
      </w:r>
      <w:r>
        <w:rPr>
          <w:rFonts w:ascii="Times New Roman" w:hAnsi="Times New Roman"/>
          <w:sz w:val="20"/>
          <w:u w:val="single"/>
        </w:rPr>
        <w:t>Section 4.1</w:t>
      </w:r>
      <w:r>
        <w:rPr>
          <w:rFonts w:ascii="Times New Roman" w:hAnsi="Times New Roman"/>
          <w:sz w:val="20"/>
        </w:rPr>
        <w:t xml:space="preserve"> of the Agreement of Limited Partnership of Energy Transfer LP, as amended, supplemented or restated from time to time (the “</w:t>
      </w:r>
      <w:r>
        <w:rPr>
          <w:rFonts w:ascii="Times New Roman" w:hAnsi="Times New Roman"/>
          <w:i/>
          <w:sz w:val="20"/>
        </w:rPr>
        <w:t>Partnership Agreement</w:t>
      </w:r>
      <w:r>
        <w:rPr>
          <w:rFonts w:ascii="Times New Roman" w:hAnsi="Times New Roman"/>
          <w:sz w:val="20"/>
        </w:rPr>
        <w:t>”), Energy Transfer LP, a Texas limited partnership (the “</w:t>
      </w:r>
      <w:r>
        <w:rPr>
          <w:rFonts w:ascii="Times New Roman" w:hAnsi="Times New Roman"/>
          <w:i/>
          <w:sz w:val="20"/>
        </w:rPr>
        <w:t>Partnership</w:t>
      </w:r>
      <w:r>
        <w:rPr>
          <w:rFonts w:ascii="Times New Roman" w:hAnsi="Times New Roman"/>
          <w:sz w:val="20"/>
        </w:rPr>
        <w:t>”), hereby certifies that ___________________ (the “</w:t>
      </w:r>
      <w:r>
        <w:rPr>
          <w:rFonts w:ascii="Times New Roman" w:hAnsi="Times New Roman"/>
          <w:i/>
          <w:sz w:val="20"/>
        </w:rPr>
        <w:t>Holder</w:t>
      </w:r>
      <w:r>
        <w:rPr>
          <w:rFonts w:ascii="Times New Roman" w:hAnsi="Times New Roman"/>
          <w:sz w:val="20"/>
        </w:rPr>
        <w:t>”) is the registered owner of Common Units representing limited partner interests in the Partnership (the “</w:t>
      </w:r>
      <w:r>
        <w:rPr>
          <w:rFonts w:ascii="Times New Roman" w:hAnsi="Times New Roman"/>
          <w:i/>
          <w:sz w:val="20"/>
        </w:rPr>
        <w:t>Common Units</w:t>
      </w:r>
      <w:r>
        <w:rPr>
          <w:rFonts w:ascii="Times New Roman" w:hAnsi="Times New Roman"/>
          <w:sz w:val="20"/>
        </w:rPr>
        <w:t xml:space="preserve">”) transferable on the books of the Partnership, in person or by duly authorized attorney, upon surrender of this Certificate properly endorsed and accompanied by a properly executed application for transfer of the Common Units represented by this Certificate. The rights, preferences and limitations of the Common Units are set forth in, and this Certificate and the Common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8111 Westchester Drive, Suite 600, Dallas, Texas 75225. Capitalized terms used herein but not defined shall have the meanings given them in the Partnership Agreement. </w:t>
      </w:r>
    </w:p>
    <w:p>
      <w:pPr>
        <w:pStyle w:val="TextBody"/>
        <w:bidi w:val="0"/>
        <w:spacing w:before="240" w:after="0"/>
        <w:jc w:val="left"/>
        <w:rPr>
          <w:rFonts w:ascii="Times New Roman" w:hAnsi="Times New Roman"/>
          <w:sz w:val="20"/>
        </w:rPr>
      </w:pPr>
      <w:r>
        <w:rPr>
          <w:rFonts w:ascii="Times New Roman" w:hAnsi="Times New Roman"/>
          <w:sz w:val="20"/>
        </w:rPr>
        <w:t xml:space="preserve">The Holder, by accepting this Certificate, is deemed to have (i) requested admission as, and agreed to become, a Limited Partner and to have agreed to comply with and be bound by and to have executed the Partnership Agreement, (ii) represented and warranted that the Holder has all right, power and authority and, if an individual, the capacity necessary to enter into the Partnership Agreement, (iii) granted the powers of attorney provided for in the Partnership Agreement and (iv) made the waivers and given the consents and approvals contained in the Partnership Agreement. </w:t>
      </w:r>
    </w:p>
    <w:p>
      <w:pPr>
        <w:pStyle w:val="TextBody"/>
        <w:bidi w:val="0"/>
        <w:spacing w:before="240" w:after="0"/>
        <w:jc w:val="left"/>
        <w:rPr>
          <w:rFonts w:ascii="Times New Roman" w:hAnsi="Times New Roman"/>
          <w:sz w:val="20"/>
        </w:rPr>
      </w:pPr>
      <w:r>
        <w:rPr>
          <w:rFonts w:ascii="Times New Roman" w:hAnsi="Times New Roman"/>
          <w:sz w:val="20"/>
        </w:rPr>
        <w:t xml:space="preserve">THE HOLDER OF THIS SECURITY ACKNOWLEDGES FOR THE BENEFIT OF ENERGY TRANSFER LP THAT THIS SECURITY MAY NOT BE SOLD, OFFERED, RESOLD, PLEDGED OR OTHERWISE TRANSFERRED IF SUCH TRANSFER WOULD (A) VIOLATE THE THEN APPLICABLE FEDERAL OR STATE SECURITIES LAWS OR RULES AND REGULATIONS OF THE SECURITIES AND EXCHANGE COMMISSION, ANY STATE SECURITIES COMMISSION OR ANY OTHER GOVERNMENTAL AUTHORITY WITH JURISDICTION OVER SUCH TRANSFER, (B) TERMINATE THE EXISTENCE OR QUALIFICATION OF ENERGY TRANSFER LP UNDER THE LAWS OF THE STATE OF TEXAS, OR (C) CAUSE ENERGY TRANSFER LP TO BE TREATED AS AN ASSOCIATION TAXABLE AS A CORPORATION OR OTHERWISE TO BE TAXED AS AN ENTITY FOR FEDERAL INCOME TAX PURPOSES (TO THE EXTENT NOT ALREADY SO TREATED OR TAXED). LE GP, LLC, THE GENERAL PARTNER OF ENERGY TRANSFER LP, MAY IMPOSE ADDITIONAL RESTRICTIONS ON THE TRANSFER OF THIS SECURITY IF IT RECEIVES AN OPINION OF COUNSEL THAT SUCH RESTRICTIONS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ARE NECESSARY TO AVOID A SIGNIFICANT RISK OF ENERGY TRANSFER LP BECOMING TAXABLE AS A CORPORATION OR OTHERWISE BECOMING TAXABLE AS AN ENTITY FOR FEDERAL INCOME TAX PURPOSES. THE RESTRICTIONS SET FORTH ABOVE SHALL NOT PRECLUDE THE SETTLEMENT OF ANY TRANSACTIONS INVOLVING THIS SECURITY ENTERED INTO THROUGH THE FACILITIES OF ANY NATIONAL SECURITIES EXCHANGE ON WHICH THIS SECURITY IS LISTED OR ADMITTED TO TRADING. </w:t>
      </w:r>
    </w:p>
    <w:p>
      <w:pPr>
        <w:pStyle w:val="TextBody"/>
        <w:bidi w:val="0"/>
        <w:spacing w:before="240" w:after="0"/>
        <w:jc w:val="left"/>
        <w:rPr>
          <w:rFonts w:ascii="Times New Roman" w:hAnsi="Times New Roman"/>
          <w:sz w:val="20"/>
        </w:rPr>
      </w:pPr>
      <w:r>
        <w:rPr>
          <w:rFonts w:ascii="Times New Roman" w:hAnsi="Times New Roman"/>
          <w:sz w:val="20"/>
        </w:rPr>
        <w:t xml:space="preserve">This Certificate shall not be valid for any purpose unless it has been countersigned and registered by the Transfer Agent and Registrar.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Dated:</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Energy Transfer LP</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LE GP, LLC,</w:t>
            </w:r>
          </w:p>
        </w:tc>
      </w:tr>
      <w:tr>
        <w:trPr/>
        <w:tc>
          <w:tcPr>
            <w:tcW w:w="66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its General Partner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 </w:t>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 </w:t>
            </w:r>
          </w:p>
        </w:tc>
      </w:tr>
      <w:tr>
        <w:trPr/>
        <w:tc>
          <w:tcPr>
            <w:tcW w:w="66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082" w:type="dxa"/>
            <w:gridSpan w:val="3"/>
            <w:tcBorders/>
            <w:vAlign w:val="bottom"/>
          </w:tcPr>
          <w:p>
            <w:pPr>
              <w:pStyle w:val="TableContents"/>
              <w:bidi w:val="0"/>
              <w:spacing w:before="0" w:after="283"/>
              <w:jc w:val="left"/>
              <w:rPr/>
            </w:pPr>
            <w:r>
              <w:rPr/>
              <w:t>Countersigned and Registered by: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082" w:type="dxa"/>
            <w:gridSpan w:val="3"/>
            <w:tcBorders/>
            <w:vAlign w:val="bottom"/>
          </w:tcPr>
          <w:p>
            <w:pPr>
              <w:pStyle w:val="TableContents"/>
              <w:bidi w:val="0"/>
              <w:spacing w:before="0" w:after="283"/>
              <w:jc w:val="left"/>
              <w:rPr/>
            </w:pPr>
            <w:r>
              <w:rPr/>
              <w:t>as Transfer Agent and Registrar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vAlign w:val="bottom"/>
          </w:tcPr>
          <w:p>
            <w:pPr>
              <w:pStyle w:val="TableContents"/>
              <w:bidi w:val="0"/>
              <w:spacing w:before="0" w:after="283"/>
              <w:jc w:val="left"/>
              <w:rPr/>
            </w:pPr>
            <w:r>
              <w:rPr/>
              <w:t> </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 </w:t>
            </w:r>
          </w:p>
        </w:tc>
      </w:tr>
      <w:tr>
        <w:trPr/>
        <w:tc>
          <w:tcPr>
            <w:tcW w:w="66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Signature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Certificate] </w:t>
      </w:r>
    </w:p>
    <w:p>
      <w:pPr>
        <w:pStyle w:val="TextBody"/>
        <w:bidi w:val="0"/>
        <w:spacing w:before="0" w:after="0"/>
        <w:jc w:val="center"/>
        <w:rPr>
          <w:rFonts w:ascii="Times New Roman" w:hAnsi="Times New Roman"/>
          <w:b/>
          <w:sz w:val="20"/>
        </w:rPr>
      </w:pPr>
      <w:r>
        <w:rPr>
          <w:rFonts w:ascii="Times New Roman" w:hAnsi="Times New Roman"/>
          <w:b/>
          <w:sz w:val="20"/>
        </w:rPr>
        <w:t xml:space="preserve">ABBREVIATIONS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abbreviations, when used in the inscription on the face of this Certificate, shall be construed as follows according to applicable laws or regulations: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61"/>
        <w:gridCol w:w="132"/>
        <w:gridCol w:w="4337"/>
        <w:gridCol w:w="132"/>
        <w:gridCol w:w="4343"/>
      </w:tblGrid>
      <w:tr>
        <w:trPr/>
        <w:tc>
          <w:tcPr>
            <w:tcW w:w="1261"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4337"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4343" w:type="dxa"/>
            <w:tcBorders/>
            <w:vAlign w:val="center"/>
          </w:tcPr>
          <w:p>
            <w:pPr>
              <w:pStyle w:val="TableContents"/>
              <w:bidi w:val="0"/>
              <w:spacing w:before="0" w:after="283"/>
              <w:jc w:val="left"/>
              <w:rPr>
                <w:sz w:val="4"/>
                <w:szCs w:val="4"/>
              </w:rPr>
            </w:pPr>
            <w:r>
              <w:rPr>
                <w:sz w:val="4"/>
                <w:szCs w:val="4"/>
              </w:rPr>
            </w:r>
          </w:p>
        </w:tc>
      </w:tr>
      <w:tr>
        <w:trPr/>
        <w:tc>
          <w:tcPr>
            <w:tcW w:w="1261" w:type="dxa"/>
            <w:tcBorders/>
          </w:tcPr>
          <w:p>
            <w:pPr>
              <w:pStyle w:val="TableContents"/>
              <w:bidi w:val="0"/>
              <w:spacing w:before="0" w:after="283"/>
              <w:jc w:val="left"/>
              <w:rPr/>
            </w:pPr>
            <w:r>
              <w:rPr/>
              <w:t>TEN COM -</w:t>
            </w:r>
          </w:p>
        </w:tc>
        <w:tc>
          <w:tcPr>
            <w:tcW w:w="132" w:type="dxa"/>
            <w:tcBorders/>
            <w:vAlign w:val="bottom"/>
          </w:tcPr>
          <w:p>
            <w:pPr>
              <w:pStyle w:val="TableContents"/>
              <w:bidi w:val="0"/>
              <w:spacing w:before="0" w:after="283"/>
              <w:jc w:val="left"/>
              <w:rPr/>
            </w:pPr>
            <w:r>
              <w:rPr/>
              <w:t>  </w:t>
            </w:r>
          </w:p>
        </w:tc>
        <w:tc>
          <w:tcPr>
            <w:tcW w:w="4337" w:type="dxa"/>
            <w:tcBorders/>
          </w:tcPr>
          <w:p>
            <w:pPr>
              <w:pStyle w:val="TableContents"/>
              <w:bidi w:val="0"/>
              <w:spacing w:before="0" w:after="283"/>
              <w:jc w:val="left"/>
              <w:rPr/>
            </w:pPr>
            <w:r>
              <w:rPr/>
              <w:t>as tenants in common</w:t>
            </w:r>
          </w:p>
        </w:tc>
        <w:tc>
          <w:tcPr>
            <w:tcW w:w="132" w:type="dxa"/>
            <w:tcBorders/>
            <w:vAlign w:val="bottom"/>
          </w:tcPr>
          <w:p>
            <w:pPr>
              <w:pStyle w:val="TableContents"/>
              <w:bidi w:val="0"/>
              <w:spacing w:before="0" w:after="283"/>
              <w:jc w:val="left"/>
              <w:rPr/>
            </w:pPr>
            <w:r>
              <w:rPr/>
              <w:t>  </w:t>
            </w:r>
          </w:p>
        </w:tc>
        <w:tc>
          <w:tcPr>
            <w:tcW w:w="4343" w:type="dxa"/>
            <w:tcBorders/>
          </w:tcPr>
          <w:p>
            <w:pPr>
              <w:pStyle w:val="TableContents"/>
              <w:bidi w:val="0"/>
              <w:spacing w:before="0" w:after="283"/>
              <w:jc w:val="left"/>
              <w:rPr/>
            </w:pPr>
            <w:r>
              <w:rPr/>
              <w:t>UNIF GIFT/TRANSFERS MIN ACT</w:t>
            </w:r>
          </w:p>
        </w:tc>
      </w:tr>
      <w:tr>
        <w:trPr>
          <w:trHeight w:val="120" w:hRule="atLeast"/>
        </w:trPr>
        <w:tc>
          <w:tcPr>
            <w:tcW w:w="1261" w:type="dxa"/>
            <w:tcBorders/>
            <w:vAlign w:val="center"/>
          </w:tcPr>
          <w:p>
            <w:pPr>
              <w:pStyle w:val="TableContents"/>
              <w:bidi w:val="0"/>
              <w:spacing w:before="0" w:after="283"/>
              <w:jc w:val="left"/>
              <w:rPr>
                <w:sz w:val="4"/>
                <w:szCs w:val="4"/>
              </w:rPr>
            </w:pPr>
            <w:r>
              <w:rPr>
                <w:sz w:val="4"/>
                <w:szCs w:val="4"/>
              </w:rPr>
            </w:r>
          </w:p>
        </w:tc>
        <w:tc>
          <w:tcPr>
            <w:tcW w:w="4469" w:type="dxa"/>
            <w:gridSpan w:val="2"/>
            <w:tcBorders/>
            <w:vAlign w:val="center"/>
          </w:tcPr>
          <w:p>
            <w:pPr>
              <w:pStyle w:val="TableContents"/>
              <w:bidi w:val="0"/>
              <w:spacing w:before="0" w:after="283"/>
              <w:jc w:val="left"/>
              <w:rPr>
                <w:sz w:val="4"/>
                <w:szCs w:val="4"/>
              </w:rPr>
            </w:pPr>
            <w:r>
              <w:rPr>
                <w:sz w:val="4"/>
                <w:szCs w:val="4"/>
              </w:rPr>
            </w:r>
          </w:p>
        </w:tc>
        <w:tc>
          <w:tcPr>
            <w:tcW w:w="4475" w:type="dxa"/>
            <w:gridSpan w:val="2"/>
            <w:tcBorders/>
            <w:vAlign w:val="center"/>
          </w:tcPr>
          <w:p>
            <w:pPr>
              <w:pStyle w:val="TableContents"/>
              <w:bidi w:val="0"/>
              <w:spacing w:before="0" w:after="283"/>
              <w:jc w:val="left"/>
              <w:rPr>
                <w:sz w:val="4"/>
                <w:szCs w:val="4"/>
              </w:rPr>
            </w:pPr>
            <w:r>
              <w:rPr>
                <w:sz w:val="4"/>
                <w:szCs w:val="4"/>
              </w:rPr>
            </w:r>
          </w:p>
        </w:tc>
      </w:tr>
      <w:tr>
        <w:trPr/>
        <w:tc>
          <w:tcPr>
            <w:tcW w:w="1261" w:type="dxa"/>
            <w:tcBorders/>
          </w:tcPr>
          <w:p>
            <w:pPr>
              <w:pStyle w:val="TableContents"/>
              <w:bidi w:val="0"/>
              <w:spacing w:before="0" w:after="283"/>
              <w:jc w:val="left"/>
              <w:rPr/>
            </w:pPr>
            <w:r>
              <w:rPr/>
              <w:t>TEN ENT -</w:t>
            </w:r>
          </w:p>
        </w:tc>
        <w:tc>
          <w:tcPr>
            <w:tcW w:w="132" w:type="dxa"/>
            <w:tcBorders/>
            <w:vAlign w:val="bottom"/>
          </w:tcPr>
          <w:p>
            <w:pPr>
              <w:pStyle w:val="TableContents"/>
              <w:bidi w:val="0"/>
              <w:spacing w:before="0" w:after="283"/>
              <w:jc w:val="left"/>
              <w:rPr/>
            </w:pPr>
            <w:r>
              <w:rPr/>
              <w:t>  </w:t>
            </w:r>
          </w:p>
        </w:tc>
        <w:tc>
          <w:tcPr>
            <w:tcW w:w="4337" w:type="dxa"/>
            <w:tcBorders/>
          </w:tcPr>
          <w:p>
            <w:pPr>
              <w:pStyle w:val="TableContents"/>
              <w:bidi w:val="0"/>
              <w:spacing w:before="0" w:after="283"/>
              <w:jc w:val="left"/>
              <w:rPr/>
            </w:pPr>
            <w:r>
              <w:rPr/>
              <w:t>as tenants by the entireties</w:t>
            </w:r>
          </w:p>
        </w:tc>
        <w:tc>
          <w:tcPr>
            <w:tcW w:w="132" w:type="dxa"/>
            <w:tcBorders/>
            <w:vAlign w:val="bottom"/>
          </w:tcPr>
          <w:p>
            <w:pPr>
              <w:pStyle w:val="TableContents"/>
              <w:bidi w:val="0"/>
              <w:spacing w:before="0" w:after="283"/>
              <w:jc w:val="left"/>
              <w:rPr/>
            </w:pPr>
            <w:r>
              <w:rPr/>
              <w:t>  </w:t>
            </w:r>
          </w:p>
        </w:tc>
        <w:tc>
          <w:tcPr>
            <w:tcW w:w="434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Custodian</w:t>
            </w:r>
          </w:p>
        </w:tc>
      </w:tr>
      <w:tr>
        <w:trPr>
          <w:trHeight w:val="120" w:hRule="atLeast"/>
        </w:trPr>
        <w:tc>
          <w:tcPr>
            <w:tcW w:w="1261" w:type="dxa"/>
            <w:tcBorders/>
            <w:vAlign w:val="center"/>
          </w:tcPr>
          <w:p>
            <w:pPr>
              <w:pStyle w:val="TableContents"/>
              <w:bidi w:val="0"/>
              <w:spacing w:before="0" w:after="283"/>
              <w:jc w:val="left"/>
              <w:rPr>
                <w:sz w:val="4"/>
                <w:szCs w:val="4"/>
              </w:rPr>
            </w:pPr>
            <w:r>
              <w:rPr>
                <w:sz w:val="4"/>
                <w:szCs w:val="4"/>
              </w:rPr>
            </w:r>
          </w:p>
        </w:tc>
        <w:tc>
          <w:tcPr>
            <w:tcW w:w="4469" w:type="dxa"/>
            <w:gridSpan w:val="2"/>
            <w:tcBorders/>
            <w:vAlign w:val="center"/>
          </w:tcPr>
          <w:p>
            <w:pPr>
              <w:pStyle w:val="TableContents"/>
              <w:bidi w:val="0"/>
              <w:spacing w:before="0" w:after="283"/>
              <w:jc w:val="left"/>
              <w:rPr>
                <w:sz w:val="4"/>
                <w:szCs w:val="4"/>
              </w:rPr>
            </w:pPr>
            <w:r>
              <w:rPr>
                <w:sz w:val="4"/>
                <w:szCs w:val="4"/>
              </w:rPr>
            </w:r>
          </w:p>
        </w:tc>
        <w:tc>
          <w:tcPr>
            <w:tcW w:w="4475" w:type="dxa"/>
            <w:gridSpan w:val="2"/>
            <w:tcBorders/>
            <w:vAlign w:val="center"/>
          </w:tcPr>
          <w:p>
            <w:pPr>
              <w:pStyle w:val="TableContents"/>
              <w:bidi w:val="0"/>
              <w:spacing w:before="0" w:after="283"/>
              <w:jc w:val="left"/>
              <w:rPr>
                <w:sz w:val="4"/>
                <w:szCs w:val="4"/>
              </w:rPr>
            </w:pPr>
            <w:r>
              <w:rPr>
                <w:sz w:val="4"/>
                <w:szCs w:val="4"/>
              </w:rPr>
            </w:r>
          </w:p>
        </w:tc>
      </w:tr>
      <w:tr>
        <w:trPr/>
        <w:tc>
          <w:tcPr>
            <w:tcW w:w="1261"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4337"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4343" w:type="dxa"/>
            <w:tcBorders/>
          </w:tcPr>
          <w:p>
            <w:pPr>
              <w:pStyle w:val="TableContents"/>
              <w:bidi w:val="0"/>
              <w:spacing w:before="0" w:after="283"/>
              <w:jc w:val="left"/>
              <w:rPr/>
            </w:pPr>
            <w:r>
              <w:rPr/>
              <w:t>(Cust) (Minor)</w:t>
            </w:r>
          </w:p>
        </w:tc>
      </w:tr>
      <w:tr>
        <w:trPr>
          <w:trHeight w:val="120" w:hRule="atLeast"/>
        </w:trPr>
        <w:tc>
          <w:tcPr>
            <w:tcW w:w="1261" w:type="dxa"/>
            <w:tcBorders/>
            <w:vAlign w:val="center"/>
          </w:tcPr>
          <w:p>
            <w:pPr>
              <w:pStyle w:val="TableContents"/>
              <w:bidi w:val="0"/>
              <w:spacing w:before="0" w:after="283"/>
              <w:jc w:val="left"/>
              <w:rPr>
                <w:sz w:val="4"/>
                <w:szCs w:val="4"/>
              </w:rPr>
            </w:pPr>
            <w:r>
              <w:rPr>
                <w:sz w:val="4"/>
                <w:szCs w:val="4"/>
              </w:rPr>
            </w:r>
          </w:p>
        </w:tc>
        <w:tc>
          <w:tcPr>
            <w:tcW w:w="4469" w:type="dxa"/>
            <w:gridSpan w:val="2"/>
            <w:tcBorders/>
            <w:vAlign w:val="center"/>
          </w:tcPr>
          <w:p>
            <w:pPr>
              <w:pStyle w:val="TableContents"/>
              <w:bidi w:val="0"/>
              <w:spacing w:before="0" w:after="283"/>
              <w:jc w:val="left"/>
              <w:rPr>
                <w:sz w:val="4"/>
                <w:szCs w:val="4"/>
              </w:rPr>
            </w:pPr>
            <w:r>
              <w:rPr>
                <w:sz w:val="4"/>
                <w:szCs w:val="4"/>
              </w:rPr>
            </w:r>
          </w:p>
        </w:tc>
        <w:tc>
          <w:tcPr>
            <w:tcW w:w="4475" w:type="dxa"/>
            <w:gridSpan w:val="2"/>
            <w:tcBorders/>
            <w:vAlign w:val="center"/>
          </w:tcPr>
          <w:p>
            <w:pPr>
              <w:pStyle w:val="TableContents"/>
              <w:bidi w:val="0"/>
              <w:spacing w:before="0" w:after="283"/>
              <w:jc w:val="left"/>
              <w:rPr>
                <w:sz w:val="4"/>
                <w:szCs w:val="4"/>
              </w:rPr>
            </w:pPr>
            <w:r>
              <w:rPr>
                <w:sz w:val="4"/>
                <w:szCs w:val="4"/>
              </w:rPr>
            </w:r>
          </w:p>
        </w:tc>
      </w:tr>
      <w:tr>
        <w:trPr/>
        <w:tc>
          <w:tcPr>
            <w:tcW w:w="1261" w:type="dxa"/>
            <w:tcBorders/>
          </w:tcPr>
          <w:p>
            <w:pPr>
              <w:pStyle w:val="TableContents"/>
              <w:bidi w:val="0"/>
              <w:spacing w:before="0" w:after="283"/>
              <w:jc w:val="left"/>
              <w:rPr/>
            </w:pPr>
            <w:r>
              <w:rPr/>
              <w:t>JT TEN -</w:t>
            </w:r>
          </w:p>
        </w:tc>
        <w:tc>
          <w:tcPr>
            <w:tcW w:w="132" w:type="dxa"/>
            <w:tcBorders/>
            <w:vAlign w:val="bottom"/>
          </w:tcPr>
          <w:p>
            <w:pPr>
              <w:pStyle w:val="TableContents"/>
              <w:bidi w:val="0"/>
              <w:spacing w:before="0" w:after="283"/>
              <w:jc w:val="left"/>
              <w:rPr/>
            </w:pPr>
            <w:r>
              <w:rPr/>
              <w:t>  </w:t>
            </w:r>
          </w:p>
        </w:tc>
        <w:tc>
          <w:tcPr>
            <w:tcW w:w="4337" w:type="dxa"/>
            <w:tcBorders/>
          </w:tcPr>
          <w:p>
            <w:pPr>
              <w:pStyle w:val="TableContents"/>
              <w:bidi w:val="0"/>
              <w:spacing w:before="0" w:after="283"/>
              <w:jc w:val="left"/>
              <w:rPr/>
            </w:pPr>
            <w:r>
              <w:rPr/>
              <w:t>as joint tenants with right of survivorship and not as tenants in common</w:t>
            </w:r>
          </w:p>
        </w:tc>
        <w:tc>
          <w:tcPr>
            <w:tcW w:w="132" w:type="dxa"/>
            <w:tcBorders/>
            <w:vAlign w:val="bottom"/>
          </w:tcPr>
          <w:p>
            <w:pPr>
              <w:pStyle w:val="TableContents"/>
              <w:bidi w:val="0"/>
              <w:spacing w:before="0" w:after="283"/>
              <w:jc w:val="left"/>
              <w:rPr/>
            </w:pPr>
            <w:r>
              <w:rPr/>
              <w:t>  </w:t>
            </w:r>
          </w:p>
        </w:tc>
        <w:tc>
          <w:tcPr>
            <w:tcW w:w="4343" w:type="dxa"/>
            <w:tcBorders/>
          </w:tcPr>
          <w:p>
            <w:pPr>
              <w:pStyle w:val="TableContents"/>
              <w:bidi w:val="0"/>
              <w:spacing w:before="0" w:after="283"/>
              <w:jc w:val="left"/>
              <w:rPr/>
            </w:pPr>
            <w:r>
              <w:rPr/>
              <w:t>under Uniform Gifts/Transfers to CD Minors Act (State)</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 abbreviations, though not in the above list, may also be used.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__________ hereby assigns, conveys, sells and transfers unto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96"/>
        <w:gridCol w:w="102"/>
        <w:gridCol w:w="408"/>
        <w:gridCol w:w="102"/>
        <w:gridCol w:w="4797"/>
      </w:tblGrid>
      <w:tr>
        <w:trPr/>
        <w:tc>
          <w:tcPr>
            <w:tcW w:w="479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4796" w:type="dxa"/>
            <w:tcBorders>
              <w:top w:val="single" w:sz="2" w:space="0" w:color="000000"/>
            </w:tcBorders>
            <w:tcMar>
              <w:top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(Please print or typewrite name</w:t>
            </w:r>
          </w:p>
          <w:p>
            <w:pPr>
              <w:pStyle w:val="TableContents"/>
              <w:bidi w:val="0"/>
              <w:spacing w:before="0" w:after="20"/>
              <w:jc w:val="left"/>
              <w:rPr>
                <w:rFonts w:ascii="Times New Roman" w:hAnsi="Times New Roman"/>
                <w:sz w:val="20"/>
              </w:rPr>
            </w:pPr>
            <w:r>
              <w:rPr>
                <w:rFonts w:ascii="Times New Roman" w:hAnsi="Times New Roman"/>
                <w:sz w:val="20"/>
              </w:rPr>
              <w:t>and address of Assignee)</w:t>
            </w:r>
          </w:p>
        </w:tc>
        <w:tc>
          <w:tcPr>
            <w:tcW w:w="102"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2" w:type="dxa"/>
            <w:tcBorders>
              <w:top w:val="single" w:sz="2" w:space="0" w:color="000000"/>
            </w:tcBorders>
            <w:tcMar>
              <w:top w:w="28" w:type="dxa"/>
            </w:tcMar>
            <w:vAlign w:val="bottom"/>
          </w:tcPr>
          <w:p>
            <w:pPr>
              <w:pStyle w:val="TableContents"/>
              <w:bidi w:val="0"/>
              <w:spacing w:before="0" w:after="283"/>
              <w:jc w:val="left"/>
              <w:rPr/>
            </w:pPr>
            <w:r>
              <w:rPr/>
              <w:t> </w:t>
            </w:r>
          </w:p>
        </w:tc>
        <w:tc>
          <w:tcPr>
            <w:tcW w:w="4797" w:type="dxa"/>
            <w:tcBorders>
              <w:top w:val="single" w:sz="2" w:space="0" w:color="000000"/>
            </w:tcBorders>
            <w:tcMar>
              <w:top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(Please insert Social Security or other</w:t>
            </w:r>
          </w:p>
          <w:p>
            <w:pPr>
              <w:pStyle w:val="TableContents"/>
              <w:bidi w:val="0"/>
              <w:spacing w:before="0" w:after="20"/>
              <w:jc w:val="left"/>
              <w:rPr>
                <w:rFonts w:ascii="Times New Roman" w:hAnsi="Times New Roman"/>
                <w:sz w:val="20"/>
              </w:rPr>
            </w:pPr>
            <w:r>
              <w:rPr>
                <w:rFonts w:ascii="Times New Roman" w:hAnsi="Times New Roman"/>
                <w:sz w:val="20"/>
              </w:rPr>
              <w:t>identifying number of Assignee)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to the Agreement of Limited Partnership of </w:t>
      </w:r>
    </w:p>
    <w:p>
      <w:pPr>
        <w:pStyle w:val="TextBody"/>
        <w:bidi w:val="0"/>
        <w:spacing w:before="120" w:after="0"/>
        <w:jc w:val="center"/>
        <w:rPr>
          <w:rFonts w:ascii="Times New Roman" w:hAnsi="Times New Roman"/>
          <w:b/>
          <w:sz w:val="20"/>
        </w:rPr>
      </w:pPr>
      <w:r>
        <w:rPr>
          <w:rFonts w:ascii="Times New Roman" w:hAnsi="Times New Roman"/>
          <w:b/>
          <w:sz w:val="20"/>
        </w:rPr>
        <w:t xml:space="preserve">Energy Transfer LP Application for Transfer of Common Units </w:t>
      </w:r>
    </w:p>
    <w:p>
      <w:pPr>
        <w:pStyle w:val="TextBody"/>
        <w:bidi w:val="0"/>
        <w:spacing w:before="240" w:after="0"/>
        <w:jc w:val="left"/>
        <w:rPr>
          <w:rFonts w:ascii="Times New Roman" w:hAnsi="Times New Roman"/>
          <w:sz w:val="20"/>
        </w:rPr>
      </w:pPr>
      <w:r>
        <w:rPr>
          <w:rFonts w:ascii="Times New Roman" w:hAnsi="Times New Roman"/>
          <w:sz w:val="20"/>
        </w:rPr>
        <w:t xml:space="preserve">Following a FERC Notice, transferees of Common Units must execute and deliver this application to </w:t>
      </w:r>
      <w:r>
        <w:rPr>
          <w:rFonts w:ascii="Times New Roman" w:hAnsi="Times New Roman"/>
          <w:b/>
          <w:sz w:val="20"/>
        </w:rPr>
        <w:t>Energy Transfer LP, c/o LE GP, LLC, 8111 Westchester Drive, Dallas, Texas 75225; Attn: CFO</w:t>
      </w:r>
      <w:r>
        <w:rPr>
          <w:rFonts w:ascii="Times New Roman" w:hAnsi="Times New Roman"/>
          <w:sz w:val="20"/>
        </w:rPr>
        <w:t>, to be admitted as limited partners of Energy Transfer LP (the “</w:t>
      </w:r>
      <w:r>
        <w:rPr>
          <w:rFonts w:ascii="Times New Roman" w:hAnsi="Times New Roman"/>
          <w:i/>
          <w:sz w:val="20"/>
        </w:rPr>
        <w:t>Partnership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undersigned (“</w:t>
      </w:r>
      <w:r>
        <w:rPr>
          <w:rFonts w:ascii="Times New Roman" w:hAnsi="Times New Roman"/>
          <w:i/>
          <w:sz w:val="20"/>
        </w:rPr>
        <w:t>Assignee</w:t>
      </w:r>
      <w:r>
        <w:rPr>
          <w:rFonts w:ascii="Times New Roman" w:hAnsi="Times New Roman"/>
          <w:sz w:val="20"/>
        </w:rPr>
        <w:t>”) hereby (a) applies for transfer to the name of the Assignee the Common Units evidenced hereby, (b) requests admission as a Substituted Limited Partner and agrees to comply with and be bound by, and hereby executes, the Agreement of Limited Partnership of Energy Transfer LP, as amended, supplemented or restated to the date hereof (the “</w:t>
      </w:r>
      <w:r>
        <w:rPr>
          <w:rFonts w:ascii="Times New Roman" w:hAnsi="Times New Roman"/>
          <w:i/>
          <w:sz w:val="20"/>
        </w:rPr>
        <w:t>Partnership Agreement</w:t>
      </w:r>
      <w:r>
        <w:rPr>
          <w:rFonts w:ascii="Times New Roman" w:hAnsi="Times New Roman"/>
          <w:sz w:val="20"/>
        </w:rPr>
        <w:t xml:space="preserve">”), (c) represents and warrants that the Assignee has all right, power and authority and, if an individual, the capacity necessary to enter into the Partnership Agreement, (d) appoints the General Partner of the Partnership and, if a Liquidator shall be appointed, the Liquidator of the Partnership as the Assignee’s attorney-in-fact to execute, swear to, acknowledge and file any document, including the Partnership Agreement and any amendment thereto and the Certificate of Formation of the Partnership and any amendment thereto, necessary or appropriate for the Assignee’s admission as a Substituted Limited Partner and as a party to the Partnership Agreement, (e) gives the powers of attorney provided for in the Partnership Agreement, and (f) makes the waivers and gives the consents and approvals contained in the Partnership Agreement. Capitalized terms not defined herein have the meanings assigned to such terms in the Partnership Agreement. This application constitutes a Taxation Certification, as defined in the Partnership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51"/>
        <w:gridCol w:w="103"/>
        <w:gridCol w:w="2690"/>
        <w:gridCol w:w="128"/>
        <w:gridCol w:w="2833"/>
      </w:tblGrid>
      <w:tr>
        <w:trPr/>
        <w:tc>
          <w:tcPr>
            <w:tcW w:w="445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r>
      <w:tr>
        <w:trPr/>
        <w:tc>
          <w:tcPr>
            <w:tcW w:w="4451" w:type="dxa"/>
            <w:tcBorders/>
            <w:vAlign w:val="bottom"/>
          </w:tcPr>
          <w:p>
            <w:pPr>
              <w:pStyle w:val="TableContents"/>
              <w:bidi w:val="0"/>
              <w:spacing w:before="0" w:after="283"/>
              <w:jc w:val="left"/>
              <w:rPr/>
            </w:pPr>
            <w:r>
              <w:rPr/>
              <w:t>Date: </w:t>
            </w:r>
            <w:r>
              <w:rPr>
                <w:u w:val="single"/>
              </w:rPr>
              <w:t>                    </w:t>
            </w:r>
          </w:p>
        </w:tc>
        <w:tc>
          <w:tcPr>
            <w:tcW w:w="103" w:type="dxa"/>
            <w:tcBorders/>
            <w:vAlign w:val="bottom"/>
          </w:tcPr>
          <w:p>
            <w:pPr>
              <w:pStyle w:val="TableContents"/>
              <w:bidi w:val="0"/>
              <w:spacing w:before="0" w:after="283"/>
              <w:jc w:val="left"/>
              <w:rPr/>
            </w:pPr>
            <w:r>
              <w:rPr/>
              <w:t> </w:t>
            </w:r>
          </w:p>
        </w:tc>
        <w:tc>
          <w:tcPr>
            <w:tcW w:w="2690"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833" w:type="dxa"/>
            <w:tcBorders/>
            <w:vAlign w:val="bottom"/>
          </w:tcPr>
          <w:p>
            <w:pPr>
              <w:pStyle w:val="TableContents"/>
              <w:pBdr>
                <w:bottom w:val="single" w:sz="2" w:space="1" w:color="000000"/>
              </w:pBdr>
              <w:bidi w:val="0"/>
              <w:spacing w:before="0" w:after="20"/>
              <w:jc w:val="left"/>
              <w:rPr/>
            </w:pPr>
            <w:r>
              <w:rPr/>
              <w:t> </w:t>
            </w:r>
          </w:p>
        </w:tc>
      </w:tr>
      <w:tr>
        <w:trPr/>
        <w:tc>
          <w:tcPr>
            <w:tcW w:w="4451"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2690"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833" w:type="dxa"/>
            <w:tcBorders/>
            <w:vAlign w:val="bottom"/>
          </w:tcPr>
          <w:p>
            <w:pPr>
              <w:pStyle w:val="TableContents"/>
              <w:bidi w:val="0"/>
              <w:spacing w:before="0" w:after="283"/>
              <w:jc w:val="left"/>
              <w:rPr/>
            </w:pPr>
            <w:r>
              <w:rPr/>
              <w:t>Signature of Assignee</w:t>
            </w:r>
          </w:p>
        </w:tc>
      </w:tr>
      <w:tr>
        <w:trPr>
          <w:trHeight w:val="120" w:hRule="atLeast"/>
        </w:trPr>
        <w:tc>
          <w:tcPr>
            <w:tcW w:w="4451" w:type="dxa"/>
            <w:tcBorders/>
            <w:vAlign w:val="center"/>
          </w:tcPr>
          <w:p>
            <w:pPr>
              <w:pStyle w:val="TableContents"/>
              <w:bidi w:val="0"/>
              <w:spacing w:before="0" w:after="283"/>
              <w:jc w:val="left"/>
              <w:rPr>
                <w:sz w:val="4"/>
                <w:szCs w:val="4"/>
              </w:rPr>
            </w:pPr>
            <w:r>
              <w:rPr>
                <w:sz w:val="4"/>
                <w:szCs w:val="4"/>
              </w:rPr>
            </w:r>
          </w:p>
        </w:tc>
        <w:tc>
          <w:tcPr>
            <w:tcW w:w="2793" w:type="dxa"/>
            <w:gridSpan w:val="2"/>
            <w:tcBorders/>
            <w:vAlign w:val="center"/>
          </w:tcPr>
          <w:p>
            <w:pPr>
              <w:pStyle w:val="TableContents"/>
              <w:bidi w:val="0"/>
              <w:spacing w:before="0" w:after="283"/>
              <w:jc w:val="left"/>
              <w:rPr>
                <w:sz w:val="4"/>
                <w:szCs w:val="4"/>
              </w:rPr>
            </w:pPr>
            <w:r>
              <w:rPr>
                <w:sz w:val="4"/>
                <w:szCs w:val="4"/>
              </w:rPr>
            </w:r>
          </w:p>
        </w:tc>
        <w:tc>
          <w:tcPr>
            <w:tcW w:w="2961" w:type="dxa"/>
            <w:gridSpan w:val="2"/>
            <w:tcBorders/>
            <w:vAlign w:val="center"/>
          </w:tcPr>
          <w:p>
            <w:pPr>
              <w:pStyle w:val="TableContents"/>
              <w:bidi w:val="0"/>
              <w:spacing w:before="0" w:after="283"/>
              <w:jc w:val="left"/>
              <w:rPr>
                <w:sz w:val="4"/>
                <w:szCs w:val="4"/>
              </w:rPr>
            </w:pPr>
            <w:r>
              <w:rPr>
                <w:sz w:val="4"/>
                <w:szCs w:val="4"/>
              </w:rPr>
            </w:r>
          </w:p>
        </w:tc>
      </w:tr>
      <w:tr>
        <w:trPr/>
        <w:tc>
          <w:tcPr>
            <w:tcW w:w="4451" w:type="dxa"/>
            <w:tcBorders/>
            <w:vAlign w:val="bottom"/>
          </w:tcPr>
          <w:p>
            <w:pPr>
              <w:pStyle w:val="TableContents"/>
              <w:pBdr>
                <w:bottom w:val="single" w:sz="2" w:space="1" w:color="000000"/>
              </w:pBdr>
              <w:bidi w:val="0"/>
              <w:spacing w:before="0" w:after="20"/>
              <w:jc w:val="left"/>
              <w:rPr/>
            </w:pPr>
            <w:r>
              <w:rPr/>
              <w:t> </w:t>
            </w:r>
          </w:p>
        </w:tc>
        <w:tc>
          <w:tcPr>
            <w:tcW w:w="103" w:type="dxa"/>
            <w:tcBorders/>
            <w:vAlign w:val="bottom"/>
          </w:tcPr>
          <w:p>
            <w:pPr>
              <w:pStyle w:val="TableContents"/>
              <w:bidi w:val="0"/>
              <w:spacing w:before="0" w:after="283"/>
              <w:jc w:val="left"/>
              <w:rPr/>
            </w:pPr>
            <w:r>
              <w:rPr/>
              <w:t> </w:t>
            </w:r>
          </w:p>
        </w:tc>
        <w:tc>
          <w:tcPr>
            <w:tcW w:w="2690"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833" w:type="dxa"/>
            <w:tcBorders/>
            <w:vAlign w:val="bottom"/>
          </w:tcPr>
          <w:p>
            <w:pPr>
              <w:pStyle w:val="TableContents"/>
              <w:pBdr>
                <w:bottom w:val="single" w:sz="2" w:space="1" w:color="000000"/>
              </w:pBdr>
              <w:bidi w:val="0"/>
              <w:spacing w:before="0" w:after="20"/>
              <w:jc w:val="left"/>
              <w:rPr/>
            </w:pPr>
            <w:r>
              <w:rPr/>
              <w:t> </w:t>
            </w:r>
          </w:p>
        </w:tc>
      </w:tr>
      <w:tr>
        <w:trPr/>
        <w:tc>
          <w:tcPr>
            <w:tcW w:w="4451" w:type="dxa"/>
            <w:tcBorders/>
            <w:vAlign w:val="bottom"/>
          </w:tcPr>
          <w:p>
            <w:pPr>
              <w:pStyle w:val="TableContents"/>
              <w:bidi w:val="0"/>
              <w:spacing w:before="0" w:after="283"/>
              <w:jc w:val="left"/>
              <w:rPr/>
            </w:pPr>
            <w:r>
              <w:rPr/>
              <w:t>Social Security or other identifying number</w:t>
            </w:r>
          </w:p>
        </w:tc>
        <w:tc>
          <w:tcPr>
            <w:tcW w:w="103" w:type="dxa"/>
            <w:tcBorders/>
            <w:vAlign w:val="bottom"/>
          </w:tcPr>
          <w:p>
            <w:pPr>
              <w:pStyle w:val="TableContents"/>
              <w:bidi w:val="0"/>
              <w:spacing w:before="0" w:after="283"/>
              <w:jc w:val="left"/>
              <w:rPr/>
            </w:pPr>
            <w:r>
              <w:rPr/>
              <w:t> </w:t>
            </w:r>
          </w:p>
        </w:tc>
        <w:tc>
          <w:tcPr>
            <w:tcW w:w="2690"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833" w:type="dxa"/>
            <w:tcBorders/>
            <w:vAlign w:val="bottom"/>
          </w:tcPr>
          <w:p>
            <w:pPr>
              <w:pStyle w:val="TableContents"/>
              <w:bidi w:val="0"/>
              <w:spacing w:before="0" w:after="283"/>
              <w:jc w:val="left"/>
              <w:rPr/>
            </w:pPr>
            <w:r>
              <w:rPr/>
              <w:t>Name and Address of Assignee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120" w:after="0"/>
        <w:jc w:val="center"/>
        <w:rPr>
          <w:rFonts w:ascii="Times New Roman" w:hAnsi="Times New Roman"/>
          <w:b/>
          <w:sz w:val="20"/>
        </w:rPr>
      </w:pPr>
      <w:r>
        <w:rPr>
          <w:rFonts w:ascii="Times New Roman" w:hAnsi="Times New Roman"/>
          <w:b/>
          <w:sz w:val="20"/>
        </w:rPr>
        <w:t xml:space="preserve">Taxation Certification </w:t>
      </w:r>
    </w:p>
    <w:p>
      <w:pPr>
        <w:pStyle w:val="TextBody"/>
        <w:bidi w:val="0"/>
        <w:spacing w:before="240" w:after="0"/>
        <w:jc w:val="left"/>
        <w:rPr>
          <w:rFonts w:ascii="Times New Roman" w:hAnsi="Times New Roman"/>
          <w:sz w:val="20"/>
        </w:rPr>
      </w:pPr>
      <w:r>
        <w:rPr>
          <w:rFonts w:ascii="Times New Roman" w:hAnsi="Times New Roman"/>
          <w:sz w:val="20"/>
        </w:rPr>
        <w:t>The undersigned hereby certifies to Energy Transfer LP (the “</w:t>
      </w:r>
      <w:r>
        <w:rPr>
          <w:rFonts w:ascii="Times New Roman" w:hAnsi="Times New Roman"/>
          <w:i/>
          <w:sz w:val="20"/>
        </w:rPr>
        <w:t>Partnership</w:t>
      </w:r>
      <w:r>
        <w:rPr>
          <w:rFonts w:ascii="Times New Roman" w:hAnsi="Times New Roman"/>
          <w:sz w:val="20"/>
        </w:rPr>
        <w:t xml:space="preserve">”) that the Assignee (including to the best of Assignee’s knowledge, any person for whom the Assignee will hold the Common Units) is an Eligible Holder.1 Type of Assignee (check one):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9"/>
        <w:gridCol w:w="121"/>
        <w:gridCol w:w="3690"/>
        <w:gridCol w:w="103"/>
        <w:gridCol w:w="240"/>
        <w:gridCol w:w="103"/>
        <w:gridCol w:w="1841"/>
        <w:gridCol w:w="120"/>
        <w:gridCol w:w="240"/>
        <w:gridCol w:w="120"/>
        <w:gridCol w:w="3388"/>
      </w:tblGrid>
      <w:tr>
        <w:trPr/>
        <w:tc>
          <w:tcPr>
            <w:tcW w:w="23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69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88" w:type="dxa"/>
            <w:tcBorders/>
            <w:vAlign w:val="center"/>
          </w:tcPr>
          <w:p>
            <w:pPr>
              <w:pStyle w:val="TableContents"/>
              <w:bidi w:val="0"/>
              <w:spacing w:before="0" w:after="283"/>
              <w:jc w:val="left"/>
              <w:rPr>
                <w:sz w:val="4"/>
                <w:szCs w:val="4"/>
              </w:rPr>
            </w:pPr>
            <w:r>
              <w:rPr>
                <w:sz w:val="4"/>
                <w:szCs w:val="4"/>
              </w:rPr>
            </w:r>
          </w:p>
        </w:tc>
      </w:tr>
      <w:tr>
        <w:trPr/>
        <w:tc>
          <w:tcPr>
            <w:tcW w:w="239"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3690" w:type="dxa"/>
            <w:tcBorders/>
          </w:tcPr>
          <w:p>
            <w:pPr>
              <w:pStyle w:val="TableContents"/>
              <w:bidi w:val="0"/>
              <w:spacing w:before="0" w:after="283"/>
              <w:jc w:val="left"/>
              <w:rPr/>
            </w:pPr>
            <w:r>
              <w:rPr/>
              <w:t>Individual</w:t>
            </w:r>
          </w:p>
        </w:tc>
        <w:tc>
          <w:tcPr>
            <w:tcW w:w="103" w:type="dxa"/>
            <w:tcBorders/>
            <w:vAlign w:val="bottom"/>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w:t>
            </w:r>
          </w:p>
        </w:tc>
        <w:tc>
          <w:tcPr>
            <w:tcW w:w="103" w:type="dxa"/>
            <w:tcBorders/>
            <w:vAlign w:val="bottom"/>
          </w:tcPr>
          <w:p>
            <w:pPr>
              <w:pStyle w:val="TableContents"/>
              <w:bidi w:val="0"/>
              <w:spacing w:before="0" w:after="283"/>
              <w:jc w:val="left"/>
              <w:rPr/>
            </w:pPr>
            <w:r>
              <w:rPr/>
              <w:t> </w:t>
            </w:r>
          </w:p>
        </w:tc>
        <w:tc>
          <w:tcPr>
            <w:tcW w:w="1841" w:type="dxa"/>
            <w:tcBorders/>
          </w:tcPr>
          <w:p>
            <w:pPr>
              <w:pStyle w:val="TableContents"/>
              <w:bidi w:val="0"/>
              <w:spacing w:before="0" w:after="283"/>
              <w:jc w:val="left"/>
              <w:rPr/>
            </w:pPr>
            <w:r>
              <w:rPr/>
              <w:t>Partnership</w:t>
            </w:r>
          </w:p>
        </w:tc>
        <w:tc>
          <w:tcPr>
            <w:tcW w:w="120" w:type="dxa"/>
            <w:tcBorders/>
            <w:vAlign w:val="bottom"/>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3388" w:type="dxa"/>
            <w:tcBorders/>
          </w:tcPr>
          <w:p>
            <w:pPr>
              <w:pStyle w:val="TableContents"/>
              <w:bidi w:val="0"/>
              <w:spacing w:before="0" w:after="283"/>
              <w:jc w:val="left"/>
              <w:rPr/>
            </w:pPr>
            <w:r>
              <w:rPr/>
              <w:t>Corporation (Subchapter C)</w:t>
            </w:r>
          </w:p>
        </w:tc>
      </w:tr>
      <w:tr>
        <w:trPr>
          <w:trHeight w:val="120" w:hRule="atLeast"/>
        </w:trPr>
        <w:tc>
          <w:tcPr>
            <w:tcW w:w="239" w:type="dxa"/>
            <w:tcBorders/>
            <w:vAlign w:val="center"/>
          </w:tcPr>
          <w:p>
            <w:pPr>
              <w:pStyle w:val="TableContents"/>
              <w:bidi w:val="0"/>
              <w:spacing w:before="0" w:after="283"/>
              <w:jc w:val="left"/>
              <w:rPr>
                <w:sz w:val="4"/>
                <w:szCs w:val="4"/>
              </w:rPr>
            </w:pPr>
            <w:r>
              <w:rPr>
                <w:sz w:val="4"/>
                <w:szCs w:val="4"/>
              </w:rPr>
            </w:r>
          </w:p>
        </w:tc>
        <w:tc>
          <w:tcPr>
            <w:tcW w:w="3811" w:type="dxa"/>
            <w:gridSpan w:val="2"/>
            <w:tcBorders/>
            <w:vAlign w:val="center"/>
          </w:tcPr>
          <w:p>
            <w:pPr>
              <w:pStyle w:val="TableContents"/>
              <w:bidi w:val="0"/>
              <w:spacing w:before="0" w:after="283"/>
              <w:jc w:val="left"/>
              <w:rPr>
                <w:sz w:val="4"/>
                <w:szCs w:val="4"/>
              </w:rPr>
            </w:pPr>
            <w:r>
              <w:rPr>
                <w:sz w:val="4"/>
                <w:szCs w:val="4"/>
              </w:rPr>
            </w:r>
          </w:p>
        </w:tc>
        <w:tc>
          <w:tcPr>
            <w:tcW w:w="343" w:type="dxa"/>
            <w:gridSpan w:val="2"/>
            <w:tcBorders/>
            <w:vAlign w:val="center"/>
          </w:tcPr>
          <w:p>
            <w:pPr>
              <w:pStyle w:val="TableContents"/>
              <w:bidi w:val="0"/>
              <w:spacing w:before="0" w:after="283"/>
              <w:jc w:val="left"/>
              <w:rPr>
                <w:sz w:val="4"/>
                <w:szCs w:val="4"/>
              </w:rPr>
            </w:pPr>
            <w:r>
              <w:rPr>
                <w:sz w:val="4"/>
                <w:szCs w:val="4"/>
              </w:rPr>
            </w:r>
          </w:p>
        </w:tc>
        <w:tc>
          <w:tcPr>
            <w:tcW w:w="1944" w:type="dxa"/>
            <w:gridSpan w:val="2"/>
            <w:tcBorders/>
            <w:vAlign w:val="center"/>
          </w:tcPr>
          <w:p>
            <w:pPr>
              <w:pStyle w:val="TableContents"/>
              <w:bidi w:val="0"/>
              <w:spacing w:before="0" w:after="283"/>
              <w:jc w:val="left"/>
              <w:rPr>
                <w:sz w:val="4"/>
                <w:szCs w:val="4"/>
              </w:rPr>
            </w:pPr>
            <w:r>
              <w:rPr>
                <w:sz w:val="4"/>
                <w:szCs w:val="4"/>
              </w:rPr>
            </w:r>
          </w:p>
        </w:tc>
        <w:tc>
          <w:tcPr>
            <w:tcW w:w="360" w:type="dxa"/>
            <w:gridSpan w:val="2"/>
            <w:tcBorders/>
            <w:vAlign w:val="center"/>
          </w:tcPr>
          <w:p>
            <w:pPr>
              <w:pStyle w:val="TableContents"/>
              <w:bidi w:val="0"/>
              <w:spacing w:before="0" w:after="283"/>
              <w:jc w:val="left"/>
              <w:rPr>
                <w:sz w:val="4"/>
                <w:szCs w:val="4"/>
              </w:rPr>
            </w:pPr>
            <w:r>
              <w:rPr>
                <w:sz w:val="4"/>
                <w:szCs w:val="4"/>
              </w:rPr>
            </w:r>
          </w:p>
        </w:tc>
        <w:tc>
          <w:tcPr>
            <w:tcW w:w="3508" w:type="dxa"/>
            <w:gridSpan w:val="2"/>
            <w:tcBorders/>
            <w:vAlign w:val="center"/>
          </w:tcPr>
          <w:p>
            <w:pPr>
              <w:pStyle w:val="TableContents"/>
              <w:bidi w:val="0"/>
              <w:spacing w:before="0" w:after="283"/>
              <w:jc w:val="left"/>
              <w:rPr>
                <w:sz w:val="4"/>
                <w:szCs w:val="4"/>
              </w:rPr>
            </w:pPr>
            <w:r>
              <w:rPr>
                <w:sz w:val="4"/>
                <w:szCs w:val="4"/>
              </w:rPr>
            </w:r>
          </w:p>
        </w:tc>
      </w:tr>
      <w:tr>
        <w:trPr/>
        <w:tc>
          <w:tcPr>
            <w:tcW w:w="239"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3690" w:type="dxa"/>
            <w:tcBorders/>
          </w:tcPr>
          <w:p>
            <w:pPr>
              <w:pStyle w:val="TableContents"/>
              <w:bidi w:val="0"/>
              <w:spacing w:before="0" w:after="283"/>
              <w:jc w:val="left"/>
              <w:rPr/>
            </w:pPr>
            <w:r>
              <w:rPr/>
              <w:t>Corporation (Subchapter S)</w:t>
            </w:r>
          </w:p>
        </w:tc>
        <w:tc>
          <w:tcPr>
            <w:tcW w:w="103" w:type="dxa"/>
            <w:tcBorders/>
            <w:vAlign w:val="bottom"/>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w:t>
            </w:r>
          </w:p>
        </w:tc>
        <w:tc>
          <w:tcPr>
            <w:tcW w:w="103" w:type="dxa"/>
            <w:tcBorders/>
            <w:vAlign w:val="bottom"/>
          </w:tcPr>
          <w:p>
            <w:pPr>
              <w:pStyle w:val="TableContents"/>
              <w:bidi w:val="0"/>
              <w:spacing w:before="0" w:after="283"/>
              <w:jc w:val="left"/>
              <w:rPr/>
            </w:pPr>
            <w:r>
              <w:rPr/>
              <w:t> </w:t>
            </w:r>
          </w:p>
        </w:tc>
        <w:tc>
          <w:tcPr>
            <w:tcW w:w="184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3388" w:type="dxa"/>
            <w:tcBorders/>
          </w:tcPr>
          <w:p>
            <w:pPr>
              <w:pStyle w:val="TableContents"/>
              <w:bidi w:val="0"/>
              <w:spacing w:before="0" w:after="283"/>
              <w:jc w:val="left"/>
              <w:rPr/>
            </w:pPr>
            <w:r>
              <w:rPr/>
              <w:t>Pension Fund, IRA or KEOGH Plan</w:t>
            </w:r>
          </w:p>
        </w:tc>
      </w:tr>
      <w:tr>
        <w:trPr>
          <w:trHeight w:val="120" w:hRule="atLeast"/>
        </w:trPr>
        <w:tc>
          <w:tcPr>
            <w:tcW w:w="239" w:type="dxa"/>
            <w:tcBorders/>
            <w:vAlign w:val="center"/>
          </w:tcPr>
          <w:p>
            <w:pPr>
              <w:pStyle w:val="TableContents"/>
              <w:bidi w:val="0"/>
              <w:spacing w:before="0" w:after="283"/>
              <w:jc w:val="left"/>
              <w:rPr>
                <w:sz w:val="4"/>
                <w:szCs w:val="4"/>
              </w:rPr>
            </w:pPr>
            <w:r>
              <w:rPr>
                <w:sz w:val="4"/>
                <w:szCs w:val="4"/>
              </w:rPr>
            </w:r>
          </w:p>
        </w:tc>
        <w:tc>
          <w:tcPr>
            <w:tcW w:w="3811" w:type="dxa"/>
            <w:gridSpan w:val="2"/>
            <w:tcBorders/>
            <w:vAlign w:val="center"/>
          </w:tcPr>
          <w:p>
            <w:pPr>
              <w:pStyle w:val="TableContents"/>
              <w:bidi w:val="0"/>
              <w:spacing w:before="0" w:after="283"/>
              <w:jc w:val="left"/>
              <w:rPr>
                <w:sz w:val="4"/>
                <w:szCs w:val="4"/>
              </w:rPr>
            </w:pPr>
            <w:r>
              <w:rPr>
                <w:sz w:val="4"/>
                <w:szCs w:val="4"/>
              </w:rPr>
            </w:r>
          </w:p>
        </w:tc>
        <w:tc>
          <w:tcPr>
            <w:tcW w:w="343" w:type="dxa"/>
            <w:gridSpan w:val="2"/>
            <w:tcBorders/>
            <w:vAlign w:val="center"/>
          </w:tcPr>
          <w:p>
            <w:pPr>
              <w:pStyle w:val="TableContents"/>
              <w:bidi w:val="0"/>
              <w:spacing w:before="0" w:after="283"/>
              <w:jc w:val="left"/>
              <w:rPr>
                <w:sz w:val="4"/>
                <w:szCs w:val="4"/>
              </w:rPr>
            </w:pPr>
            <w:r>
              <w:rPr>
                <w:sz w:val="4"/>
                <w:szCs w:val="4"/>
              </w:rPr>
            </w:r>
          </w:p>
        </w:tc>
        <w:tc>
          <w:tcPr>
            <w:tcW w:w="1944" w:type="dxa"/>
            <w:gridSpan w:val="2"/>
            <w:tcBorders/>
            <w:vAlign w:val="center"/>
          </w:tcPr>
          <w:p>
            <w:pPr>
              <w:pStyle w:val="TableContents"/>
              <w:bidi w:val="0"/>
              <w:spacing w:before="0" w:after="283"/>
              <w:jc w:val="left"/>
              <w:rPr>
                <w:sz w:val="4"/>
                <w:szCs w:val="4"/>
              </w:rPr>
            </w:pPr>
            <w:r>
              <w:rPr>
                <w:sz w:val="4"/>
                <w:szCs w:val="4"/>
              </w:rPr>
            </w:r>
          </w:p>
        </w:tc>
        <w:tc>
          <w:tcPr>
            <w:tcW w:w="360" w:type="dxa"/>
            <w:gridSpan w:val="2"/>
            <w:tcBorders/>
            <w:vAlign w:val="center"/>
          </w:tcPr>
          <w:p>
            <w:pPr>
              <w:pStyle w:val="TableContents"/>
              <w:bidi w:val="0"/>
              <w:spacing w:before="0" w:after="283"/>
              <w:jc w:val="left"/>
              <w:rPr>
                <w:sz w:val="4"/>
                <w:szCs w:val="4"/>
              </w:rPr>
            </w:pPr>
            <w:r>
              <w:rPr>
                <w:sz w:val="4"/>
                <w:szCs w:val="4"/>
              </w:rPr>
            </w:r>
          </w:p>
        </w:tc>
        <w:tc>
          <w:tcPr>
            <w:tcW w:w="3508" w:type="dxa"/>
            <w:gridSpan w:val="2"/>
            <w:tcBorders/>
            <w:vAlign w:val="center"/>
          </w:tcPr>
          <w:p>
            <w:pPr>
              <w:pStyle w:val="TableContents"/>
              <w:bidi w:val="0"/>
              <w:spacing w:before="0" w:after="283"/>
              <w:jc w:val="left"/>
              <w:rPr>
                <w:sz w:val="4"/>
                <w:szCs w:val="4"/>
              </w:rPr>
            </w:pPr>
            <w:r>
              <w:rPr>
                <w:sz w:val="4"/>
                <w:szCs w:val="4"/>
              </w:rPr>
            </w:r>
          </w:p>
        </w:tc>
      </w:tr>
      <w:tr>
        <w:trPr/>
        <w:tc>
          <w:tcPr>
            <w:tcW w:w="239"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3690" w:type="dxa"/>
            <w:tcBorders/>
          </w:tcPr>
          <w:p>
            <w:pPr>
              <w:pStyle w:val="TableContents"/>
              <w:bidi w:val="0"/>
              <w:spacing w:before="0" w:after="283"/>
              <w:jc w:val="left"/>
              <w:rPr/>
            </w:pPr>
            <w:r>
              <w:rPr/>
              <w:t>Tax-exempt entities such as municipalities</w:t>
            </w:r>
          </w:p>
        </w:tc>
        <w:tc>
          <w:tcPr>
            <w:tcW w:w="103" w:type="dxa"/>
            <w:tcBorders/>
            <w:vAlign w:val="bottom"/>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w:t>
            </w:r>
          </w:p>
        </w:tc>
        <w:tc>
          <w:tcPr>
            <w:tcW w:w="103" w:type="dxa"/>
            <w:tcBorders/>
            <w:vAlign w:val="bottom"/>
          </w:tcPr>
          <w:p>
            <w:pPr>
              <w:pStyle w:val="TableContents"/>
              <w:bidi w:val="0"/>
              <w:spacing w:before="0" w:after="283"/>
              <w:jc w:val="left"/>
              <w:rPr/>
            </w:pPr>
            <w:r>
              <w:rPr/>
              <w:t> </w:t>
            </w:r>
          </w:p>
        </w:tc>
        <w:tc>
          <w:tcPr>
            <w:tcW w:w="184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3388" w:type="dxa"/>
            <w:tcBorders/>
          </w:tcPr>
          <w:p>
            <w:pPr>
              <w:pStyle w:val="TableContents"/>
              <w:bidi w:val="0"/>
              <w:spacing w:before="0" w:after="283"/>
              <w:jc w:val="left"/>
              <w:rPr>
                <w:sz w:val="4"/>
                <w:szCs w:val="4"/>
              </w:rPr>
            </w:pPr>
            <w:r>
              <w:rPr>
                <w:sz w:val="4"/>
                <w:szCs w:val="4"/>
              </w:rPr>
            </w:r>
          </w:p>
        </w:tc>
      </w:tr>
      <w:tr>
        <w:trPr>
          <w:trHeight w:val="120" w:hRule="atLeast"/>
        </w:trPr>
        <w:tc>
          <w:tcPr>
            <w:tcW w:w="239" w:type="dxa"/>
            <w:tcBorders/>
            <w:vAlign w:val="center"/>
          </w:tcPr>
          <w:p>
            <w:pPr>
              <w:pStyle w:val="TableContents"/>
              <w:bidi w:val="0"/>
              <w:spacing w:before="0" w:after="283"/>
              <w:jc w:val="left"/>
              <w:rPr>
                <w:sz w:val="4"/>
                <w:szCs w:val="4"/>
              </w:rPr>
            </w:pPr>
            <w:r>
              <w:rPr>
                <w:sz w:val="4"/>
                <w:szCs w:val="4"/>
              </w:rPr>
            </w:r>
          </w:p>
        </w:tc>
        <w:tc>
          <w:tcPr>
            <w:tcW w:w="3811" w:type="dxa"/>
            <w:gridSpan w:val="2"/>
            <w:tcBorders/>
            <w:vAlign w:val="center"/>
          </w:tcPr>
          <w:p>
            <w:pPr>
              <w:pStyle w:val="TableContents"/>
              <w:bidi w:val="0"/>
              <w:spacing w:before="0" w:after="283"/>
              <w:jc w:val="left"/>
              <w:rPr>
                <w:sz w:val="4"/>
                <w:szCs w:val="4"/>
              </w:rPr>
            </w:pPr>
            <w:r>
              <w:rPr>
                <w:sz w:val="4"/>
                <w:szCs w:val="4"/>
              </w:rPr>
            </w:r>
          </w:p>
        </w:tc>
        <w:tc>
          <w:tcPr>
            <w:tcW w:w="343" w:type="dxa"/>
            <w:gridSpan w:val="2"/>
            <w:tcBorders/>
            <w:vAlign w:val="center"/>
          </w:tcPr>
          <w:p>
            <w:pPr>
              <w:pStyle w:val="TableContents"/>
              <w:bidi w:val="0"/>
              <w:spacing w:before="0" w:after="283"/>
              <w:jc w:val="left"/>
              <w:rPr>
                <w:sz w:val="4"/>
                <w:szCs w:val="4"/>
              </w:rPr>
            </w:pPr>
            <w:r>
              <w:rPr>
                <w:sz w:val="4"/>
                <w:szCs w:val="4"/>
              </w:rPr>
            </w:r>
          </w:p>
        </w:tc>
        <w:tc>
          <w:tcPr>
            <w:tcW w:w="1944" w:type="dxa"/>
            <w:gridSpan w:val="2"/>
            <w:tcBorders/>
            <w:vAlign w:val="center"/>
          </w:tcPr>
          <w:p>
            <w:pPr>
              <w:pStyle w:val="TableContents"/>
              <w:bidi w:val="0"/>
              <w:spacing w:before="0" w:after="283"/>
              <w:jc w:val="left"/>
              <w:rPr>
                <w:sz w:val="4"/>
                <w:szCs w:val="4"/>
              </w:rPr>
            </w:pPr>
            <w:r>
              <w:rPr>
                <w:sz w:val="4"/>
                <w:szCs w:val="4"/>
              </w:rPr>
            </w:r>
          </w:p>
        </w:tc>
        <w:tc>
          <w:tcPr>
            <w:tcW w:w="360" w:type="dxa"/>
            <w:gridSpan w:val="2"/>
            <w:tcBorders/>
            <w:vAlign w:val="center"/>
          </w:tcPr>
          <w:p>
            <w:pPr>
              <w:pStyle w:val="TableContents"/>
              <w:bidi w:val="0"/>
              <w:spacing w:before="0" w:after="283"/>
              <w:jc w:val="left"/>
              <w:rPr>
                <w:sz w:val="4"/>
                <w:szCs w:val="4"/>
              </w:rPr>
            </w:pPr>
            <w:r>
              <w:rPr>
                <w:sz w:val="4"/>
                <w:szCs w:val="4"/>
              </w:rPr>
            </w:r>
          </w:p>
        </w:tc>
        <w:tc>
          <w:tcPr>
            <w:tcW w:w="3508" w:type="dxa"/>
            <w:gridSpan w:val="2"/>
            <w:tcBorders/>
            <w:vAlign w:val="center"/>
          </w:tcPr>
          <w:p>
            <w:pPr>
              <w:pStyle w:val="TableContents"/>
              <w:bidi w:val="0"/>
              <w:spacing w:before="0" w:after="283"/>
              <w:jc w:val="left"/>
              <w:rPr>
                <w:sz w:val="4"/>
                <w:szCs w:val="4"/>
              </w:rPr>
            </w:pPr>
            <w:r>
              <w:rPr>
                <w:sz w:val="4"/>
                <w:szCs w:val="4"/>
              </w:rPr>
            </w:r>
          </w:p>
        </w:tc>
      </w:tr>
      <w:tr>
        <w:trPr/>
        <w:tc>
          <w:tcPr>
            <w:tcW w:w="239"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3690" w:type="dxa"/>
            <w:tcBorders/>
          </w:tcPr>
          <w:p>
            <w:pPr>
              <w:pStyle w:val="TableContents"/>
              <w:bidi w:val="0"/>
              <w:spacing w:before="0" w:after="283"/>
              <w:jc w:val="left"/>
              <w:rPr/>
            </w:pPr>
            <w:r>
              <w:rPr/>
              <w:t>Trust</w:t>
            </w:r>
          </w:p>
        </w:tc>
        <w:tc>
          <w:tcPr>
            <w:tcW w:w="103" w:type="dxa"/>
            <w:tcBorders/>
            <w:vAlign w:val="bottom"/>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w:t>
            </w:r>
          </w:p>
        </w:tc>
        <w:tc>
          <w:tcPr>
            <w:tcW w:w="103" w:type="dxa"/>
            <w:tcBorders/>
            <w:vAlign w:val="bottom"/>
          </w:tcPr>
          <w:p>
            <w:pPr>
              <w:pStyle w:val="TableContents"/>
              <w:bidi w:val="0"/>
              <w:spacing w:before="0" w:after="283"/>
              <w:jc w:val="left"/>
              <w:rPr/>
            </w:pPr>
            <w:r>
              <w:rPr/>
              <w:t> </w:t>
            </w:r>
          </w:p>
        </w:tc>
        <w:tc>
          <w:tcPr>
            <w:tcW w:w="1841" w:type="dxa"/>
            <w:tcBorders/>
          </w:tcPr>
          <w:p>
            <w:pPr>
              <w:pStyle w:val="TableContents"/>
              <w:bidi w:val="0"/>
              <w:spacing w:before="0" w:after="283"/>
              <w:jc w:val="left"/>
              <w:rPr/>
            </w:pPr>
            <w:r>
              <w:rPr/>
              <w:t>Mutual Fund    </w:t>
            </w:r>
          </w:p>
        </w:tc>
        <w:tc>
          <w:tcPr>
            <w:tcW w:w="120" w:type="dxa"/>
            <w:tcBorders/>
            <w:vAlign w:val="bottom"/>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3388" w:type="dxa"/>
            <w:tcBorders/>
          </w:tcPr>
          <w:p>
            <w:pPr>
              <w:pStyle w:val="TableContents"/>
              <w:bidi w:val="0"/>
              <w:spacing w:before="0" w:after="283"/>
              <w:jc w:val="left"/>
              <w:rPr/>
            </w:pPr>
            <w:r>
              <w:rPr/>
              <w:t>Other (specify)</w:t>
            </w:r>
          </w:p>
        </w:tc>
      </w:tr>
      <w:tr>
        <w:trPr>
          <w:trHeight w:val="120" w:hRule="atLeast"/>
        </w:trPr>
        <w:tc>
          <w:tcPr>
            <w:tcW w:w="239" w:type="dxa"/>
            <w:tcBorders/>
            <w:vAlign w:val="center"/>
          </w:tcPr>
          <w:p>
            <w:pPr>
              <w:pStyle w:val="TableContents"/>
              <w:bidi w:val="0"/>
              <w:spacing w:before="0" w:after="283"/>
              <w:jc w:val="left"/>
              <w:rPr>
                <w:sz w:val="4"/>
                <w:szCs w:val="4"/>
              </w:rPr>
            </w:pPr>
            <w:r>
              <w:rPr>
                <w:sz w:val="4"/>
                <w:szCs w:val="4"/>
              </w:rPr>
            </w:r>
          </w:p>
        </w:tc>
        <w:tc>
          <w:tcPr>
            <w:tcW w:w="3811" w:type="dxa"/>
            <w:gridSpan w:val="2"/>
            <w:tcBorders/>
            <w:vAlign w:val="center"/>
          </w:tcPr>
          <w:p>
            <w:pPr>
              <w:pStyle w:val="TableContents"/>
              <w:bidi w:val="0"/>
              <w:spacing w:before="0" w:after="283"/>
              <w:jc w:val="left"/>
              <w:rPr>
                <w:sz w:val="4"/>
                <w:szCs w:val="4"/>
              </w:rPr>
            </w:pPr>
            <w:r>
              <w:rPr>
                <w:sz w:val="4"/>
                <w:szCs w:val="4"/>
              </w:rPr>
            </w:r>
          </w:p>
        </w:tc>
        <w:tc>
          <w:tcPr>
            <w:tcW w:w="343" w:type="dxa"/>
            <w:gridSpan w:val="2"/>
            <w:tcBorders/>
            <w:vAlign w:val="center"/>
          </w:tcPr>
          <w:p>
            <w:pPr>
              <w:pStyle w:val="TableContents"/>
              <w:bidi w:val="0"/>
              <w:spacing w:before="0" w:after="283"/>
              <w:jc w:val="left"/>
              <w:rPr>
                <w:sz w:val="4"/>
                <w:szCs w:val="4"/>
              </w:rPr>
            </w:pPr>
            <w:r>
              <w:rPr>
                <w:sz w:val="4"/>
                <w:szCs w:val="4"/>
              </w:rPr>
            </w:r>
          </w:p>
        </w:tc>
        <w:tc>
          <w:tcPr>
            <w:tcW w:w="1944" w:type="dxa"/>
            <w:gridSpan w:val="2"/>
            <w:tcBorders/>
            <w:vAlign w:val="center"/>
          </w:tcPr>
          <w:p>
            <w:pPr>
              <w:pStyle w:val="TableContents"/>
              <w:bidi w:val="0"/>
              <w:spacing w:before="0" w:after="283"/>
              <w:jc w:val="left"/>
              <w:rPr>
                <w:sz w:val="4"/>
                <w:szCs w:val="4"/>
              </w:rPr>
            </w:pPr>
            <w:r>
              <w:rPr>
                <w:sz w:val="4"/>
                <w:szCs w:val="4"/>
              </w:rPr>
            </w:r>
          </w:p>
        </w:tc>
        <w:tc>
          <w:tcPr>
            <w:tcW w:w="360" w:type="dxa"/>
            <w:gridSpan w:val="2"/>
            <w:tcBorders/>
            <w:vAlign w:val="center"/>
          </w:tcPr>
          <w:p>
            <w:pPr>
              <w:pStyle w:val="TableContents"/>
              <w:bidi w:val="0"/>
              <w:spacing w:before="0" w:after="283"/>
              <w:jc w:val="left"/>
              <w:rPr>
                <w:sz w:val="4"/>
                <w:szCs w:val="4"/>
              </w:rPr>
            </w:pPr>
            <w:r>
              <w:rPr>
                <w:sz w:val="4"/>
                <w:szCs w:val="4"/>
              </w:rPr>
            </w:r>
          </w:p>
        </w:tc>
        <w:tc>
          <w:tcPr>
            <w:tcW w:w="3508" w:type="dxa"/>
            <w:gridSpan w:val="2"/>
            <w:tcBorders/>
            <w:vAlign w:val="center"/>
          </w:tcPr>
          <w:p>
            <w:pPr>
              <w:pStyle w:val="TableContents"/>
              <w:bidi w:val="0"/>
              <w:spacing w:before="0" w:after="283"/>
              <w:jc w:val="left"/>
              <w:rPr>
                <w:sz w:val="4"/>
                <w:szCs w:val="4"/>
              </w:rPr>
            </w:pPr>
            <w:r>
              <w:rPr>
                <w:sz w:val="4"/>
                <w:szCs w:val="4"/>
              </w:rPr>
            </w:r>
          </w:p>
        </w:tc>
      </w:tr>
      <w:tr>
        <w:trPr/>
        <w:tc>
          <w:tcPr>
            <w:tcW w:w="239"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690"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240"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84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88" w:type="dxa"/>
            <w:tcBorders/>
          </w:tcPr>
          <w:p>
            <w:pPr>
              <w:pStyle w:val="TableContents"/>
              <w:bidi w:val="0"/>
              <w:spacing w:before="0" w:after="283"/>
              <w:jc w:val="left"/>
              <w:rPr>
                <w:u w:val="single"/>
              </w:rPr>
            </w:pPr>
            <w:r>
              <w:rPr>
                <w:u w:val="single"/>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not an Individual (check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entity is subject to United States federal income taxation on the income generated by the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entity is not subject to United States federal income taxation, but it is a pass-through entity and all of its beneficial owners are subject to United States federal income tax on the income generated by the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the entity is not subject to United States federal income taxation and it is (a) not a pass-through entity or (b) a pass-through entity, but not all of its beneficial owners are subject to United States federal income taxation on the income generated by the Partnership. [</w:t>
            </w:r>
            <w:r>
              <w:rPr>
                <w:rFonts w:ascii="Times New Roman" w:hAnsi="Times New Roman"/>
                <w:b/>
                <w:sz w:val="20"/>
              </w:rPr>
              <w:t>IMPORTANT NOTE</w:t>
            </w:r>
            <w:r>
              <w:rPr>
                <w:rFonts w:ascii="Times New Roman" w:hAnsi="Times New Roman"/>
                <w:sz w:val="20"/>
              </w:rPr>
              <w:t xml:space="preserve">—by checking this box, the undersigned is acknowledging that it is not an Eligible 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Type of Tax Return Filed by Assignee (check one):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9"/>
        <w:gridCol w:w="121"/>
        <w:gridCol w:w="2906"/>
        <w:gridCol w:w="107"/>
        <w:gridCol w:w="240"/>
        <w:gridCol w:w="107"/>
        <w:gridCol w:w="3222"/>
        <w:gridCol w:w="120"/>
        <w:gridCol w:w="240"/>
        <w:gridCol w:w="120"/>
        <w:gridCol w:w="2783"/>
      </w:tblGrid>
      <w:tr>
        <w:trPr/>
        <w:tc>
          <w:tcPr>
            <w:tcW w:w="23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22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783" w:type="dxa"/>
            <w:tcBorders/>
            <w:vAlign w:val="center"/>
          </w:tcPr>
          <w:p>
            <w:pPr>
              <w:pStyle w:val="TableContents"/>
              <w:bidi w:val="0"/>
              <w:spacing w:before="0" w:after="283"/>
              <w:jc w:val="left"/>
              <w:rPr>
                <w:sz w:val="4"/>
                <w:szCs w:val="4"/>
              </w:rPr>
            </w:pPr>
            <w:r>
              <w:rPr>
                <w:sz w:val="4"/>
                <w:szCs w:val="4"/>
              </w:rPr>
            </w:r>
          </w:p>
        </w:tc>
      </w:tr>
      <w:tr>
        <w:trPr/>
        <w:tc>
          <w:tcPr>
            <w:tcW w:w="239" w:type="dxa"/>
            <w:tcBorders/>
            <w:vAlign w:val="bottom"/>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2906" w:type="dxa"/>
            <w:tcBorders/>
            <w:vAlign w:val="bottom"/>
          </w:tcPr>
          <w:p>
            <w:pPr>
              <w:pStyle w:val="TableContents"/>
              <w:bidi w:val="0"/>
              <w:spacing w:before="0" w:after="283"/>
              <w:jc w:val="left"/>
              <w:rPr/>
            </w:pPr>
            <w:r>
              <w:rPr/>
              <w:t>Form 1040</w:t>
            </w:r>
          </w:p>
        </w:tc>
        <w:tc>
          <w:tcPr>
            <w:tcW w:w="10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107" w:type="dxa"/>
            <w:tcBorders/>
            <w:vAlign w:val="bottom"/>
          </w:tcPr>
          <w:p>
            <w:pPr>
              <w:pStyle w:val="TableContents"/>
              <w:bidi w:val="0"/>
              <w:spacing w:before="0" w:after="283"/>
              <w:jc w:val="left"/>
              <w:rPr/>
            </w:pPr>
            <w:r>
              <w:rPr/>
              <w:t> </w:t>
            </w:r>
          </w:p>
        </w:tc>
        <w:tc>
          <w:tcPr>
            <w:tcW w:w="3222" w:type="dxa"/>
            <w:tcBorders/>
            <w:vAlign w:val="bottom"/>
          </w:tcPr>
          <w:p>
            <w:pPr>
              <w:pStyle w:val="TableContents"/>
              <w:bidi w:val="0"/>
              <w:spacing w:before="0" w:after="283"/>
              <w:jc w:val="left"/>
              <w:rPr/>
            </w:pPr>
            <w:r>
              <w:rPr/>
              <w:t>Form 1120</w:t>
            </w:r>
          </w:p>
        </w:tc>
        <w:tc>
          <w:tcPr>
            <w:tcW w:w="12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2783" w:type="dxa"/>
            <w:tcBorders/>
            <w:vAlign w:val="bottom"/>
          </w:tcPr>
          <w:p>
            <w:pPr>
              <w:pStyle w:val="TableContents"/>
              <w:bidi w:val="0"/>
              <w:spacing w:before="0" w:after="283"/>
              <w:jc w:val="left"/>
              <w:rPr/>
            </w:pPr>
            <w:r>
              <w:rPr/>
              <w:t>Other (specify)</w:t>
            </w:r>
          </w:p>
        </w:tc>
      </w:tr>
      <w:tr>
        <w:trPr>
          <w:trHeight w:val="120" w:hRule="atLeast"/>
        </w:trPr>
        <w:tc>
          <w:tcPr>
            <w:tcW w:w="239" w:type="dxa"/>
            <w:tcBorders/>
            <w:vAlign w:val="center"/>
          </w:tcPr>
          <w:p>
            <w:pPr>
              <w:pStyle w:val="TableContents"/>
              <w:bidi w:val="0"/>
              <w:spacing w:before="0" w:after="283"/>
              <w:jc w:val="left"/>
              <w:rPr>
                <w:sz w:val="4"/>
                <w:szCs w:val="4"/>
              </w:rPr>
            </w:pPr>
            <w:r>
              <w:rPr>
                <w:sz w:val="4"/>
                <w:szCs w:val="4"/>
              </w:rPr>
            </w:r>
          </w:p>
        </w:tc>
        <w:tc>
          <w:tcPr>
            <w:tcW w:w="3027" w:type="dxa"/>
            <w:gridSpan w:val="2"/>
            <w:tcBorders/>
            <w:vAlign w:val="center"/>
          </w:tcPr>
          <w:p>
            <w:pPr>
              <w:pStyle w:val="TableContents"/>
              <w:bidi w:val="0"/>
              <w:spacing w:before="0" w:after="283"/>
              <w:jc w:val="left"/>
              <w:rPr>
                <w:sz w:val="4"/>
                <w:szCs w:val="4"/>
              </w:rPr>
            </w:pPr>
            <w:r>
              <w:rPr>
                <w:sz w:val="4"/>
                <w:szCs w:val="4"/>
              </w:rPr>
            </w:r>
          </w:p>
        </w:tc>
        <w:tc>
          <w:tcPr>
            <w:tcW w:w="347" w:type="dxa"/>
            <w:gridSpan w:val="2"/>
            <w:tcBorders/>
            <w:vAlign w:val="center"/>
          </w:tcPr>
          <w:p>
            <w:pPr>
              <w:pStyle w:val="TableContents"/>
              <w:bidi w:val="0"/>
              <w:spacing w:before="0" w:after="283"/>
              <w:jc w:val="left"/>
              <w:rPr>
                <w:sz w:val="4"/>
                <w:szCs w:val="4"/>
              </w:rPr>
            </w:pPr>
            <w:r>
              <w:rPr>
                <w:sz w:val="4"/>
                <w:szCs w:val="4"/>
              </w:rPr>
            </w:r>
          </w:p>
        </w:tc>
        <w:tc>
          <w:tcPr>
            <w:tcW w:w="3329" w:type="dxa"/>
            <w:gridSpan w:val="2"/>
            <w:tcBorders/>
            <w:vAlign w:val="center"/>
          </w:tcPr>
          <w:p>
            <w:pPr>
              <w:pStyle w:val="TableContents"/>
              <w:bidi w:val="0"/>
              <w:spacing w:before="0" w:after="283"/>
              <w:jc w:val="left"/>
              <w:rPr>
                <w:sz w:val="4"/>
                <w:szCs w:val="4"/>
              </w:rPr>
            </w:pPr>
            <w:r>
              <w:rPr>
                <w:sz w:val="4"/>
                <w:szCs w:val="4"/>
              </w:rPr>
            </w:r>
          </w:p>
        </w:tc>
        <w:tc>
          <w:tcPr>
            <w:tcW w:w="360" w:type="dxa"/>
            <w:gridSpan w:val="2"/>
            <w:tcBorders/>
            <w:vAlign w:val="center"/>
          </w:tcPr>
          <w:p>
            <w:pPr>
              <w:pStyle w:val="TableContents"/>
              <w:bidi w:val="0"/>
              <w:spacing w:before="0" w:after="283"/>
              <w:jc w:val="left"/>
              <w:rPr>
                <w:sz w:val="4"/>
                <w:szCs w:val="4"/>
              </w:rPr>
            </w:pPr>
            <w:r>
              <w:rPr>
                <w:sz w:val="4"/>
                <w:szCs w:val="4"/>
              </w:rPr>
            </w:r>
          </w:p>
        </w:tc>
        <w:tc>
          <w:tcPr>
            <w:tcW w:w="2903" w:type="dxa"/>
            <w:gridSpan w:val="2"/>
            <w:tcBorders/>
            <w:vAlign w:val="center"/>
          </w:tcPr>
          <w:p>
            <w:pPr>
              <w:pStyle w:val="TableContents"/>
              <w:bidi w:val="0"/>
              <w:spacing w:before="0" w:after="283"/>
              <w:jc w:val="left"/>
              <w:rPr>
                <w:sz w:val="4"/>
                <w:szCs w:val="4"/>
              </w:rPr>
            </w:pPr>
            <w:r>
              <w:rPr>
                <w:sz w:val="4"/>
                <w:szCs w:val="4"/>
              </w:rPr>
            </w:r>
          </w:p>
        </w:tc>
      </w:tr>
      <w:tr>
        <w:trPr/>
        <w:tc>
          <w:tcPr>
            <w:tcW w:w="239"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90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240"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22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783" w:type="dxa"/>
            <w:tcBorders/>
          </w:tcPr>
          <w:p>
            <w:pPr>
              <w:pStyle w:val="TableContents"/>
              <w:bidi w:val="0"/>
              <w:spacing w:before="0" w:after="283"/>
              <w:jc w:val="left"/>
              <w:rPr>
                <w:u w:val="single"/>
              </w:rPr>
            </w:pPr>
            <w:r>
              <w:rPr>
                <w:u w:val="single"/>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 “Eligible Holder” means (a) an individual or entity subject to United States federal income taxation on the income generated by the Partnership; or (b) an entity not subject to United States federal income taxation on the income generated by the Partnership, so long as all of the entity’s owners are subject to United States federal income taxation on the income generated by the Partnership. Schedule I hereto contains a list of various types of investors that are categorized and identified as either “Eligible Holders” or “Non-Eligible 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Nationality (check one):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2"/>
        <w:gridCol w:w="123"/>
        <w:gridCol w:w="4804"/>
        <w:gridCol w:w="123"/>
        <w:gridCol w:w="243"/>
        <w:gridCol w:w="123"/>
        <w:gridCol w:w="4547"/>
      </w:tblGrid>
      <w:tr>
        <w:trPr/>
        <w:tc>
          <w:tcPr>
            <w:tcW w:w="24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0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547" w:type="dxa"/>
            <w:tcBorders/>
            <w:vAlign w:val="center"/>
          </w:tcPr>
          <w:p>
            <w:pPr>
              <w:pStyle w:val="TableContents"/>
              <w:bidi w:val="0"/>
              <w:spacing w:before="0" w:after="283"/>
              <w:jc w:val="left"/>
              <w:rPr>
                <w:sz w:val="4"/>
                <w:szCs w:val="4"/>
              </w:rPr>
            </w:pPr>
            <w:r>
              <w:rPr>
                <w:sz w:val="4"/>
                <w:szCs w:val="4"/>
              </w:rPr>
            </w:r>
          </w:p>
        </w:tc>
      </w:tr>
      <w:tr>
        <w:trPr/>
        <w:tc>
          <w:tcPr>
            <w:tcW w:w="242"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4804" w:type="dxa"/>
            <w:tcBorders/>
          </w:tcPr>
          <w:p>
            <w:pPr>
              <w:pStyle w:val="TableContents"/>
              <w:bidi w:val="0"/>
              <w:spacing w:before="0" w:after="283"/>
              <w:jc w:val="left"/>
              <w:rPr/>
            </w:pPr>
            <w:r>
              <w:rPr/>
              <w:t>U.S. Citizen, Resident or Domestic Entity</w:t>
            </w:r>
          </w:p>
        </w:tc>
        <w:tc>
          <w:tcPr>
            <w:tcW w:w="123" w:type="dxa"/>
            <w:tcBorders/>
            <w:vAlign w:val="bottom"/>
          </w:tcPr>
          <w:p>
            <w:pPr>
              <w:pStyle w:val="TableContents"/>
              <w:bidi w:val="0"/>
              <w:spacing w:before="0" w:after="283"/>
              <w:jc w:val="left"/>
              <w:rPr/>
            </w:pPr>
            <w:r>
              <w:rPr/>
              <w:t>  </w:t>
            </w:r>
          </w:p>
        </w:tc>
        <w:tc>
          <w:tcPr>
            <w:tcW w:w="24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47" w:type="dxa"/>
            <w:tcBorders/>
          </w:tcPr>
          <w:p>
            <w:pPr>
              <w:pStyle w:val="TableContents"/>
              <w:bidi w:val="0"/>
              <w:spacing w:before="0" w:after="283"/>
              <w:jc w:val="left"/>
              <w:rPr>
                <w:sz w:val="4"/>
                <w:szCs w:val="4"/>
              </w:rPr>
            </w:pPr>
            <w:r>
              <w:rPr>
                <w:sz w:val="4"/>
                <w:szCs w:val="4"/>
              </w:rPr>
            </w:r>
          </w:p>
        </w:tc>
      </w:tr>
      <w:tr>
        <w:trPr>
          <w:trHeight w:val="120" w:hRule="atLeast"/>
        </w:trPr>
        <w:tc>
          <w:tcPr>
            <w:tcW w:w="242" w:type="dxa"/>
            <w:tcBorders/>
            <w:vAlign w:val="center"/>
          </w:tcPr>
          <w:p>
            <w:pPr>
              <w:pStyle w:val="TableContents"/>
              <w:bidi w:val="0"/>
              <w:spacing w:before="0" w:after="283"/>
              <w:jc w:val="left"/>
              <w:rPr>
                <w:sz w:val="4"/>
                <w:szCs w:val="4"/>
              </w:rPr>
            </w:pPr>
            <w:r>
              <w:rPr>
                <w:sz w:val="4"/>
                <w:szCs w:val="4"/>
              </w:rPr>
            </w:r>
          </w:p>
        </w:tc>
        <w:tc>
          <w:tcPr>
            <w:tcW w:w="4927" w:type="dxa"/>
            <w:gridSpan w:val="2"/>
            <w:tcBorders/>
            <w:vAlign w:val="center"/>
          </w:tcPr>
          <w:p>
            <w:pPr>
              <w:pStyle w:val="TableContents"/>
              <w:bidi w:val="0"/>
              <w:spacing w:before="0" w:after="283"/>
              <w:jc w:val="left"/>
              <w:rPr>
                <w:sz w:val="4"/>
                <w:szCs w:val="4"/>
              </w:rPr>
            </w:pPr>
            <w:r>
              <w:rPr>
                <w:sz w:val="4"/>
                <w:szCs w:val="4"/>
              </w:rPr>
            </w:r>
          </w:p>
        </w:tc>
        <w:tc>
          <w:tcPr>
            <w:tcW w:w="366" w:type="dxa"/>
            <w:gridSpan w:val="2"/>
            <w:tcBorders/>
            <w:vAlign w:val="center"/>
          </w:tcPr>
          <w:p>
            <w:pPr>
              <w:pStyle w:val="TableContents"/>
              <w:bidi w:val="0"/>
              <w:spacing w:before="0" w:after="283"/>
              <w:jc w:val="left"/>
              <w:rPr>
                <w:sz w:val="4"/>
                <w:szCs w:val="4"/>
              </w:rPr>
            </w:pPr>
            <w:r>
              <w:rPr>
                <w:sz w:val="4"/>
                <w:szCs w:val="4"/>
              </w:rPr>
            </w:r>
          </w:p>
        </w:tc>
        <w:tc>
          <w:tcPr>
            <w:tcW w:w="4670" w:type="dxa"/>
            <w:gridSpan w:val="2"/>
            <w:tcBorders/>
            <w:vAlign w:val="center"/>
          </w:tcPr>
          <w:p>
            <w:pPr>
              <w:pStyle w:val="TableContents"/>
              <w:bidi w:val="0"/>
              <w:spacing w:before="0" w:after="283"/>
              <w:jc w:val="left"/>
              <w:rPr>
                <w:sz w:val="4"/>
                <w:szCs w:val="4"/>
              </w:rPr>
            </w:pPr>
            <w:r>
              <w:rPr>
                <w:sz w:val="4"/>
                <w:szCs w:val="4"/>
              </w:rPr>
            </w:r>
          </w:p>
        </w:tc>
      </w:tr>
      <w:tr>
        <w:trPr/>
        <w:tc>
          <w:tcPr>
            <w:tcW w:w="242"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4804" w:type="dxa"/>
            <w:tcBorders/>
          </w:tcPr>
          <w:p>
            <w:pPr>
              <w:pStyle w:val="TableContents"/>
              <w:bidi w:val="0"/>
              <w:spacing w:before="0" w:after="283"/>
              <w:jc w:val="left"/>
              <w:rPr/>
            </w:pPr>
            <w:r>
              <w:rPr/>
              <w:t>Foreign Corporation</w:t>
            </w:r>
          </w:p>
        </w:tc>
        <w:tc>
          <w:tcPr>
            <w:tcW w:w="123" w:type="dxa"/>
            <w:tcBorders/>
            <w:vAlign w:val="bottom"/>
          </w:tcPr>
          <w:p>
            <w:pPr>
              <w:pStyle w:val="TableContents"/>
              <w:bidi w:val="0"/>
              <w:spacing w:before="0" w:after="283"/>
              <w:jc w:val="left"/>
              <w:rPr/>
            </w:pPr>
            <w:r>
              <w:rPr/>
              <w:t>  </w:t>
            </w:r>
          </w:p>
        </w:tc>
        <w:tc>
          <w:tcPr>
            <w:tcW w:w="243"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4547" w:type="dxa"/>
            <w:tcBorders/>
          </w:tcPr>
          <w:p>
            <w:pPr>
              <w:pStyle w:val="TableContents"/>
              <w:bidi w:val="0"/>
              <w:spacing w:before="0" w:after="283"/>
              <w:jc w:val="left"/>
              <w:rPr/>
            </w:pPr>
            <w:r>
              <w:rPr/>
              <w:t>Non-resident Alien</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U.S. Citizen, Resident or Domestic Entity box is checked, the following certification must be completed. </w:t>
      </w:r>
    </w:p>
    <w:p>
      <w:pPr>
        <w:pStyle w:val="TextBody"/>
        <w:bidi w:val="0"/>
        <w:spacing w:before="240" w:after="0"/>
        <w:jc w:val="left"/>
        <w:rPr>
          <w:rFonts w:ascii="Times New Roman" w:hAnsi="Times New Roman"/>
          <w:sz w:val="20"/>
        </w:rPr>
      </w:pPr>
      <w:r>
        <w:rPr>
          <w:rFonts w:ascii="Times New Roman" w:hAnsi="Times New Roman"/>
          <w:sz w:val="20"/>
        </w:rPr>
        <w:t>Under Section 1445(e) of the Internal Revenue Code of 1986, as amended (the “</w:t>
      </w:r>
      <w:r>
        <w:rPr>
          <w:rFonts w:ascii="Times New Roman" w:hAnsi="Times New Roman"/>
          <w:i/>
          <w:sz w:val="20"/>
        </w:rPr>
        <w:t>Code</w:t>
      </w:r>
      <w:r>
        <w:rPr>
          <w:rFonts w:ascii="Times New Roman" w:hAnsi="Times New Roman"/>
          <w:sz w:val="20"/>
        </w:rPr>
        <w:t xml:space="preserve">”), the Partnership must withhold tax with respect to certain transfers of property if a holder of an interest in the Partnership is a foreign person. To inform the Partnership that no withholding is required with respect to the undersigned’s interest in it, the undersigned hereby certifies the following (or, if applicable, certifies the following on behalf of the holder of the interest). </w:t>
      </w:r>
    </w:p>
    <w:p>
      <w:pPr>
        <w:pStyle w:val="TextBody"/>
        <w:bidi w:val="0"/>
        <w:spacing w:before="240" w:after="0"/>
        <w:jc w:val="left"/>
        <w:rPr>
          <w:rFonts w:ascii="Times New Roman" w:hAnsi="Times New Roman"/>
          <w:sz w:val="20"/>
        </w:rPr>
      </w:pPr>
      <w:r>
        <w:rPr>
          <w:rFonts w:ascii="Times New Roman" w:hAnsi="Times New Roman"/>
          <w:sz w:val="20"/>
        </w:rPr>
        <w:t xml:space="preserve">Complete Either A or B: </w:t>
      </w:r>
    </w:p>
    <w:p>
      <w:pPr>
        <w:pStyle w:val="TextBody"/>
        <w:bidi w:val="0"/>
        <w:spacing w:before="120" w:after="0"/>
        <w:jc w:val="left"/>
        <w:rPr>
          <w:rFonts w:ascii="Times New Roman" w:hAnsi="Times New Roman"/>
          <w:sz w:val="20"/>
        </w:rPr>
      </w:pPr>
      <w:r>
        <w:rPr>
          <w:rFonts w:ascii="Times New Roman" w:hAnsi="Times New Roman"/>
          <w:sz w:val="20"/>
        </w:rPr>
        <w:t xml:space="preserve">A. Individual </w:t>
      </w:r>
    </w:p>
    <w:p>
      <w:pPr>
        <w:pStyle w:val="TextBody"/>
        <w:bidi w:val="0"/>
        <w:spacing w:before="120" w:after="0"/>
        <w:jc w:val="left"/>
        <w:rPr>
          <w:rFonts w:ascii="Times New Roman" w:hAnsi="Times New Roman"/>
          <w:sz w:val="20"/>
        </w:rPr>
      </w:pPr>
      <w:r>
        <w:rPr>
          <w:rFonts w:ascii="Times New Roman" w:hAnsi="Times New Roman"/>
          <w:sz w:val="20"/>
        </w:rPr>
        <w:t xml:space="preserve">1. I am not a non-resident alien for purposes of U.S. income taxation. </w:t>
      </w:r>
    </w:p>
    <w:p>
      <w:pPr>
        <w:pStyle w:val="TextBody"/>
        <w:bidi w:val="0"/>
        <w:spacing w:before="240" w:after="0"/>
        <w:jc w:val="left"/>
        <w:rPr>
          <w:rFonts w:ascii="Times New Roman" w:hAnsi="Times New Roman"/>
          <w:sz w:val="20"/>
        </w:rPr>
      </w:pPr>
      <w:r>
        <w:rPr>
          <w:rFonts w:ascii="Times New Roman" w:hAnsi="Times New Roman"/>
          <w:sz w:val="20"/>
        </w:rPr>
        <w:t xml:space="preserve">2. My U.S. taxpayer identification number (Social Security Number) is 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3. My home address is _______________. </w:t>
      </w:r>
    </w:p>
    <w:p>
      <w:pPr>
        <w:pStyle w:val="TextBody"/>
        <w:bidi w:val="0"/>
        <w:spacing w:before="360" w:after="0"/>
        <w:jc w:val="left"/>
        <w:rPr>
          <w:rFonts w:ascii="Times New Roman" w:hAnsi="Times New Roman"/>
          <w:sz w:val="20"/>
        </w:rPr>
      </w:pPr>
      <w:r>
        <w:rPr>
          <w:rFonts w:ascii="Times New Roman" w:hAnsi="Times New Roman"/>
          <w:sz w:val="20"/>
        </w:rPr>
        <w:t xml:space="preserve">B. Partnership, Corporation or Other </w:t>
      </w:r>
    </w:p>
    <w:p>
      <w:pPr>
        <w:pStyle w:val="TextBody"/>
        <w:bidi w:val="0"/>
        <w:spacing w:before="120" w:after="0"/>
        <w:jc w:val="left"/>
        <w:rPr>
          <w:rFonts w:ascii="Times New Roman" w:hAnsi="Times New Roman"/>
          <w:sz w:val="20"/>
        </w:rPr>
      </w:pPr>
      <w:r>
        <w:rPr>
          <w:rFonts w:ascii="Times New Roman" w:hAnsi="Times New Roman"/>
          <w:sz w:val="20"/>
        </w:rPr>
        <w:t xml:space="preserve">1. ______________________________ is not a foreign corporation, foreign partnership, foreign trust (name of undersigned) or foreign estate (as those terms are defined in the Code and Treasury Regulations). </w:t>
      </w:r>
    </w:p>
    <w:p>
      <w:pPr>
        <w:pStyle w:val="TextBody"/>
        <w:bidi w:val="0"/>
        <w:spacing w:before="240" w:after="0"/>
        <w:jc w:val="left"/>
        <w:rPr>
          <w:rFonts w:ascii="Times New Roman" w:hAnsi="Times New Roman"/>
          <w:sz w:val="20"/>
        </w:rPr>
      </w:pPr>
      <w:r>
        <w:rPr>
          <w:rFonts w:ascii="Times New Roman" w:hAnsi="Times New Roman"/>
          <w:sz w:val="20"/>
        </w:rPr>
        <w:t xml:space="preserve">2. The undersigned’s U.S. employer identification number is 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agrees to notify the Partnership within sixty (60) days of the date the undersigned becomes a foreign person. </w:t>
      </w:r>
    </w:p>
    <w:p>
      <w:pPr>
        <w:pStyle w:val="TextBody"/>
        <w:bidi w:val="0"/>
        <w:spacing w:before="240" w:after="0"/>
        <w:jc w:val="left"/>
        <w:rPr>
          <w:rFonts w:ascii="Times New Roman" w:hAnsi="Times New Roman"/>
          <w:sz w:val="20"/>
        </w:rPr>
      </w:pPr>
      <w:r>
        <w:rPr>
          <w:rFonts w:ascii="Times New Roman" w:hAnsi="Times New Roman"/>
          <w:sz w:val="20"/>
        </w:rPr>
        <w:t xml:space="preserve">3. The undersigned’s office address and place of incorporation (if applicable) is _____________________________________________.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this certificate may be disclosed to the Internal Revenue Service by the Partnership and that any false statement contained herein could be punishable by fine, imprisonment or both.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penalties of perjury, I declare that I have examined this certification and to the best of my knowledge and belief it is true, correct and complete and, if applicable, I further declare that I have authority to sign this document on behalf of: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op w:val="single" w:sz="2" w:space="0" w:color="000000"/>
            </w:tcBorders>
            <w:tcMar>
              <w:top w:w="28" w:type="dxa"/>
            </w:tcMar>
            <w:vAlign w:val="bottom"/>
          </w:tcPr>
          <w:p>
            <w:pPr>
              <w:pStyle w:val="TableContents"/>
              <w:bidi w:val="0"/>
              <w:spacing w:before="0" w:after="283"/>
              <w:jc w:val="left"/>
              <w:rPr/>
            </w:pPr>
            <w:r>
              <w:rPr/>
              <w:t>Name of Holder of Interest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082" w:type="dxa"/>
            <w:tcBorders/>
            <w:vAlign w:val="bottom"/>
          </w:tcPr>
          <w:p>
            <w:pPr>
              <w:pStyle w:val="TableContents"/>
              <w:bidi w:val="0"/>
              <w:spacing w:before="0" w:after="283"/>
              <w:jc w:val="left"/>
              <w:rPr/>
            </w:pPr>
            <w:r>
              <w:rPr/>
              <w:t>Signature and Date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082" w:type="dxa"/>
            <w:tcBorders/>
            <w:vAlign w:val="bottom"/>
          </w:tcPr>
          <w:p>
            <w:pPr>
              <w:pStyle w:val="TableContents"/>
              <w:bidi w:val="0"/>
              <w:spacing w:before="0" w:after="283"/>
              <w:jc w:val="left"/>
              <w:rPr/>
            </w:pPr>
            <w:r>
              <w:rPr/>
              <w:t>Title (if applicable)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Note: If the undersigned is a broker, dealer, bank, trust company, clearing corporation, other nominee holder or an agent of any of the foregoing, and is holding for the account of any other person, this application should be completed by an officer thereof or, in the case of a broker or dealer, by a registered representative who is a member of a registered national securities exchange or a member of the National Association of Securities Dealers, Inc., or, in the case of any other nominee holder, a person performing a similar function. If the undersigned is a broker, dealer, bank, trust company, clearing corporation, other nominee owner or an agent of any of the foregoing, the above certification as to any person for whom the undersigned will hold the Common Units shall be made to the best of the undersigned’s knowledge.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120" w:after="0"/>
        <w:jc w:val="center"/>
        <w:rPr>
          <w:rFonts w:ascii="Times New Roman" w:hAnsi="Times New Roman"/>
          <w:b/>
          <w:sz w:val="20"/>
        </w:rPr>
      </w:pPr>
      <w:r>
        <w:rPr>
          <w:rFonts w:ascii="Times New Roman" w:hAnsi="Times New Roman"/>
          <w:b/>
          <w:sz w:val="20"/>
        </w:rPr>
        <w:t xml:space="preserve">Eligible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considered Eligible 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Individuals (U.S. or non-U.S.)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 corporations (U.S. or non-U.S.)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Tax exempt organizations subject to tax on unrelated business taxable income or “</w:t>
            </w:r>
            <w:r>
              <w:rPr>
                <w:rFonts w:ascii="Times New Roman" w:hAnsi="Times New Roman"/>
                <w:i/>
                <w:sz w:val="20"/>
              </w:rPr>
              <w:t>UBTI</w:t>
            </w:r>
            <w:r>
              <w:rPr>
                <w:rFonts w:ascii="Times New Roman" w:hAnsi="Times New Roman"/>
                <w:sz w:val="20"/>
              </w:rPr>
              <w:t xml:space="preserve">,” including IRAs, 401(k) plans and Keogh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with shareholders that are individuals, trusts or tax exempt organizations subject to tax on UBTI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Potentially Eligible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are considered Eligible Holders, unless the information in parenthesis applies: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(unless they have ESOP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Partnerships (unless its partners include mutual funds, real estate investment trusts or “</w:t>
            </w:r>
            <w:r>
              <w:rPr>
                <w:rFonts w:ascii="Times New Roman" w:hAnsi="Times New Roman"/>
                <w:i/>
                <w:sz w:val="20"/>
              </w:rPr>
              <w:t>REITs</w:t>
            </w:r>
            <w:r>
              <w:rPr>
                <w:rFonts w:ascii="Times New Roman" w:hAnsi="Times New Roman"/>
                <w:sz w:val="20"/>
              </w:rPr>
              <w:t xml:space="preserve">,” governmental entities and agencies, S corporations with ESOP shareholders* or other partnerships with such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Trusts (unless beneficiaries are not subject to tax)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Non-Eligible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are </w:t>
      </w:r>
      <w:r>
        <w:rPr>
          <w:rFonts w:ascii="Times New Roman" w:hAnsi="Times New Roman"/>
          <w:b/>
          <w:sz w:val="20"/>
          <w:u w:val="single"/>
        </w:rPr>
        <w:t>not</w:t>
      </w:r>
      <w:r>
        <w:rPr>
          <w:rFonts w:ascii="Times New Roman" w:hAnsi="Times New Roman"/>
          <w:sz w:val="20"/>
        </w:rPr>
        <w:t xml:space="preserve"> considered Eligible 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Mutual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entities and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with ESOP shareholders*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pPr>
            <w:r>
              <w:rPr/>
              <w:t>“</w:t>
            </w:r>
            <w:r>
              <w:rPr>
                <w:rFonts w:ascii="Times New Roman" w:hAnsi="Times New Roman"/>
                <w:sz w:val="20"/>
              </w:rPr>
              <w:t xml:space="preserve">S corporations with ESOP shareholders” are S corporations with shareholders that include employee stock ownership plans.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p>
    <w:p>
      <w:pPr>
        <w:pStyle w:val="TextBody"/>
        <w:bidi w:val="0"/>
        <w:spacing w:before="0" w:after="0"/>
        <w:jc w:val="right"/>
        <w:rPr>
          <w:rFonts w:ascii="Times New Roman" w:hAnsi="Times New Roman"/>
          <w:b/>
          <w:sz w:val="20"/>
        </w:rPr>
      </w:pPr>
      <w:bookmarkStart w:id="4" w:name="d109647dex31.htm"/>
      <w:bookmarkStart w:id="5" w:name="ksd109647dex31"/>
      <w:bookmarkEnd w:id="4"/>
      <w:bookmarkEnd w:id="5"/>
      <w:r>
        <w:rPr>
          <w:rFonts w:ascii="Times New Roman" w:hAnsi="Times New Roman"/>
          <w:b/>
          <w:sz w:val="20"/>
        </w:rPr>
        <w:t xml:space="preserve">Exhibit 3.1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5488305" cy="711136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488305" cy="71113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This space reserved for office use. Form 207 (Revised 12/21) Submit in duplicate to: Fl LED In the Office of the Secretary of State Secretary of State of Texas P.O. Box 13697 Certificate of Formation JUL O2 2026 Austin, TX 78711-3697 512 463-5555 Limited Partnership Corporations Section Filin Fee: $750 Article 1-Entity Name and Type The filing entity being formed is a limited partnership. The name of the entity is: Energy Transfer LP The name must contain the words “limited,” “limited partnership,” or an abbreviation of that word or phrase. The name of a limited partnership that is also a limited liability partnership must also contain the phrase “limited liability partnership” or “limited liability limited partnership” or an abbreviation of one of those phrases. Article 2—Registered Agent and Registered Office (Select and complete either A or B and complete C) ~A. The initial registered agent is an organization (cannot be entity named above) by the name of: Corporation Service Company d/b/a CSC-Lawyers Incorporating Service Company OR 0 B. The initial registered agent is an individual resident of the state whose name is set forth below: First Name M./. Last Name Suffu: C. The business address of the registered agent and the registered office address is: 211 East 7th Street, Suite 620 Austin TX 78701 Street Address City State Zip Code Article 3-Governing Authority (Provide the name and address of each general partner.) The name and address of each general partner are set forth below: GENERAL PARTNER 1 NAME (Enter the name of either an individual or an organization, but not both.) IF INDIVIDUAL First Name MI. Last Name Suffix OR IF ORGANIZATION LEGP,LLC Organization Name ADDRESS 8111 Westchester Drive, Suite 600 Dallas TX USA 75225 Street or Mailing Address City State Country Zip Code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5488305" cy="711136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488305" cy="71113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GENERAL PARTNER 2 NAME (Enter the name of either an individual or an organization, but not both.) IF INDIVIDUAL First Name MI. Last Name Suffix OR IF ORGANIZATION Organization Name ADDRESS Street or Mailing Address City State Country Zip Code GENERAL PARTNER 3 NAME (Enter the name of either an individual or an organization, but not both.) IF INDIVIDUAL First Name MI. Last Name SufflX OR IF ORGANIZATION Organization Name ADDRESS Street or Mailing Address City State Country Zip Code Article 4-Principal Office The address of the principal office of the limited partnership in the United States where records are to be kept or made available under section 153.551 of the Texas Business Organizations Code is: 8111 Westchester Drive, Suite 600 Dallas TX USA 75225 Street or Mailing Address City State Country Zip Code Initial Mailing Address (Provide the mailing address to which state franchise tax correspondence should be sent.) 8111 Westchester Drive, Suite 600 Dallas TX 75225 USA Mailing Address City State Zip Code Country Supplemental Provisions/Information Text Area: [The attached addendum, if any, is incorporated herein by reference.l  Energy Transfer LP is being formed under a Plan of Conversion pursuant to Section 10.102 of the Texas Business Organizations Code. The name of the converting entity is “Energy Transfer LP”, a Delaware limited partnership formed on August 23, 2005. The address of the converting entity is 8111 Westchester Drive, Suite 600, Dallas, Texas 75225.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5488305" cy="711136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488305" cy="71113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Effectiveness of Filing (Select either A, B, or C.) A. D This document becomes effective when the document is filed by the secretary of state. B. ~This document becomes effective at a later date, which is not more than ninety (90) days from the date of signing. The delayed effective date is: 12:01 a.m. Central Time on July 6, 2026 C. D This document takes effect upon the occurrence of the future event or fact, other than the passage of time. The 90th day after the date of signing is: The following event or fact will cause the document to take effect in the manner described below: Execution The undersigned general partner affirms that the person designated as registered agent has consented to the appointment. The undersigned also affirms that, to the best knowledge of the undersigned, the name provided as the name of the filing entity does not falsely imply an affiliation with a governmental entity. The undersigned signs this document subject to the penalties imposed by law for the submission of a materially false or fraudulent instrument and certifies under penalty of perjury that the undersigned is authorized to execute the filing instrument. Date: 7/6/2026 Signature for each general partner: LEGP,LLC Isl Thomas E. Long Thomas E. Long, Co-Chief Executive Officer </w:t>
      </w:r>
    </w:p>
    <w:p>
      <w:pPr>
        <w:pStyle w:val="TextBody"/>
        <w:bidi w:val="0"/>
        <w:spacing w:before="0" w:after="0"/>
        <w:jc w:val="right"/>
        <w:rPr>
          <w:rFonts w:ascii="Times New Roman" w:hAnsi="Times New Roman"/>
          <w:b/>
          <w:sz w:val="20"/>
        </w:rPr>
      </w:pPr>
      <w:bookmarkStart w:id="6" w:name="d109647dex32.htm"/>
      <w:bookmarkStart w:id="7" w:name="ksd109647dex32"/>
      <w:bookmarkEnd w:id="6"/>
      <w:bookmarkEnd w:id="7"/>
      <w:r>
        <w:rPr>
          <w:rFonts w:ascii="Times New Roman" w:hAnsi="Times New Roman"/>
          <w:b/>
          <w:sz w:val="20"/>
        </w:rPr>
        <w:t xml:space="preserve">Exhibit 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OF LIMITED PARTNERSHIP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ENERGY TRANSFER LP </w:t>
      </w:r>
    </w:p>
    <w:p>
      <w:pPr>
        <w:pStyle w:val="TextBody"/>
        <w:bidi w:val="0"/>
        <w:spacing w:before="240" w:after="0"/>
        <w:jc w:val="center"/>
        <w:rPr>
          <w:rFonts w:ascii="Times New Roman" w:hAnsi="Times New Roman"/>
          <w:b/>
          <w:sz w:val="20"/>
        </w:rPr>
      </w:pPr>
      <w:r>
        <w:rPr>
          <w:rFonts w:ascii="Times New Roman" w:hAnsi="Times New Roman"/>
          <w:b/>
          <w:sz w:val="20"/>
        </w:rPr>
        <w:t xml:space="preserve">(a Texas Limited Partnership)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04"/>
        <w:gridCol w:w="137"/>
        <w:gridCol w:w="8178"/>
        <w:gridCol w:w="137"/>
        <w:gridCol w:w="90"/>
        <w:gridCol w:w="395"/>
        <w:gridCol w:w="64"/>
      </w:tblGrid>
      <w:tr>
        <w:trPr/>
        <w:tc>
          <w:tcPr>
            <w:tcW w:w="1204"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8178"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204"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178"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4" w:type="dxa"/>
            <w:tcBorders/>
            <w:vAlign w:val="bottom"/>
          </w:tcPr>
          <w:p>
            <w:pPr>
              <w:pStyle w:val="TableContents"/>
              <w:bidi w:val="0"/>
              <w:spacing w:before="0" w:after="283"/>
              <w:jc w:val="left"/>
              <w:rPr/>
            </w:pPr>
            <w:r>
              <w:rPr/>
              <w:t> </w:t>
            </w:r>
          </w:p>
        </w:tc>
      </w:tr>
      <w:tr>
        <w:trPr/>
        <w:tc>
          <w:tcPr>
            <w:tcW w:w="9519" w:type="dxa"/>
            <w:gridSpan w:val="3"/>
            <w:tcBorders/>
            <w:vAlign w:val="bottom"/>
          </w:tcPr>
          <w:p>
            <w:pPr>
              <w:pStyle w:val="TableContents"/>
              <w:bidi w:val="0"/>
              <w:spacing w:before="0" w:after="283"/>
              <w:jc w:val="left"/>
              <w:rPr>
                <w:b/>
              </w:rPr>
            </w:pPr>
            <w:r>
              <w:rPr>
                <w:b/>
              </w:rPr>
              <w:t>ARTICLE I DEFINITIONS</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b/>
              </w:rPr>
            </w:pPr>
            <w:r>
              <w:rPr>
                <w:b/>
              </w:rPr>
              <w:t>2</w:t>
            </w:r>
          </w:p>
        </w:tc>
        <w:tc>
          <w:tcPr>
            <w:tcW w:w="64" w:type="dxa"/>
            <w:tcBorders/>
            <w:vAlign w:val="bottom"/>
          </w:tcPr>
          <w:p>
            <w:pPr>
              <w:pStyle w:val="TableContents"/>
              <w:bidi w:val="0"/>
              <w:spacing w:before="0" w:after="283"/>
              <w:jc w:val="left"/>
              <w:rPr/>
            </w:pPr>
            <w:r>
              <w:rPr/>
              <w:t> </w:t>
            </w:r>
          </w:p>
        </w:tc>
      </w:tr>
      <w:tr>
        <w:trPr>
          <w:trHeight w:val="120" w:hRule="atLeast"/>
        </w:trPr>
        <w:tc>
          <w:tcPr>
            <w:tcW w:w="1204" w:type="dxa"/>
            <w:tcBorders/>
            <w:vAlign w:val="center"/>
          </w:tcPr>
          <w:p>
            <w:pPr>
              <w:pStyle w:val="TableContents"/>
              <w:bidi w:val="0"/>
              <w:spacing w:before="0" w:after="283"/>
              <w:jc w:val="left"/>
              <w:rPr>
                <w:sz w:val="4"/>
                <w:szCs w:val="4"/>
              </w:rPr>
            </w:pPr>
            <w:r>
              <w:rPr>
                <w:sz w:val="4"/>
                <w:szCs w:val="4"/>
              </w:rPr>
            </w:r>
          </w:p>
        </w:tc>
        <w:tc>
          <w:tcPr>
            <w:tcW w:w="8315"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12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137" w:type="dxa"/>
            <w:tcBorders/>
            <w:vAlign w:val="bottom"/>
          </w:tcPr>
          <w:p>
            <w:pPr>
              <w:pStyle w:val="TableContents"/>
              <w:bidi w:val="0"/>
              <w:spacing w:before="0" w:after="283"/>
              <w:jc w:val="left"/>
              <w:rPr/>
            </w:pPr>
            <w:r>
              <w:rPr/>
              <w:t>  </w:t>
            </w:r>
          </w:p>
        </w:tc>
        <w:tc>
          <w:tcPr>
            <w:tcW w:w="8178" w:type="dxa"/>
            <w:tcBorders/>
            <w:vAlign w:val="bottom"/>
          </w:tcPr>
          <w:p>
            <w:pPr>
              <w:pStyle w:val="TableContents"/>
              <w:bidi w:val="0"/>
              <w:spacing w:before="0" w:after="283"/>
              <w:jc w:val="left"/>
              <w:rPr/>
            </w:pPr>
            <w:r>
              <w:rPr/>
              <w:t>Definitions</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12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137" w:type="dxa"/>
            <w:tcBorders/>
            <w:vAlign w:val="bottom"/>
          </w:tcPr>
          <w:p>
            <w:pPr>
              <w:pStyle w:val="TableContents"/>
              <w:bidi w:val="0"/>
              <w:spacing w:before="0" w:after="283"/>
              <w:jc w:val="left"/>
              <w:rPr/>
            </w:pPr>
            <w:r>
              <w:rPr/>
              <w:t>  </w:t>
            </w:r>
          </w:p>
        </w:tc>
        <w:tc>
          <w:tcPr>
            <w:tcW w:w="8178" w:type="dxa"/>
            <w:tcBorders/>
            <w:vAlign w:val="bottom"/>
          </w:tcPr>
          <w:p>
            <w:pPr>
              <w:pStyle w:val="TableContents"/>
              <w:bidi w:val="0"/>
              <w:spacing w:before="0" w:after="283"/>
              <w:jc w:val="left"/>
              <w:rPr/>
            </w:pPr>
            <w:r>
              <w:rPr/>
              <w:t>Construction</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3"/>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3"/>
            <w:tcBorders/>
            <w:vAlign w:val="bottom"/>
          </w:tcPr>
          <w:p>
            <w:pPr>
              <w:pStyle w:val="TableContents"/>
              <w:bidi w:val="0"/>
              <w:spacing w:before="0" w:after="283"/>
              <w:jc w:val="left"/>
              <w:rPr>
                <w:b/>
              </w:rPr>
            </w:pPr>
            <w:r>
              <w:rPr>
                <w:b/>
              </w:rPr>
              <w:t>ARTICLE II ORGANIZATION</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b/>
              </w:rPr>
            </w:pPr>
            <w:r>
              <w:rPr>
                <w:b/>
              </w:rPr>
              <w:t>29</w:t>
            </w:r>
          </w:p>
        </w:tc>
        <w:tc>
          <w:tcPr>
            <w:tcW w:w="64" w:type="dxa"/>
            <w:tcBorders/>
            <w:vAlign w:val="bottom"/>
          </w:tcPr>
          <w:p>
            <w:pPr>
              <w:pStyle w:val="TableContents"/>
              <w:bidi w:val="0"/>
              <w:spacing w:before="0" w:after="283"/>
              <w:jc w:val="left"/>
              <w:rPr/>
            </w:pPr>
            <w:r>
              <w:rPr/>
              <w:t> </w:t>
            </w:r>
          </w:p>
        </w:tc>
      </w:tr>
      <w:tr>
        <w:trPr>
          <w:trHeight w:val="120" w:hRule="atLeast"/>
        </w:trPr>
        <w:tc>
          <w:tcPr>
            <w:tcW w:w="1204" w:type="dxa"/>
            <w:tcBorders/>
            <w:vAlign w:val="center"/>
          </w:tcPr>
          <w:p>
            <w:pPr>
              <w:pStyle w:val="TableContents"/>
              <w:bidi w:val="0"/>
              <w:spacing w:before="0" w:after="283"/>
              <w:jc w:val="left"/>
              <w:rPr>
                <w:sz w:val="4"/>
                <w:szCs w:val="4"/>
              </w:rPr>
            </w:pPr>
            <w:r>
              <w:rPr>
                <w:sz w:val="4"/>
                <w:szCs w:val="4"/>
              </w:rPr>
            </w:r>
          </w:p>
        </w:tc>
        <w:tc>
          <w:tcPr>
            <w:tcW w:w="8315"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12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137" w:type="dxa"/>
            <w:tcBorders/>
            <w:vAlign w:val="bottom"/>
          </w:tcPr>
          <w:p>
            <w:pPr>
              <w:pStyle w:val="TableContents"/>
              <w:bidi w:val="0"/>
              <w:spacing w:before="0" w:after="283"/>
              <w:jc w:val="left"/>
              <w:rPr/>
            </w:pPr>
            <w:r>
              <w:rPr/>
              <w:t>  </w:t>
            </w:r>
          </w:p>
        </w:tc>
        <w:tc>
          <w:tcPr>
            <w:tcW w:w="8178" w:type="dxa"/>
            <w:tcBorders/>
            <w:vAlign w:val="bottom"/>
          </w:tcPr>
          <w:p>
            <w:pPr>
              <w:pStyle w:val="TableContents"/>
              <w:bidi w:val="0"/>
              <w:spacing w:before="0" w:after="283"/>
              <w:jc w:val="left"/>
              <w:rPr/>
            </w:pPr>
            <w:r>
              <w:rPr/>
              <w:t>Formation</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12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137" w:type="dxa"/>
            <w:tcBorders/>
            <w:vAlign w:val="bottom"/>
          </w:tcPr>
          <w:p>
            <w:pPr>
              <w:pStyle w:val="TableContents"/>
              <w:bidi w:val="0"/>
              <w:spacing w:before="0" w:after="283"/>
              <w:jc w:val="left"/>
              <w:rPr/>
            </w:pPr>
            <w:r>
              <w:rPr/>
              <w:t>  </w:t>
            </w:r>
          </w:p>
        </w:tc>
        <w:tc>
          <w:tcPr>
            <w:tcW w:w="8178" w:type="dxa"/>
            <w:tcBorders/>
            <w:vAlign w:val="bottom"/>
          </w:tcPr>
          <w:p>
            <w:pPr>
              <w:pStyle w:val="TableContents"/>
              <w:bidi w:val="0"/>
              <w:spacing w:before="0" w:after="283"/>
              <w:jc w:val="left"/>
              <w:rPr/>
            </w:pPr>
            <w:r>
              <w:rPr/>
              <w:t>Name</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12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137" w:type="dxa"/>
            <w:tcBorders/>
            <w:vAlign w:val="bottom"/>
          </w:tcPr>
          <w:p>
            <w:pPr>
              <w:pStyle w:val="TableContents"/>
              <w:bidi w:val="0"/>
              <w:spacing w:before="0" w:after="283"/>
              <w:jc w:val="left"/>
              <w:rPr/>
            </w:pPr>
            <w:r>
              <w:rPr/>
              <w:t>  </w:t>
            </w:r>
          </w:p>
        </w:tc>
        <w:tc>
          <w:tcPr>
            <w:tcW w:w="8178" w:type="dxa"/>
            <w:tcBorders/>
            <w:vAlign w:val="bottom"/>
          </w:tcPr>
          <w:p>
            <w:pPr>
              <w:pStyle w:val="TableContents"/>
              <w:bidi w:val="0"/>
              <w:spacing w:before="0" w:after="283"/>
              <w:jc w:val="left"/>
              <w:rPr/>
            </w:pPr>
            <w:r>
              <w:rPr/>
              <w:t>Registered Office; Registered Agent; Principal Office; Other Offices</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12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137" w:type="dxa"/>
            <w:tcBorders/>
            <w:vAlign w:val="bottom"/>
          </w:tcPr>
          <w:p>
            <w:pPr>
              <w:pStyle w:val="TableContents"/>
              <w:bidi w:val="0"/>
              <w:spacing w:before="0" w:after="283"/>
              <w:jc w:val="left"/>
              <w:rPr/>
            </w:pPr>
            <w:r>
              <w:rPr/>
              <w:t>  </w:t>
            </w:r>
          </w:p>
        </w:tc>
        <w:tc>
          <w:tcPr>
            <w:tcW w:w="8178" w:type="dxa"/>
            <w:tcBorders/>
            <w:vAlign w:val="bottom"/>
          </w:tcPr>
          <w:p>
            <w:pPr>
              <w:pStyle w:val="TableContents"/>
              <w:bidi w:val="0"/>
              <w:spacing w:before="0" w:after="283"/>
              <w:jc w:val="left"/>
              <w:rPr/>
            </w:pPr>
            <w:r>
              <w:rPr/>
              <w:t>Purpose and Business</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12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137" w:type="dxa"/>
            <w:tcBorders/>
            <w:vAlign w:val="bottom"/>
          </w:tcPr>
          <w:p>
            <w:pPr>
              <w:pStyle w:val="TableContents"/>
              <w:bidi w:val="0"/>
              <w:spacing w:before="0" w:after="283"/>
              <w:jc w:val="left"/>
              <w:rPr/>
            </w:pPr>
            <w:r>
              <w:rPr/>
              <w:t>  </w:t>
            </w:r>
          </w:p>
        </w:tc>
        <w:tc>
          <w:tcPr>
            <w:tcW w:w="8178" w:type="dxa"/>
            <w:tcBorders/>
            <w:vAlign w:val="bottom"/>
          </w:tcPr>
          <w:p>
            <w:pPr>
              <w:pStyle w:val="TableContents"/>
              <w:bidi w:val="0"/>
              <w:spacing w:before="0" w:after="283"/>
              <w:jc w:val="left"/>
              <w:rPr/>
            </w:pPr>
            <w:r>
              <w:rPr/>
              <w:t>Powers</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12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137" w:type="dxa"/>
            <w:tcBorders/>
            <w:vAlign w:val="bottom"/>
          </w:tcPr>
          <w:p>
            <w:pPr>
              <w:pStyle w:val="TableContents"/>
              <w:bidi w:val="0"/>
              <w:spacing w:before="0" w:after="283"/>
              <w:jc w:val="left"/>
              <w:rPr/>
            </w:pPr>
            <w:r>
              <w:rPr/>
              <w:t>  </w:t>
            </w:r>
          </w:p>
        </w:tc>
        <w:tc>
          <w:tcPr>
            <w:tcW w:w="8178" w:type="dxa"/>
            <w:tcBorders/>
            <w:vAlign w:val="bottom"/>
          </w:tcPr>
          <w:p>
            <w:pPr>
              <w:pStyle w:val="TableContents"/>
              <w:bidi w:val="0"/>
              <w:spacing w:before="0" w:after="283"/>
              <w:jc w:val="left"/>
              <w:rPr/>
            </w:pPr>
            <w:r>
              <w:rPr/>
              <w:t>Power of Attorney</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12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137" w:type="dxa"/>
            <w:tcBorders/>
            <w:vAlign w:val="bottom"/>
          </w:tcPr>
          <w:p>
            <w:pPr>
              <w:pStyle w:val="TableContents"/>
              <w:bidi w:val="0"/>
              <w:spacing w:before="0" w:after="283"/>
              <w:jc w:val="left"/>
              <w:rPr/>
            </w:pPr>
            <w:r>
              <w:rPr/>
              <w:t>  </w:t>
            </w:r>
          </w:p>
        </w:tc>
        <w:tc>
          <w:tcPr>
            <w:tcW w:w="8178" w:type="dxa"/>
            <w:tcBorders/>
            <w:vAlign w:val="bottom"/>
          </w:tcPr>
          <w:p>
            <w:pPr>
              <w:pStyle w:val="TableContents"/>
              <w:bidi w:val="0"/>
              <w:spacing w:before="0" w:after="283"/>
              <w:jc w:val="left"/>
              <w:rPr/>
            </w:pPr>
            <w:r>
              <w:rPr/>
              <w:t>Term</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12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2.8</w:t>
            </w:r>
          </w:p>
        </w:tc>
        <w:tc>
          <w:tcPr>
            <w:tcW w:w="137" w:type="dxa"/>
            <w:tcBorders/>
            <w:vAlign w:val="bottom"/>
          </w:tcPr>
          <w:p>
            <w:pPr>
              <w:pStyle w:val="TableContents"/>
              <w:bidi w:val="0"/>
              <w:spacing w:before="0" w:after="283"/>
              <w:jc w:val="left"/>
              <w:rPr/>
            </w:pPr>
            <w:r>
              <w:rPr/>
              <w:t>  </w:t>
            </w:r>
          </w:p>
        </w:tc>
        <w:tc>
          <w:tcPr>
            <w:tcW w:w="8178" w:type="dxa"/>
            <w:tcBorders/>
            <w:vAlign w:val="bottom"/>
          </w:tcPr>
          <w:p>
            <w:pPr>
              <w:pStyle w:val="TableContents"/>
              <w:bidi w:val="0"/>
              <w:spacing w:before="0" w:after="283"/>
              <w:jc w:val="left"/>
              <w:rPr/>
            </w:pPr>
            <w:r>
              <w:rPr/>
              <w:t>Title to Partnership Assets</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3"/>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3"/>
            <w:tcBorders/>
            <w:vAlign w:val="bottom"/>
          </w:tcPr>
          <w:p>
            <w:pPr>
              <w:pStyle w:val="TableContents"/>
              <w:bidi w:val="0"/>
              <w:spacing w:before="0" w:after="283"/>
              <w:jc w:val="left"/>
              <w:rPr>
                <w:b/>
              </w:rPr>
            </w:pPr>
            <w:r>
              <w:rPr>
                <w:b/>
              </w:rPr>
              <w:t>ARTICLE III RIGHTS OF LIMITED PARTNERS</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b/>
              </w:rPr>
            </w:pPr>
            <w:r>
              <w:rPr>
                <w:b/>
              </w:rPr>
              <w:t>32</w:t>
            </w:r>
          </w:p>
        </w:tc>
        <w:tc>
          <w:tcPr>
            <w:tcW w:w="64" w:type="dxa"/>
            <w:tcBorders/>
            <w:vAlign w:val="bottom"/>
          </w:tcPr>
          <w:p>
            <w:pPr>
              <w:pStyle w:val="TableContents"/>
              <w:bidi w:val="0"/>
              <w:spacing w:before="0" w:after="283"/>
              <w:jc w:val="left"/>
              <w:rPr/>
            </w:pPr>
            <w:r>
              <w:rPr/>
              <w:t> </w:t>
            </w:r>
          </w:p>
        </w:tc>
      </w:tr>
      <w:tr>
        <w:trPr>
          <w:trHeight w:val="120" w:hRule="atLeast"/>
        </w:trPr>
        <w:tc>
          <w:tcPr>
            <w:tcW w:w="1204" w:type="dxa"/>
            <w:tcBorders/>
            <w:vAlign w:val="center"/>
          </w:tcPr>
          <w:p>
            <w:pPr>
              <w:pStyle w:val="TableContents"/>
              <w:bidi w:val="0"/>
              <w:spacing w:before="0" w:after="283"/>
              <w:jc w:val="left"/>
              <w:rPr>
                <w:sz w:val="4"/>
                <w:szCs w:val="4"/>
              </w:rPr>
            </w:pPr>
            <w:r>
              <w:rPr>
                <w:sz w:val="4"/>
                <w:szCs w:val="4"/>
              </w:rPr>
            </w:r>
          </w:p>
        </w:tc>
        <w:tc>
          <w:tcPr>
            <w:tcW w:w="8315"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12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137" w:type="dxa"/>
            <w:tcBorders/>
            <w:vAlign w:val="bottom"/>
          </w:tcPr>
          <w:p>
            <w:pPr>
              <w:pStyle w:val="TableContents"/>
              <w:bidi w:val="0"/>
              <w:spacing w:before="0" w:after="283"/>
              <w:jc w:val="left"/>
              <w:rPr/>
            </w:pPr>
            <w:r>
              <w:rPr/>
              <w:t>  </w:t>
            </w:r>
          </w:p>
        </w:tc>
        <w:tc>
          <w:tcPr>
            <w:tcW w:w="8178" w:type="dxa"/>
            <w:tcBorders/>
            <w:vAlign w:val="bottom"/>
          </w:tcPr>
          <w:p>
            <w:pPr>
              <w:pStyle w:val="TableContents"/>
              <w:bidi w:val="0"/>
              <w:spacing w:before="0" w:after="283"/>
              <w:jc w:val="left"/>
              <w:rPr/>
            </w:pPr>
            <w:r>
              <w:rPr/>
              <w:t>Limitation of Liability</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12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137" w:type="dxa"/>
            <w:tcBorders/>
            <w:vAlign w:val="bottom"/>
          </w:tcPr>
          <w:p>
            <w:pPr>
              <w:pStyle w:val="TableContents"/>
              <w:bidi w:val="0"/>
              <w:spacing w:before="0" w:after="283"/>
              <w:jc w:val="left"/>
              <w:rPr/>
            </w:pPr>
            <w:r>
              <w:rPr/>
              <w:t>  </w:t>
            </w:r>
          </w:p>
        </w:tc>
        <w:tc>
          <w:tcPr>
            <w:tcW w:w="8178" w:type="dxa"/>
            <w:tcBorders/>
            <w:vAlign w:val="bottom"/>
          </w:tcPr>
          <w:p>
            <w:pPr>
              <w:pStyle w:val="TableContents"/>
              <w:bidi w:val="0"/>
              <w:spacing w:before="0" w:after="283"/>
              <w:jc w:val="left"/>
              <w:rPr/>
            </w:pPr>
            <w:r>
              <w:rPr/>
              <w:t>Management of Business</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12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137" w:type="dxa"/>
            <w:tcBorders/>
            <w:vAlign w:val="bottom"/>
          </w:tcPr>
          <w:p>
            <w:pPr>
              <w:pStyle w:val="TableContents"/>
              <w:bidi w:val="0"/>
              <w:spacing w:before="0" w:after="283"/>
              <w:jc w:val="left"/>
              <w:rPr/>
            </w:pPr>
            <w:r>
              <w:rPr/>
              <w:t>  </w:t>
            </w:r>
          </w:p>
        </w:tc>
        <w:tc>
          <w:tcPr>
            <w:tcW w:w="8178" w:type="dxa"/>
            <w:tcBorders/>
            <w:vAlign w:val="bottom"/>
          </w:tcPr>
          <w:p>
            <w:pPr>
              <w:pStyle w:val="TableContents"/>
              <w:bidi w:val="0"/>
              <w:spacing w:before="0" w:after="283"/>
              <w:jc w:val="left"/>
              <w:rPr/>
            </w:pPr>
            <w:r>
              <w:rPr/>
              <w:t>Outside Activities of the Limited Partners</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2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137" w:type="dxa"/>
            <w:tcBorders/>
            <w:vAlign w:val="bottom"/>
          </w:tcPr>
          <w:p>
            <w:pPr>
              <w:pStyle w:val="TableContents"/>
              <w:bidi w:val="0"/>
              <w:spacing w:before="0" w:after="283"/>
              <w:jc w:val="left"/>
              <w:rPr/>
            </w:pPr>
            <w:r>
              <w:rPr/>
              <w:t>  </w:t>
            </w:r>
          </w:p>
        </w:tc>
        <w:tc>
          <w:tcPr>
            <w:tcW w:w="8178" w:type="dxa"/>
            <w:tcBorders/>
            <w:vAlign w:val="bottom"/>
          </w:tcPr>
          <w:p>
            <w:pPr>
              <w:pStyle w:val="TableContents"/>
              <w:bidi w:val="0"/>
              <w:spacing w:before="0" w:after="283"/>
              <w:jc w:val="left"/>
              <w:rPr/>
            </w:pPr>
            <w:r>
              <w:rPr/>
              <w:t>Rights of Limited Partners</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3"/>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3"/>
            <w:tcBorders/>
            <w:vAlign w:val="bottom"/>
          </w:tcPr>
          <w:p>
            <w:pPr>
              <w:pStyle w:val="TableContents"/>
              <w:bidi w:val="0"/>
              <w:spacing w:before="0" w:after="283"/>
              <w:jc w:val="left"/>
              <w:rPr>
                <w:b/>
              </w:rPr>
            </w:pPr>
            <w:r>
              <w:rPr>
                <w:b/>
              </w:rPr>
              <w:t>ARTICLE IV CERTIFICATES; RECORD HOLDERS; TRANSFER OF PARTNERSHIP INTERESTS; REDEMPTION OF PARTNERSHIP INTERESTS</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b/>
              </w:rPr>
            </w:pPr>
            <w:r>
              <w:rPr>
                <w:b/>
              </w:rPr>
              <w:t>34</w:t>
            </w:r>
          </w:p>
        </w:tc>
        <w:tc>
          <w:tcPr>
            <w:tcW w:w="64" w:type="dxa"/>
            <w:tcBorders/>
            <w:vAlign w:val="bottom"/>
          </w:tcPr>
          <w:p>
            <w:pPr>
              <w:pStyle w:val="TableContents"/>
              <w:bidi w:val="0"/>
              <w:spacing w:before="0" w:after="283"/>
              <w:jc w:val="left"/>
              <w:rPr/>
            </w:pPr>
            <w:r>
              <w:rPr/>
              <w:t> </w:t>
            </w:r>
          </w:p>
        </w:tc>
      </w:tr>
      <w:tr>
        <w:trPr>
          <w:trHeight w:val="120" w:hRule="atLeast"/>
        </w:trPr>
        <w:tc>
          <w:tcPr>
            <w:tcW w:w="1204" w:type="dxa"/>
            <w:tcBorders/>
            <w:vAlign w:val="center"/>
          </w:tcPr>
          <w:p>
            <w:pPr>
              <w:pStyle w:val="TableContents"/>
              <w:bidi w:val="0"/>
              <w:spacing w:before="0" w:after="283"/>
              <w:jc w:val="left"/>
              <w:rPr>
                <w:sz w:val="4"/>
                <w:szCs w:val="4"/>
              </w:rPr>
            </w:pPr>
            <w:r>
              <w:rPr>
                <w:sz w:val="4"/>
                <w:szCs w:val="4"/>
              </w:rPr>
            </w:r>
          </w:p>
        </w:tc>
        <w:tc>
          <w:tcPr>
            <w:tcW w:w="8315"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12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137" w:type="dxa"/>
            <w:tcBorders/>
            <w:vAlign w:val="bottom"/>
          </w:tcPr>
          <w:p>
            <w:pPr>
              <w:pStyle w:val="TableContents"/>
              <w:bidi w:val="0"/>
              <w:spacing w:before="0" w:after="283"/>
              <w:jc w:val="left"/>
              <w:rPr/>
            </w:pPr>
            <w:r>
              <w:rPr/>
              <w:t>  </w:t>
            </w:r>
          </w:p>
        </w:tc>
        <w:tc>
          <w:tcPr>
            <w:tcW w:w="8178" w:type="dxa"/>
            <w:tcBorders/>
            <w:vAlign w:val="bottom"/>
          </w:tcPr>
          <w:p>
            <w:pPr>
              <w:pStyle w:val="TableContents"/>
              <w:bidi w:val="0"/>
              <w:spacing w:before="0" w:after="283"/>
              <w:jc w:val="left"/>
              <w:rPr/>
            </w:pPr>
            <w:r>
              <w:rPr/>
              <w:t>Certificates</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12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137" w:type="dxa"/>
            <w:tcBorders/>
            <w:vAlign w:val="bottom"/>
          </w:tcPr>
          <w:p>
            <w:pPr>
              <w:pStyle w:val="TableContents"/>
              <w:bidi w:val="0"/>
              <w:spacing w:before="0" w:after="283"/>
              <w:jc w:val="left"/>
              <w:rPr/>
            </w:pPr>
            <w:r>
              <w:rPr/>
              <w:t>  </w:t>
            </w:r>
          </w:p>
        </w:tc>
        <w:tc>
          <w:tcPr>
            <w:tcW w:w="8178" w:type="dxa"/>
            <w:tcBorders/>
            <w:vAlign w:val="bottom"/>
          </w:tcPr>
          <w:p>
            <w:pPr>
              <w:pStyle w:val="TableContents"/>
              <w:bidi w:val="0"/>
              <w:spacing w:before="0" w:after="283"/>
              <w:jc w:val="left"/>
              <w:rPr/>
            </w:pPr>
            <w:r>
              <w:rPr/>
              <w:t>Mutilated, Destroyed, Lost or Stolen Certificates</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1204"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137"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283"/>
              <w:jc w:val="left"/>
              <w:rPr/>
            </w:pPr>
            <w:r>
              <w:rPr/>
              <w:t>Record Holders</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1204"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137"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283"/>
              <w:jc w:val="left"/>
              <w:rPr/>
            </w:pPr>
            <w:r>
              <w:rPr/>
              <w:t>Transfer Generally</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1204"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137"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283"/>
              <w:jc w:val="left"/>
              <w:rPr/>
            </w:pPr>
            <w:r>
              <w:rPr/>
              <w:t>Registration and Transfer of Limited Partner Interests</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204" w:type="dxa"/>
            <w:tcBorders/>
          </w:tcPr>
          <w:p>
            <w:pPr>
              <w:pStyle w:val="TableContents"/>
              <w:bidi w:val="0"/>
              <w:spacing w:before="0" w:after="0"/>
              <w:jc w:val="left"/>
              <w:rPr>
                <w:rFonts w:ascii="Times New Roman" w:hAnsi="Times New Roman"/>
                <w:sz w:val="20"/>
              </w:rPr>
            </w:pPr>
            <w:r>
              <w:rPr>
                <w:rFonts w:ascii="Times New Roman" w:hAnsi="Times New Roman"/>
                <w:sz w:val="20"/>
              </w:rPr>
              <w:t>Section 4.6</w:t>
            </w:r>
          </w:p>
        </w:tc>
        <w:tc>
          <w:tcPr>
            <w:tcW w:w="137"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283"/>
              <w:jc w:val="left"/>
              <w:rPr/>
            </w:pPr>
            <w:r>
              <w:rPr/>
              <w:t>Transfer of the General Partner Interest</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1204" w:type="dxa"/>
            <w:tcBorders/>
          </w:tcPr>
          <w:p>
            <w:pPr>
              <w:pStyle w:val="TableContents"/>
              <w:bidi w:val="0"/>
              <w:spacing w:before="0" w:after="0"/>
              <w:jc w:val="left"/>
              <w:rPr>
                <w:rFonts w:ascii="Times New Roman" w:hAnsi="Times New Roman"/>
                <w:sz w:val="20"/>
              </w:rPr>
            </w:pPr>
            <w:r>
              <w:rPr>
                <w:rFonts w:ascii="Times New Roman" w:hAnsi="Times New Roman"/>
                <w:sz w:val="20"/>
              </w:rPr>
              <w:t>Section 4.7</w:t>
            </w:r>
          </w:p>
        </w:tc>
        <w:tc>
          <w:tcPr>
            <w:tcW w:w="137"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283"/>
              <w:jc w:val="left"/>
              <w:rPr/>
            </w:pPr>
            <w:r>
              <w:rPr/>
              <w:t>Restrictions on Transfers</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1204" w:type="dxa"/>
            <w:tcBorders/>
          </w:tcPr>
          <w:p>
            <w:pPr>
              <w:pStyle w:val="TableContents"/>
              <w:bidi w:val="0"/>
              <w:spacing w:before="0" w:after="0"/>
              <w:jc w:val="left"/>
              <w:rPr>
                <w:rFonts w:ascii="Times New Roman" w:hAnsi="Times New Roman"/>
                <w:sz w:val="20"/>
              </w:rPr>
            </w:pPr>
            <w:r>
              <w:rPr>
                <w:rFonts w:ascii="Times New Roman" w:hAnsi="Times New Roman"/>
                <w:sz w:val="20"/>
              </w:rPr>
              <w:t>Section 4.8</w:t>
            </w:r>
          </w:p>
        </w:tc>
        <w:tc>
          <w:tcPr>
            <w:tcW w:w="137"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283"/>
              <w:jc w:val="left"/>
              <w:rPr/>
            </w:pPr>
            <w:r>
              <w:rPr/>
              <w:t>Taxation Certifications; Ineligible Assignees</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1204" w:type="dxa"/>
            <w:tcBorders/>
          </w:tcPr>
          <w:p>
            <w:pPr>
              <w:pStyle w:val="TableContents"/>
              <w:bidi w:val="0"/>
              <w:spacing w:before="0" w:after="0"/>
              <w:jc w:val="left"/>
              <w:rPr>
                <w:rFonts w:ascii="Times New Roman" w:hAnsi="Times New Roman"/>
                <w:sz w:val="20"/>
              </w:rPr>
            </w:pPr>
            <w:r>
              <w:rPr>
                <w:rFonts w:ascii="Times New Roman" w:hAnsi="Times New Roman"/>
                <w:sz w:val="20"/>
              </w:rPr>
              <w:t>Section 4.9</w:t>
            </w:r>
          </w:p>
        </w:tc>
        <w:tc>
          <w:tcPr>
            <w:tcW w:w="137"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283"/>
              <w:jc w:val="left"/>
              <w:rPr/>
            </w:pPr>
            <w:r>
              <w:rPr/>
              <w:t>Redemption of Partnership Interests of Ineligible Assignees</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3"/>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3"/>
            <w:tcBorders/>
            <w:vAlign w:val="bottom"/>
          </w:tcPr>
          <w:p>
            <w:pPr>
              <w:pStyle w:val="TableContents"/>
              <w:bidi w:val="0"/>
              <w:spacing w:before="0" w:after="283"/>
              <w:jc w:val="left"/>
              <w:rPr>
                <w:b/>
              </w:rPr>
            </w:pPr>
            <w:r>
              <w:rPr>
                <w:b/>
              </w:rPr>
              <w:t>ARTICLE V CAPITAL CONTRIBUTIONS AND ISSUANCE OF PARTNERSHIP INTERESTS</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b/>
              </w:rPr>
            </w:pPr>
            <w:r>
              <w:rPr>
                <w:b/>
              </w:rPr>
              <w:t>40</w:t>
            </w:r>
          </w:p>
        </w:tc>
        <w:tc>
          <w:tcPr>
            <w:tcW w:w="64" w:type="dxa"/>
            <w:tcBorders/>
            <w:vAlign w:val="bottom"/>
          </w:tcPr>
          <w:p>
            <w:pPr>
              <w:pStyle w:val="TableContents"/>
              <w:bidi w:val="0"/>
              <w:spacing w:before="0" w:after="283"/>
              <w:jc w:val="left"/>
              <w:rPr/>
            </w:pPr>
            <w:r>
              <w:rPr/>
              <w:t> </w:t>
            </w:r>
          </w:p>
        </w:tc>
      </w:tr>
      <w:tr>
        <w:trPr>
          <w:trHeight w:val="120" w:hRule="atLeast"/>
        </w:trPr>
        <w:tc>
          <w:tcPr>
            <w:tcW w:w="1204" w:type="dxa"/>
            <w:tcBorders/>
            <w:vAlign w:val="center"/>
          </w:tcPr>
          <w:p>
            <w:pPr>
              <w:pStyle w:val="TableContents"/>
              <w:bidi w:val="0"/>
              <w:spacing w:before="0" w:after="283"/>
              <w:jc w:val="left"/>
              <w:rPr>
                <w:sz w:val="4"/>
                <w:szCs w:val="4"/>
              </w:rPr>
            </w:pPr>
            <w:r>
              <w:rPr>
                <w:sz w:val="4"/>
                <w:szCs w:val="4"/>
              </w:rPr>
            </w:r>
          </w:p>
        </w:tc>
        <w:tc>
          <w:tcPr>
            <w:tcW w:w="8315"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1204"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137"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283"/>
              <w:jc w:val="left"/>
              <w:rPr/>
            </w:pPr>
            <w:r>
              <w:rPr/>
              <w:t>Prior Contributions</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1204"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137"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283"/>
              <w:jc w:val="left"/>
              <w:rPr/>
            </w:pPr>
            <w:r>
              <w:rPr/>
              <w:t>Continuation of General Partner and Limited Partner Interests; Initial Offering; Contributions by the General Partner</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1204"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137"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283"/>
              <w:jc w:val="left"/>
              <w:rPr/>
            </w:pPr>
            <w:r>
              <w:rPr/>
              <w:t>Contributions by the Underwriters</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1204"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137"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283"/>
              <w:jc w:val="left"/>
              <w:rPr/>
            </w:pPr>
            <w:r>
              <w:rPr/>
              <w:t>Interest and Withdrawal</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1204"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137"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283"/>
              <w:jc w:val="left"/>
              <w:rPr/>
            </w:pPr>
            <w:r>
              <w:rPr/>
              <w:t>Capital Accounts</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1204"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137"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283"/>
              <w:jc w:val="left"/>
              <w:rPr/>
            </w:pPr>
            <w:r>
              <w:rPr/>
              <w:t>Issuances of Additional Partnership Securities</w:t>
            </w:r>
          </w:p>
        </w:tc>
        <w:tc>
          <w:tcPr>
            <w:tcW w:w="1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79"/>
        <w:gridCol w:w="152"/>
        <w:gridCol w:w="7714"/>
        <w:gridCol w:w="152"/>
        <w:gridCol w:w="60"/>
        <w:gridCol w:w="385"/>
        <w:gridCol w:w="63"/>
      </w:tblGrid>
      <w:tr>
        <w:trPr/>
        <w:tc>
          <w:tcPr>
            <w:tcW w:w="1679"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7714"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Limited Preemptive Right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5.8</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Splits and Combinations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5.9</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Fully Paid and Non-Assessable Nature of Limited Partner Interests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Establishment of Class A Units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Establishment of Series B Preferred Units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Establishment of Series G Preferred Units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Establishment of Class B Units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Establishment of Series H Preferred Units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Establishment of Series I Preferred Units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rHeight w:val="120" w:hRule="atLeast"/>
        </w:trPr>
        <w:tc>
          <w:tcPr>
            <w:tcW w:w="9545" w:type="dxa"/>
            <w:gridSpan w:val="3"/>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9545" w:type="dxa"/>
            <w:gridSpan w:val="3"/>
            <w:tcBorders/>
            <w:vAlign w:val="bottom"/>
          </w:tcPr>
          <w:p>
            <w:pPr>
              <w:pStyle w:val="TableContents"/>
              <w:bidi w:val="0"/>
              <w:spacing w:before="0" w:after="283"/>
              <w:jc w:val="left"/>
              <w:rPr>
                <w:b/>
              </w:rPr>
            </w:pPr>
            <w:r>
              <w:rPr>
                <w:b/>
              </w:rPr>
              <w:t>ARTICLE VI ALLOCATIONS AND DISTRIBUTIONS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b/>
              </w:rPr>
            </w:pPr>
            <w:r>
              <w:rPr>
                <w:b/>
              </w:rPr>
              <w:t>90</w:t>
            </w:r>
          </w:p>
        </w:tc>
        <w:tc>
          <w:tcPr>
            <w:tcW w:w="63" w:type="dxa"/>
            <w:tcBorders/>
            <w:vAlign w:val="bottom"/>
          </w:tcPr>
          <w:p>
            <w:pPr>
              <w:pStyle w:val="TableContents"/>
              <w:bidi w:val="0"/>
              <w:spacing w:before="0" w:after="283"/>
              <w:jc w:val="left"/>
              <w:rPr/>
            </w:pPr>
            <w:r>
              <w:rPr/>
              <w:t> </w:t>
            </w:r>
          </w:p>
        </w:tc>
      </w:tr>
      <w:tr>
        <w:trPr>
          <w:trHeight w:val="120" w:hRule="atLeast"/>
        </w:trPr>
        <w:tc>
          <w:tcPr>
            <w:tcW w:w="1679" w:type="dxa"/>
            <w:tcBorders/>
            <w:vAlign w:val="center"/>
          </w:tcPr>
          <w:p>
            <w:pPr>
              <w:pStyle w:val="TableContents"/>
              <w:bidi w:val="0"/>
              <w:spacing w:before="0" w:after="283"/>
              <w:jc w:val="left"/>
              <w:rPr>
                <w:sz w:val="4"/>
                <w:szCs w:val="4"/>
              </w:rPr>
            </w:pPr>
            <w:r>
              <w:rPr>
                <w:sz w:val="4"/>
                <w:szCs w:val="4"/>
              </w:rPr>
            </w:r>
          </w:p>
        </w:tc>
        <w:tc>
          <w:tcPr>
            <w:tcW w:w="7866"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Allocations for Capital Account Purposes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Allocations for Tax Purposes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Requirement and Characterization of Distributions; Distributions to Record Holders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Special Provisions Relating to Preferred Unitholders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r>
        <w:trPr>
          <w:trHeight w:val="120" w:hRule="atLeast"/>
        </w:trPr>
        <w:tc>
          <w:tcPr>
            <w:tcW w:w="9545" w:type="dxa"/>
            <w:gridSpan w:val="3"/>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9545" w:type="dxa"/>
            <w:gridSpan w:val="3"/>
            <w:tcBorders/>
            <w:vAlign w:val="bottom"/>
          </w:tcPr>
          <w:p>
            <w:pPr>
              <w:pStyle w:val="TableContents"/>
              <w:bidi w:val="0"/>
              <w:spacing w:before="0" w:after="283"/>
              <w:jc w:val="left"/>
              <w:rPr>
                <w:b/>
              </w:rPr>
            </w:pPr>
            <w:r>
              <w:rPr>
                <w:b/>
              </w:rPr>
              <w:t>ARTICLE VII MANAGEMENT AND OPERATION OF BUSINESS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b/>
              </w:rPr>
            </w:pPr>
            <w:r>
              <w:rPr>
                <w:b/>
              </w:rPr>
              <w:t>100</w:t>
            </w:r>
          </w:p>
        </w:tc>
        <w:tc>
          <w:tcPr>
            <w:tcW w:w="63" w:type="dxa"/>
            <w:tcBorders/>
            <w:vAlign w:val="bottom"/>
          </w:tcPr>
          <w:p>
            <w:pPr>
              <w:pStyle w:val="TableContents"/>
              <w:bidi w:val="0"/>
              <w:spacing w:before="0" w:after="283"/>
              <w:jc w:val="left"/>
              <w:rPr/>
            </w:pPr>
            <w:r>
              <w:rPr/>
              <w:t> </w:t>
            </w:r>
          </w:p>
        </w:tc>
      </w:tr>
      <w:tr>
        <w:trPr>
          <w:trHeight w:val="120" w:hRule="atLeast"/>
        </w:trPr>
        <w:tc>
          <w:tcPr>
            <w:tcW w:w="1679" w:type="dxa"/>
            <w:tcBorders/>
            <w:vAlign w:val="center"/>
          </w:tcPr>
          <w:p>
            <w:pPr>
              <w:pStyle w:val="TableContents"/>
              <w:bidi w:val="0"/>
              <w:spacing w:before="0" w:after="283"/>
              <w:jc w:val="left"/>
              <w:rPr>
                <w:sz w:val="4"/>
                <w:szCs w:val="4"/>
              </w:rPr>
            </w:pPr>
            <w:r>
              <w:rPr>
                <w:sz w:val="4"/>
                <w:szCs w:val="4"/>
              </w:rPr>
            </w:r>
          </w:p>
        </w:tc>
        <w:tc>
          <w:tcPr>
            <w:tcW w:w="7866"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Management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Certificate of Formation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Restrictions on General Partner’s Authority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Reimbursement of the General Partner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Outside Activities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Loans from the General Partner; Loans or Contributions from the Partnership; Contracts with Affiliates; Certain Restrictions on the General Partner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105</w:t>
            </w:r>
          </w:p>
        </w:tc>
        <w:tc>
          <w:tcPr>
            <w:tcW w:w="63" w:type="dxa"/>
            <w:tcBorders/>
            <w:vAlign w:val="bottom"/>
          </w:tcPr>
          <w:p>
            <w:pPr>
              <w:pStyle w:val="TableContents"/>
              <w:bidi w:val="0"/>
              <w:spacing w:before="0" w:after="283"/>
              <w:jc w:val="left"/>
              <w:rPr/>
            </w:pPr>
            <w:r>
              <w:rPr/>
              <w:t> </w:t>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Indemnification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106</w:t>
            </w:r>
          </w:p>
        </w:tc>
        <w:tc>
          <w:tcPr>
            <w:tcW w:w="63" w:type="dxa"/>
            <w:tcBorders/>
            <w:vAlign w:val="bottom"/>
          </w:tcPr>
          <w:p>
            <w:pPr>
              <w:pStyle w:val="TableContents"/>
              <w:bidi w:val="0"/>
              <w:spacing w:before="0" w:after="283"/>
              <w:jc w:val="left"/>
              <w:rPr/>
            </w:pPr>
            <w:r>
              <w:rPr/>
              <w:t> </w:t>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Liability of Indemnitees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108</w:t>
            </w:r>
          </w:p>
        </w:tc>
        <w:tc>
          <w:tcPr>
            <w:tcW w:w="63" w:type="dxa"/>
            <w:tcBorders/>
            <w:vAlign w:val="bottom"/>
          </w:tcPr>
          <w:p>
            <w:pPr>
              <w:pStyle w:val="TableContents"/>
              <w:bidi w:val="0"/>
              <w:spacing w:before="0" w:after="283"/>
              <w:jc w:val="left"/>
              <w:rPr/>
            </w:pPr>
            <w:r>
              <w:rPr/>
              <w:t> </w:t>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Resolution of Conflicts of Interest; Standards of Conduct and Modification of Duties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Other Matters Concerning the General Partner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Purchase or Sale of Partnership Securities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Registration Rights of the General Partner and its Affiliates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Reliance by Third Parties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115</w:t>
            </w:r>
          </w:p>
        </w:tc>
        <w:tc>
          <w:tcPr>
            <w:tcW w:w="63" w:type="dxa"/>
            <w:tcBorders/>
            <w:vAlign w:val="bottom"/>
          </w:tcPr>
          <w:p>
            <w:pPr>
              <w:pStyle w:val="TableContents"/>
              <w:bidi w:val="0"/>
              <w:spacing w:before="0" w:after="283"/>
              <w:jc w:val="left"/>
              <w:rPr/>
            </w:pPr>
            <w:r>
              <w:rPr/>
              <w:t> </w:t>
            </w:r>
          </w:p>
        </w:tc>
      </w:tr>
      <w:tr>
        <w:trPr>
          <w:trHeight w:val="120" w:hRule="atLeast"/>
        </w:trPr>
        <w:tc>
          <w:tcPr>
            <w:tcW w:w="9545" w:type="dxa"/>
            <w:gridSpan w:val="3"/>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9545" w:type="dxa"/>
            <w:gridSpan w:val="3"/>
            <w:tcBorders/>
            <w:vAlign w:val="bottom"/>
          </w:tcPr>
          <w:p>
            <w:pPr>
              <w:pStyle w:val="TableContents"/>
              <w:bidi w:val="0"/>
              <w:spacing w:before="0" w:after="283"/>
              <w:jc w:val="left"/>
              <w:rPr>
                <w:b/>
              </w:rPr>
            </w:pPr>
            <w:r>
              <w:rPr>
                <w:b/>
              </w:rPr>
              <w:t>ARTICLE VIII BOOKS, RECORDS, ACCOUNTING AND REPORTS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b/>
              </w:rPr>
            </w:pPr>
            <w:r>
              <w:rPr>
                <w:b/>
              </w:rPr>
              <w:t>115</w:t>
            </w:r>
          </w:p>
        </w:tc>
        <w:tc>
          <w:tcPr>
            <w:tcW w:w="63" w:type="dxa"/>
            <w:tcBorders/>
            <w:vAlign w:val="bottom"/>
          </w:tcPr>
          <w:p>
            <w:pPr>
              <w:pStyle w:val="TableContents"/>
              <w:bidi w:val="0"/>
              <w:spacing w:before="0" w:after="283"/>
              <w:jc w:val="left"/>
              <w:rPr/>
            </w:pPr>
            <w:r>
              <w:rPr/>
              <w:t> </w:t>
            </w:r>
          </w:p>
        </w:tc>
      </w:tr>
      <w:tr>
        <w:trPr>
          <w:trHeight w:val="120" w:hRule="atLeast"/>
        </w:trPr>
        <w:tc>
          <w:tcPr>
            <w:tcW w:w="1679" w:type="dxa"/>
            <w:tcBorders/>
            <w:vAlign w:val="center"/>
          </w:tcPr>
          <w:p>
            <w:pPr>
              <w:pStyle w:val="TableContents"/>
              <w:bidi w:val="0"/>
              <w:spacing w:before="0" w:after="283"/>
              <w:jc w:val="left"/>
              <w:rPr>
                <w:sz w:val="4"/>
                <w:szCs w:val="4"/>
              </w:rPr>
            </w:pPr>
            <w:r>
              <w:rPr>
                <w:sz w:val="4"/>
                <w:szCs w:val="4"/>
              </w:rPr>
            </w:r>
          </w:p>
        </w:tc>
        <w:tc>
          <w:tcPr>
            <w:tcW w:w="7866"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Records and Accounting</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115</w:t>
            </w:r>
          </w:p>
        </w:tc>
        <w:tc>
          <w:tcPr>
            <w:tcW w:w="63" w:type="dxa"/>
            <w:tcBorders/>
            <w:vAlign w:val="bottom"/>
          </w:tcPr>
          <w:p>
            <w:pPr>
              <w:pStyle w:val="TableContents"/>
              <w:bidi w:val="0"/>
              <w:spacing w:before="0" w:after="283"/>
              <w:jc w:val="left"/>
              <w:rPr/>
            </w:pPr>
            <w:r>
              <w:rPr/>
              <w:t> </w:t>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Fiscal Year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115</w:t>
            </w:r>
          </w:p>
        </w:tc>
        <w:tc>
          <w:tcPr>
            <w:tcW w:w="63" w:type="dxa"/>
            <w:tcBorders/>
            <w:vAlign w:val="bottom"/>
          </w:tcPr>
          <w:p>
            <w:pPr>
              <w:pStyle w:val="TableContents"/>
              <w:bidi w:val="0"/>
              <w:spacing w:before="0" w:after="283"/>
              <w:jc w:val="left"/>
              <w:rPr/>
            </w:pPr>
            <w:r>
              <w:rPr/>
              <w:t> </w:t>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Reports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116</w:t>
            </w:r>
          </w:p>
        </w:tc>
        <w:tc>
          <w:tcPr>
            <w:tcW w:w="63" w:type="dxa"/>
            <w:tcBorders/>
            <w:vAlign w:val="bottom"/>
          </w:tcPr>
          <w:p>
            <w:pPr>
              <w:pStyle w:val="TableContents"/>
              <w:bidi w:val="0"/>
              <w:spacing w:before="0" w:after="283"/>
              <w:jc w:val="left"/>
              <w:rPr/>
            </w:pPr>
            <w:r>
              <w:rPr/>
              <w:t> </w:t>
            </w:r>
          </w:p>
        </w:tc>
      </w:tr>
      <w:tr>
        <w:trPr>
          <w:trHeight w:val="120" w:hRule="atLeast"/>
        </w:trPr>
        <w:tc>
          <w:tcPr>
            <w:tcW w:w="9545" w:type="dxa"/>
            <w:gridSpan w:val="3"/>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9545" w:type="dxa"/>
            <w:gridSpan w:val="3"/>
            <w:tcBorders/>
            <w:vAlign w:val="bottom"/>
          </w:tcPr>
          <w:p>
            <w:pPr>
              <w:pStyle w:val="TableContents"/>
              <w:bidi w:val="0"/>
              <w:spacing w:before="0" w:after="283"/>
              <w:jc w:val="left"/>
              <w:rPr>
                <w:b/>
              </w:rPr>
            </w:pPr>
            <w:r>
              <w:rPr>
                <w:b/>
              </w:rPr>
              <w:t>ARTICLE IX TAX MATTERS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b/>
              </w:rPr>
            </w:pPr>
            <w:r>
              <w:rPr>
                <w:b/>
              </w:rPr>
              <w:t>116</w:t>
            </w:r>
          </w:p>
        </w:tc>
        <w:tc>
          <w:tcPr>
            <w:tcW w:w="63" w:type="dxa"/>
            <w:tcBorders/>
            <w:vAlign w:val="bottom"/>
          </w:tcPr>
          <w:p>
            <w:pPr>
              <w:pStyle w:val="TableContents"/>
              <w:bidi w:val="0"/>
              <w:spacing w:before="0" w:after="283"/>
              <w:jc w:val="left"/>
              <w:rPr/>
            </w:pPr>
            <w:r>
              <w:rPr/>
              <w:t> </w:t>
            </w:r>
          </w:p>
        </w:tc>
      </w:tr>
      <w:tr>
        <w:trPr>
          <w:trHeight w:val="120" w:hRule="atLeast"/>
        </w:trPr>
        <w:tc>
          <w:tcPr>
            <w:tcW w:w="1679" w:type="dxa"/>
            <w:tcBorders/>
            <w:vAlign w:val="center"/>
          </w:tcPr>
          <w:p>
            <w:pPr>
              <w:pStyle w:val="TableContents"/>
              <w:bidi w:val="0"/>
              <w:spacing w:before="0" w:after="283"/>
              <w:jc w:val="left"/>
              <w:rPr>
                <w:sz w:val="4"/>
                <w:szCs w:val="4"/>
              </w:rPr>
            </w:pPr>
            <w:r>
              <w:rPr>
                <w:sz w:val="4"/>
                <w:szCs w:val="4"/>
              </w:rPr>
            </w:r>
          </w:p>
        </w:tc>
        <w:tc>
          <w:tcPr>
            <w:tcW w:w="7866"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Tax Returns and Information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116</w:t>
            </w:r>
          </w:p>
        </w:tc>
        <w:tc>
          <w:tcPr>
            <w:tcW w:w="63" w:type="dxa"/>
            <w:tcBorders/>
            <w:vAlign w:val="bottom"/>
          </w:tcPr>
          <w:p>
            <w:pPr>
              <w:pStyle w:val="TableContents"/>
              <w:bidi w:val="0"/>
              <w:spacing w:before="0" w:after="283"/>
              <w:jc w:val="left"/>
              <w:rPr/>
            </w:pPr>
            <w:r>
              <w:rPr/>
              <w:t> </w:t>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Tax Elections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116</w:t>
            </w:r>
          </w:p>
        </w:tc>
        <w:tc>
          <w:tcPr>
            <w:tcW w:w="63" w:type="dxa"/>
            <w:tcBorders/>
            <w:vAlign w:val="bottom"/>
          </w:tcPr>
          <w:p>
            <w:pPr>
              <w:pStyle w:val="TableContents"/>
              <w:bidi w:val="0"/>
              <w:spacing w:before="0" w:after="283"/>
              <w:jc w:val="left"/>
              <w:rPr/>
            </w:pPr>
            <w:r>
              <w:rPr/>
              <w:t> </w:t>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Tax Controversies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117</w:t>
            </w:r>
          </w:p>
        </w:tc>
        <w:tc>
          <w:tcPr>
            <w:tcW w:w="63" w:type="dxa"/>
            <w:tcBorders/>
            <w:vAlign w:val="bottom"/>
          </w:tcPr>
          <w:p>
            <w:pPr>
              <w:pStyle w:val="TableContents"/>
              <w:bidi w:val="0"/>
              <w:spacing w:before="0" w:after="283"/>
              <w:jc w:val="left"/>
              <w:rPr/>
            </w:pPr>
            <w:r>
              <w:rPr/>
              <w:t> </w:t>
            </w:r>
          </w:p>
        </w:tc>
      </w:tr>
      <w:tr>
        <w:trPr/>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152"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283"/>
              <w:jc w:val="left"/>
              <w:rPr/>
            </w:pPr>
            <w:r>
              <w:rPr/>
              <w:t>Withholding</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117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754"/>
        <w:gridCol w:w="153"/>
        <w:gridCol w:w="7634"/>
        <w:gridCol w:w="153"/>
        <w:gridCol w:w="60"/>
        <w:gridCol w:w="388"/>
        <w:gridCol w:w="63"/>
      </w:tblGrid>
      <w:tr>
        <w:trPr/>
        <w:tc>
          <w:tcPr>
            <w:tcW w:w="1754"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7634"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41" w:type="dxa"/>
            <w:gridSpan w:val="3"/>
            <w:tcBorders/>
            <w:vAlign w:val="bottom"/>
          </w:tcPr>
          <w:p>
            <w:pPr>
              <w:pStyle w:val="TableContents"/>
              <w:bidi w:val="0"/>
              <w:spacing w:before="0" w:after="283"/>
              <w:jc w:val="left"/>
              <w:rPr>
                <w:b/>
              </w:rPr>
            </w:pPr>
            <w:r>
              <w:rPr>
                <w:b/>
              </w:rPr>
              <w:t>ARTICLE X ADMISSION OF PARTNERS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b/>
              </w:rPr>
            </w:pPr>
            <w:r>
              <w:rPr>
                <w:b/>
              </w:rPr>
              <w:t>117</w:t>
            </w:r>
          </w:p>
        </w:tc>
        <w:tc>
          <w:tcPr>
            <w:tcW w:w="63" w:type="dxa"/>
            <w:tcBorders/>
            <w:vAlign w:val="bottom"/>
          </w:tcPr>
          <w:p>
            <w:pPr>
              <w:pStyle w:val="TableContents"/>
              <w:bidi w:val="0"/>
              <w:spacing w:before="0" w:after="283"/>
              <w:jc w:val="left"/>
              <w:rPr/>
            </w:pPr>
            <w:r>
              <w:rPr/>
              <w:t> </w:t>
            </w:r>
          </w:p>
        </w:tc>
      </w:tr>
      <w:tr>
        <w:trPr>
          <w:trHeight w:val="120" w:hRule="atLeast"/>
        </w:trPr>
        <w:tc>
          <w:tcPr>
            <w:tcW w:w="1754" w:type="dxa"/>
            <w:tcBorders/>
            <w:vAlign w:val="center"/>
          </w:tcPr>
          <w:p>
            <w:pPr>
              <w:pStyle w:val="TableContents"/>
              <w:bidi w:val="0"/>
              <w:spacing w:before="0" w:after="283"/>
              <w:jc w:val="left"/>
              <w:rPr>
                <w:sz w:val="4"/>
                <w:szCs w:val="4"/>
              </w:rPr>
            </w:pPr>
            <w:r>
              <w:rPr>
                <w:sz w:val="4"/>
                <w:szCs w:val="4"/>
              </w:rPr>
            </w:r>
          </w:p>
        </w:tc>
        <w:tc>
          <w:tcPr>
            <w:tcW w:w="7787" w:type="dxa"/>
            <w:gridSpan w:val="2"/>
            <w:tcBorders/>
            <w:vAlign w:val="center"/>
          </w:tcPr>
          <w:p>
            <w:pPr>
              <w:pStyle w:val="TableContents"/>
              <w:bidi w:val="0"/>
              <w:spacing w:before="0" w:after="283"/>
              <w:jc w:val="left"/>
              <w:rPr>
                <w:sz w:val="4"/>
                <w:szCs w:val="4"/>
              </w:rPr>
            </w:pPr>
            <w:r>
              <w:rPr>
                <w:sz w:val="4"/>
                <w:szCs w:val="4"/>
              </w:rPr>
            </w:r>
          </w:p>
        </w:tc>
        <w:tc>
          <w:tcPr>
            <w:tcW w:w="664" w:type="dxa"/>
            <w:gridSpan w:val="4"/>
            <w:tcBorders/>
            <w:vAlign w:val="center"/>
          </w:tcPr>
          <w:p>
            <w:pPr>
              <w:pStyle w:val="TableContents"/>
              <w:bidi w:val="0"/>
              <w:spacing w:before="0" w:after="283"/>
              <w:jc w:val="left"/>
              <w:rPr>
                <w:sz w:val="4"/>
                <w:szCs w:val="4"/>
              </w:rPr>
            </w:pPr>
            <w:r>
              <w:rPr>
                <w:sz w:val="4"/>
                <w:szCs w:val="4"/>
              </w:rPr>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Admission of Substituted Limited Partners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117</w:t>
            </w:r>
          </w:p>
        </w:tc>
        <w:tc>
          <w:tcPr>
            <w:tcW w:w="63" w:type="dxa"/>
            <w:tcBorders/>
            <w:vAlign w:val="bottom"/>
          </w:tcPr>
          <w:p>
            <w:pPr>
              <w:pStyle w:val="TableContents"/>
              <w:bidi w:val="0"/>
              <w:spacing w:before="0" w:after="283"/>
              <w:jc w:val="left"/>
              <w:rPr/>
            </w:pPr>
            <w:r>
              <w:rPr/>
              <w:t> </w:t>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Admission of Successor General Partner</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119</w:t>
            </w:r>
          </w:p>
        </w:tc>
        <w:tc>
          <w:tcPr>
            <w:tcW w:w="63" w:type="dxa"/>
            <w:tcBorders/>
            <w:vAlign w:val="bottom"/>
          </w:tcPr>
          <w:p>
            <w:pPr>
              <w:pStyle w:val="TableContents"/>
              <w:bidi w:val="0"/>
              <w:spacing w:before="0" w:after="283"/>
              <w:jc w:val="left"/>
              <w:rPr/>
            </w:pPr>
            <w:r>
              <w:rPr/>
              <w:t> </w:t>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Admission of Additional Limited Partners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119</w:t>
            </w:r>
          </w:p>
        </w:tc>
        <w:tc>
          <w:tcPr>
            <w:tcW w:w="63" w:type="dxa"/>
            <w:tcBorders/>
            <w:vAlign w:val="bottom"/>
          </w:tcPr>
          <w:p>
            <w:pPr>
              <w:pStyle w:val="TableContents"/>
              <w:bidi w:val="0"/>
              <w:spacing w:before="0" w:after="283"/>
              <w:jc w:val="left"/>
              <w:rPr/>
            </w:pPr>
            <w:r>
              <w:rPr/>
              <w:t> </w:t>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Amendment of Agreement and Certificate of Formation</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119</w:t>
            </w:r>
          </w:p>
        </w:tc>
        <w:tc>
          <w:tcPr>
            <w:tcW w:w="63" w:type="dxa"/>
            <w:tcBorders/>
            <w:vAlign w:val="bottom"/>
          </w:tcPr>
          <w:p>
            <w:pPr>
              <w:pStyle w:val="TableContents"/>
              <w:bidi w:val="0"/>
              <w:spacing w:before="0" w:after="283"/>
              <w:jc w:val="left"/>
              <w:rPr/>
            </w:pPr>
            <w:r>
              <w:rPr/>
              <w:t> </w:t>
            </w:r>
          </w:p>
        </w:tc>
      </w:tr>
      <w:tr>
        <w:trPr>
          <w:trHeight w:val="120" w:hRule="atLeast"/>
        </w:trPr>
        <w:tc>
          <w:tcPr>
            <w:tcW w:w="9541" w:type="dxa"/>
            <w:gridSpan w:val="3"/>
            <w:tcBorders/>
            <w:vAlign w:val="center"/>
          </w:tcPr>
          <w:p>
            <w:pPr>
              <w:pStyle w:val="TableContents"/>
              <w:bidi w:val="0"/>
              <w:spacing w:before="0" w:after="283"/>
              <w:jc w:val="left"/>
              <w:rPr>
                <w:sz w:val="4"/>
                <w:szCs w:val="4"/>
              </w:rPr>
            </w:pPr>
            <w:r>
              <w:rPr>
                <w:sz w:val="4"/>
                <w:szCs w:val="4"/>
              </w:rPr>
            </w:r>
          </w:p>
        </w:tc>
        <w:tc>
          <w:tcPr>
            <w:tcW w:w="664" w:type="dxa"/>
            <w:gridSpan w:val="4"/>
            <w:tcBorders/>
            <w:vAlign w:val="center"/>
          </w:tcPr>
          <w:p>
            <w:pPr>
              <w:pStyle w:val="TableContents"/>
              <w:bidi w:val="0"/>
              <w:spacing w:before="0" w:after="283"/>
              <w:jc w:val="left"/>
              <w:rPr>
                <w:sz w:val="4"/>
                <w:szCs w:val="4"/>
              </w:rPr>
            </w:pPr>
            <w:r>
              <w:rPr>
                <w:sz w:val="4"/>
                <w:szCs w:val="4"/>
              </w:rPr>
            </w:r>
          </w:p>
        </w:tc>
      </w:tr>
      <w:tr>
        <w:trPr/>
        <w:tc>
          <w:tcPr>
            <w:tcW w:w="9541" w:type="dxa"/>
            <w:gridSpan w:val="3"/>
            <w:tcBorders/>
            <w:vAlign w:val="bottom"/>
          </w:tcPr>
          <w:p>
            <w:pPr>
              <w:pStyle w:val="TableContents"/>
              <w:bidi w:val="0"/>
              <w:spacing w:before="0" w:after="283"/>
              <w:jc w:val="left"/>
              <w:rPr>
                <w:b/>
              </w:rPr>
            </w:pPr>
            <w:r>
              <w:rPr>
                <w:b/>
              </w:rPr>
              <w:t>ARTICLE XI WITHDRAWAL OR REMOVAL OF PARTNERS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b/>
              </w:rPr>
            </w:pPr>
            <w:r>
              <w:rPr>
                <w:b/>
              </w:rPr>
              <w:t>120</w:t>
            </w:r>
          </w:p>
        </w:tc>
        <w:tc>
          <w:tcPr>
            <w:tcW w:w="63" w:type="dxa"/>
            <w:tcBorders/>
            <w:vAlign w:val="bottom"/>
          </w:tcPr>
          <w:p>
            <w:pPr>
              <w:pStyle w:val="TableContents"/>
              <w:bidi w:val="0"/>
              <w:spacing w:before="0" w:after="283"/>
              <w:jc w:val="left"/>
              <w:rPr/>
            </w:pPr>
            <w:r>
              <w:rPr/>
              <w:t> </w:t>
            </w:r>
          </w:p>
        </w:tc>
      </w:tr>
      <w:tr>
        <w:trPr>
          <w:trHeight w:val="120" w:hRule="atLeast"/>
        </w:trPr>
        <w:tc>
          <w:tcPr>
            <w:tcW w:w="1754" w:type="dxa"/>
            <w:tcBorders/>
            <w:vAlign w:val="center"/>
          </w:tcPr>
          <w:p>
            <w:pPr>
              <w:pStyle w:val="TableContents"/>
              <w:bidi w:val="0"/>
              <w:spacing w:before="0" w:after="283"/>
              <w:jc w:val="left"/>
              <w:rPr>
                <w:sz w:val="4"/>
                <w:szCs w:val="4"/>
              </w:rPr>
            </w:pPr>
            <w:r>
              <w:rPr>
                <w:sz w:val="4"/>
                <w:szCs w:val="4"/>
              </w:rPr>
            </w:r>
          </w:p>
        </w:tc>
        <w:tc>
          <w:tcPr>
            <w:tcW w:w="7787" w:type="dxa"/>
            <w:gridSpan w:val="2"/>
            <w:tcBorders/>
            <w:vAlign w:val="center"/>
          </w:tcPr>
          <w:p>
            <w:pPr>
              <w:pStyle w:val="TableContents"/>
              <w:bidi w:val="0"/>
              <w:spacing w:before="0" w:after="283"/>
              <w:jc w:val="left"/>
              <w:rPr>
                <w:sz w:val="4"/>
                <w:szCs w:val="4"/>
              </w:rPr>
            </w:pPr>
            <w:r>
              <w:rPr>
                <w:sz w:val="4"/>
                <w:szCs w:val="4"/>
              </w:rPr>
            </w:r>
          </w:p>
        </w:tc>
        <w:tc>
          <w:tcPr>
            <w:tcW w:w="664" w:type="dxa"/>
            <w:gridSpan w:val="4"/>
            <w:tcBorders/>
            <w:vAlign w:val="center"/>
          </w:tcPr>
          <w:p>
            <w:pPr>
              <w:pStyle w:val="TableContents"/>
              <w:bidi w:val="0"/>
              <w:spacing w:before="0" w:after="283"/>
              <w:jc w:val="left"/>
              <w:rPr>
                <w:sz w:val="4"/>
                <w:szCs w:val="4"/>
              </w:rPr>
            </w:pPr>
            <w:r>
              <w:rPr>
                <w:sz w:val="4"/>
                <w:szCs w:val="4"/>
              </w:rPr>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Withdrawal of the General Partner</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120</w:t>
            </w:r>
          </w:p>
        </w:tc>
        <w:tc>
          <w:tcPr>
            <w:tcW w:w="63" w:type="dxa"/>
            <w:tcBorders/>
            <w:vAlign w:val="bottom"/>
          </w:tcPr>
          <w:p>
            <w:pPr>
              <w:pStyle w:val="TableContents"/>
              <w:bidi w:val="0"/>
              <w:spacing w:before="0" w:after="283"/>
              <w:jc w:val="left"/>
              <w:rPr/>
            </w:pPr>
            <w:r>
              <w:rPr/>
              <w:t> </w:t>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Removal of the General Partner</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121</w:t>
            </w:r>
          </w:p>
        </w:tc>
        <w:tc>
          <w:tcPr>
            <w:tcW w:w="63" w:type="dxa"/>
            <w:tcBorders/>
            <w:vAlign w:val="bottom"/>
          </w:tcPr>
          <w:p>
            <w:pPr>
              <w:pStyle w:val="TableContents"/>
              <w:bidi w:val="0"/>
              <w:spacing w:before="0" w:after="283"/>
              <w:jc w:val="left"/>
              <w:rPr/>
            </w:pPr>
            <w:r>
              <w:rPr/>
              <w:t> </w:t>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11.3</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Interest of Departing General Partner and Successor General Partner</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121</w:t>
            </w:r>
          </w:p>
        </w:tc>
        <w:tc>
          <w:tcPr>
            <w:tcW w:w="63" w:type="dxa"/>
            <w:tcBorders/>
            <w:vAlign w:val="bottom"/>
          </w:tcPr>
          <w:p>
            <w:pPr>
              <w:pStyle w:val="TableContents"/>
              <w:bidi w:val="0"/>
              <w:spacing w:before="0" w:after="283"/>
              <w:jc w:val="left"/>
              <w:rPr/>
            </w:pPr>
            <w:r>
              <w:rPr/>
              <w:t> </w:t>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11.4</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Withdrawal of Limited Partners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123</w:t>
            </w:r>
          </w:p>
        </w:tc>
        <w:tc>
          <w:tcPr>
            <w:tcW w:w="63" w:type="dxa"/>
            <w:tcBorders/>
            <w:vAlign w:val="bottom"/>
          </w:tcPr>
          <w:p>
            <w:pPr>
              <w:pStyle w:val="TableContents"/>
              <w:bidi w:val="0"/>
              <w:spacing w:before="0" w:after="283"/>
              <w:jc w:val="left"/>
              <w:rPr/>
            </w:pPr>
            <w:r>
              <w:rPr/>
              <w:t> </w:t>
            </w:r>
          </w:p>
        </w:tc>
      </w:tr>
      <w:tr>
        <w:trPr>
          <w:trHeight w:val="120" w:hRule="atLeast"/>
        </w:trPr>
        <w:tc>
          <w:tcPr>
            <w:tcW w:w="9541" w:type="dxa"/>
            <w:gridSpan w:val="3"/>
            <w:tcBorders/>
            <w:vAlign w:val="center"/>
          </w:tcPr>
          <w:p>
            <w:pPr>
              <w:pStyle w:val="TableContents"/>
              <w:bidi w:val="0"/>
              <w:spacing w:before="0" w:after="283"/>
              <w:jc w:val="left"/>
              <w:rPr>
                <w:sz w:val="4"/>
                <w:szCs w:val="4"/>
              </w:rPr>
            </w:pPr>
            <w:r>
              <w:rPr>
                <w:sz w:val="4"/>
                <w:szCs w:val="4"/>
              </w:rPr>
            </w:r>
          </w:p>
        </w:tc>
        <w:tc>
          <w:tcPr>
            <w:tcW w:w="664" w:type="dxa"/>
            <w:gridSpan w:val="4"/>
            <w:tcBorders/>
            <w:vAlign w:val="center"/>
          </w:tcPr>
          <w:p>
            <w:pPr>
              <w:pStyle w:val="TableContents"/>
              <w:bidi w:val="0"/>
              <w:spacing w:before="0" w:after="283"/>
              <w:jc w:val="left"/>
              <w:rPr>
                <w:sz w:val="4"/>
                <w:szCs w:val="4"/>
              </w:rPr>
            </w:pPr>
            <w:r>
              <w:rPr>
                <w:sz w:val="4"/>
                <w:szCs w:val="4"/>
              </w:rPr>
            </w:r>
          </w:p>
        </w:tc>
      </w:tr>
      <w:tr>
        <w:trPr/>
        <w:tc>
          <w:tcPr>
            <w:tcW w:w="9541" w:type="dxa"/>
            <w:gridSpan w:val="3"/>
            <w:tcBorders/>
            <w:vAlign w:val="bottom"/>
          </w:tcPr>
          <w:p>
            <w:pPr>
              <w:pStyle w:val="TableContents"/>
              <w:bidi w:val="0"/>
              <w:spacing w:before="0" w:after="283"/>
              <w:jc w:val="left"/>
              <w:rPr>
                <w:b/>
              </w:rPr>
            </w:pPr>
            <w:r>
              <w:rPr>
                <w:b/>
              </w:rPr>
              <w:t>ARTICLE XII DISSOLUTION AND LIQUIDATION</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b/>
              </w:rPr>
            </w:pPr>
            <w:r>
              <w:rPr>
                <w:b/>
              </w:rPr>
              <w:t>123</w:t>
            </w:r>
          </w:p>
        </w:tc>
        <w:tc>
          <w:tcPr>
            <w:tcW w:w="63" w:type="dxa"/>
            <w:tcBorders/>
            <w:vAlign w:val="bottom"/>
          </w:tcPr>
          <w:p>
            <w:pPr>
              <w:pStyle w:val="TableContents"/>
              <w:bidi w:val="0"/>
              <w:spacing w:before="0" w:after="283"/>
              <w:jc w:val="left"/>
              <w:rPr/>
            </w:pPr>
            <w:r>
              <w:rPr/>
              <w:t> </w:t>
            </w:r>
          </w:p>
        </w:tc>
      </w:tr>
      <w:tr>
        <w:trPr>
          <w:trHeight w:val="120" w:hRule="atLeast"/>
        </w:trPr>
        <w:tc>
          <w:tcPr>
            <w:tcW w:w="1754" w:type="dxa"/>
            <w:tcBorders/>
            <w:vAlign w:val="center"/>
          </w:tcPr>
          <w:p>
            <w:pPr>
              <w:pStyle w:val="TableContents"/>
              <w:bidi w:val="0"/>
              <w:spacing w:before="0" w:after="283"/>
              <w:jc w:val="left"/>
              <w:rPr>
                <w:sz w:val="4"/>
                <w:szCs w:val="4"/>
              </w:rPr>
            </w:pPr>
            <w:r>
              <w:rPr>
                <w:sz w:val="4"/>
                <w:szCs w:val="4"/>
              </w:rPr>
            </w:r>
          </w:p>
        </w:tc>
        <w:tc>
          <w:tcPr>
            <w:tcW w:w="7787" w:type="dxa"/>
            <w:gridSpan w:val="2"/>
            <w:tcBorders/>
            <w:vAlign w:val="center"/>
          </w:tcPr>
          <w:p>
            <w:pPr>
              <w:pStyle w:val="TableContents"/>
              <w:bidi w:val="0"/>
              <w:spacing w:before="0" w:after="283"/>
              <w:jc w:val="left"/>
              <w:rPr>
                <w:sz w:val="4"/>
                <w:szCs w:val="4"/>
              </w:rPr>
            </w:pPr>
            <w:r>
              <w:rPr>
                <w:sz w:val="4"/>
                <w:szCs w:val="4"/>
              </w:rPr>
            </w:r>
          </w:p>
        </w:tc>
        <w:tc>
          <w:tcPr>
            <w:tcW w:w="664" w:type="dxa"/>
            <w:gridSpan w:val="4"/>
            <w:tcBorders/>
            <w:vAlign w:val="center"/>
          </w:tcPr>
          <w:p>
            <w:pPr>
              <w:pStyle w:val="TableContents"/>
              <w:bidi w:val="0"/>
              <w:spacing w:before="0" w:after="283"/>
              <w:jc w:val="left"/>
              <w:rPr>
                <w:sz w:val="4"/>
                <w:szCs w:val="4"/>
              </w:rPr>
            </w:pPr>
            <w:r>
              <w:rPr>
                <w:sz w:val="4"/>
                <w:szCs w:val="4"/>
              </w:rPr>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12.1</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Dissolution</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123</w:t>
            </w:r>
          </w:p>
        </w:tc>
        <w:tc>
          <w:tcPr>
            <w:tcW w:w="63" w:type="dxa"/>
            <w:tcBorders/>
            <w:vAlign w:val="bottom"/>
          </w:tcPr>
          <w:p>
            <w:pPr>
              <w:pStyle w:val="TableContents"/>
              <w:bidi w:val="0"/>
              <w:spacing w:before="0" w:after="283"/>
              <w:jc w:val="left"/>
              <w:rPr/>
            </w:pPr>
            <w:r>
              <w:rPr/>
              <w:t> </w:t>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12.2</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Continuation of the Business of the Partnership After Dissolution</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123</w:t>
            </w:r>
          </w:p>
        </w:tc>
        <w:tc>
          <w:tcPr>
            <w:tcW w:w="63" w:type="dxa"/>
            <w:tcBorders/>
            <w:vAlign w:val="bottom"/>
          </w:tcPr>
          <w:p>
            <w:pPr>
              <w:pStyle w:val="TableContents"/>
              <w:bidi w:val="0"/>
              <w:spacing w:before="0" w:after="283"/>
              <w:jc w:val="left"/>
              <w:rPr/>
            </w:pPr>
            <w:r>
              <w:rPr/>
              <w:t> </w:t>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12.3</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Liquidator</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124</w:t>
            </w:r>
          </w:p>
        </w:tc>
        <w:tc>
          <w:tcPr>
            <w:tcW w:w="63" w:type="dxa"/>
            <w:tcBorders/>
            <w:vAlign w:val="bottom"/>
          </w:tcPr>
          <w:p>
            <w:pPr>
              <w:pStyle w:val="TableContents"/>
              <w:bidi w:val="0"/>
              <w:spacing w:before="0" w:after="283"/>
              <w:jc w:val="left"/>
              <w:rPr/>
            </w:pPr>
            <w:r>
              <w:rPr/>
              <w:t> </w:t>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12.4</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Liquidation</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125</w:t>
            </w:r>
          </w:p>
        </w:tc>
        <w:tc>
          <w:tcPr>
            <w:tcW w:w="63" w:type="dxa"/>
            <w:tcBorders/>
            <w:vAlign w:val="bottom"/>
          </w:tcPr>
          <w:p>
            <w:pPr>
              <w:pStyle w:val="TableContents"/>
              <w:bidi w:val="0"/>
              <w:spacing w:before="0" w:after="283"/>
              <w:jc w:val="left"/>
              <w:rPr/>
            </w:pPr>
            <w:r>
              <w:rPr/>
              <w:t> </w:t>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12.5</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Termination</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125</w:t>
            </w:r>
          </w:p>
        </w:tc>
        <w:tc>
          <w:tcPr>
            <w:tcW w:w="63" w:type="dxa"/>
            <w:tcBorders/>
            <w:vAlign w:val="bottom"/>
          </w:tcPr>
          <w:p>
            <w:pPr>
              <w:pStyle w:val="TableContents"/>
              <w:bidi w:val="0"/>
              <w:spacing w:before="0" w:after="283"/>
              <w:jc w:val="left"/>
              <w:rPr/>
            </w:pPr>
            <w:r>
              <w:rPr/>
              <w:t> </w:t>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12.6</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Return of Contributions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125</w:t>
            </w:r>
          </w:p>
        </w:tc>
        <w:tc>
          <w:tcPr>
            <w:tcW w:w="63" w:type="dxa"/>
            <w:tcBorders/>
            <w:vAlign w:val="bottom"/>
          </w:tcPr>
          <w:p>
            <w:pPr>
              <w:pStyle w:val="TableContents"/>
              <w:bidi w:val="0"/>
              <w:spacing w:before="0" w:after="283"/>
              <w:jc w:val="left"/>
              <w:rPr/>
            </w:pPr>
            <w:r>
              <w:rPr/>
              <w:t> </w:t>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12.7</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Waiver of Partition</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125</w:t>
            </w:r>
          </w:p>
        </w:tc>
        <w:tc>
          <w:tcPr>
            <w:tcW w:w="63" w:type="dxa"/>
            <w:tcBorders/>
            <w:vAlign w:val="bottom"/>
          </w:tcPr>
          <w:p>
            <w:pPr>
              <w:pStyle w:val="TableContents"/>
              <w:bidi w:val="0"/>
              <w:spacing w:before="0" w:after="283"/>
              <w:jc w:val="left"/>
              <w:rPr/>
            </w:pPr>
            <w:r>
              <w:rPr/>
              <w:t> </w:t>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12.8</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Capital Account Restoration</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126</w:t>
            </w:r>
          </w:p>
        </w:tc>
        <w:tc>
          <w:tcPr>
            <w:tcW w:w="63" w:type="dxa"/>
            <w:tcBorders/>
            <w:vAlign w:val="bottom"/>
          </w:tcPr>
          <w:p>
            <w:pPr>
              <w:pStyle w:val="TableContents"/>
              <w:bidi w:val="0"/>
              <w:spacing w:before="0" w:after="283"/>
              <w:jc w:val="left"/>
              <w:rPr/>
            </w:pPr>
            <w:r>
              <w:rPr/>
              <w:t> </w:t>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12.9</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Certain Prohibited Acts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126</w:t>
            </w:r>
          </w:p>
        </w:tc>
        <w:tc>
          <w:tcPr>
            <w:tcW w:w="63" w:type="dxa"/>
            <w:tcBorders/>
            <w:vAlign w:val="bottom"/>
          </w:tcPr>
          <w:p>
            <w:pPr>
              <w:pStyle w:val="TableContents"/>
              <w:bidi w:val="0"/>
              <w:spacing w:before="0" w:after="283"/>
              <w:jc w:val="left"/>
              <w:rPr/>
            </w:pPr>
            <w:r>
              <w:rPr/>
              <w:t> </w:t>
            </w:r>
          </w:p>
        </w:tc>
      </w:tr>
      <w:tr>
        <w:trPr>
          <w:trHeight w:val="120" w:hRule="atLeast"/>
        </w:trPr>
        <w:tc>
          <w:tcPr>
            <w:tcW w:w="9541" w:type="dxa"/>
            <w:gridSpan w:val="3"/>
            <w:tcBorders/>
            <w:vAlign w:val="center"/>
          </w:tcPr>
          <w:p>
            <w:pPr>
              <w:pStyle w:val="TableContents"/>
              <w:bidi w:val="0"/>
              <w:spacing w:before="0" w:after="283"/>
              <w:jc w:val="left"/>
              <w:rPr>
                <w:sz w:val="4"/>
                <w:szCs w:val="4"/>
              </w:rPr>
            </w:pPr>
            <w:r>
              <w:rPr>
                <w:sz w:val="4"/>
                <w:szCs w:val="4"/>
              </w:rPr>
            </w:r>
          </w:p>
        </w:tc>
        <w:tc>
          <w:tcPr>
            <w:tcW w:w="664" w:type="dxa"/>
            <w:gridSpan w:val="4"/>
            <w:tcBorders/>
            <w:vAlign w:val="center"/>
          </w:tcPr>
          <w:p>
            <w:pPr>
              <w:pStyle w:val="TableContents"/>
              <w:bidi w:val="0"/>
              <w:spacing w:before="0" w:after="283"/>
              <w:jc w:val="left"/>
              <w:rPr>
                <w:sz w:val="4"/>
                <w:szCs w:val="4"/>
              </w:rPr>
            </w:pPr>
            <w:r>
              <w:rPr>
                <w:sz w:val="4"/>
                <w:szCs w:val="4"/>
              </w:rPr>
            </w:r>
          </w:p>
        </w:tc>
      </w:tr>
      <w:tr>
        <w:trPr/>
        <w:tc>
          <w:tcPr>
            <w:tcW w:w="9541" w:type="dxa"/>
            <w:gridSpan w:val="3"/>
            <w:tcBorders/>
            <w:vAlign w:val="bottom"/>
          </w:tcPr>
          <w:p>
            <w:pPr>
              <w:pStyle w:val="TableContents"/>
              <w:bidi w:val="0"/>
              <w:spacing w:before="0" w:after="283"/>
              <w:jc w:val="left"/>
              <w:rPr>
                <w:b/>
              </w:rPr>
            </w:pPr>
            <w:r>
              <w:rPr>
                <w:b/>
              </w:rPr>
              <w:t>ARTICLE XIII AMENDMENT OF PARTNERSHIP AGREEMENT; MEETINGS; RECORD DATE</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b/>
              </w:rPr>
            </w:pPr>
            <w:r>
              <w:rPr>
                <w:b/>
              </w:rPr>
              <w:t>126</w:t>
            </w:r>
          </w:p>
        </w:tc>
        <w:tc>
          <w:tcPr>
            <w:tcW w:w="63" w:type="dxa"/>
            <w:tcBorders/>
            <w:vAlign w:val="bottom"/>
          </w:tcPr>
          <w:p>
            <w:pPr>
              <w:pStyle w:val="TableContents"/>
              <w:bidi w:val="0"/>
              <w:spacing w:before="0" w:after="283"/>
              <w:jc w:val="left"/>
              <w:rPr/>
            </w:pPr>
            <w:r>
              <w:rPr/>
              <w:t> </w:t>
            </w:r>
          </w:p>
        </w:tc>
      </w:tr>
      <w:tr>
        <w:trPr>
          <w:trHeight w:val="120" w:hRule="atLeast"/>
        </w:trPr>
        <w:tc>
          <w:tcPr>
            <w:tcW w:w="1754" w:type="dxa"/>
            <w:tcBorders/>
            <w:vAlign w:val="center"/>
          </w:tcPr>
          <w:p>
            <w:pPr>
              <w:pStyle w:val="TableContents"/>
              <w:bidi w:val="0"/>
              <w:spacing w:before="0" w:after="283"/>
              <w:jc w:val="left"/>
              <w:rPr>
                <w:sz w:val="4"/>
                <w:szCs w:val="4"/>
              </w:rPr>
            </w:pPr>
            <w:r>
              <w:rPr>
                <w:sz w:val="4"/>
                <w:szCs w:val="4"/>
              </w:rPr>
            </w:r>
          </w:p>
        </w:tc>
        <w:tc>
          <w:tcPr>
            <w:tcW w:w="7787" w:type="dxa"/>
            <w:gridSpan w:val="2"/>
            <w:tcBorders/>
            <w:vAlign w:val="center"/>
          </w:tcPr>
          <w:p>
            <w:pPr>
              <w:pStyle w:val="TableContents"/>
              <w:bidi w:val="0"/>
              <w:spacing w:before="0" w:after="283"/>
              <w:jc w:val="left"/>
              <w:rPr>
                <w:sz w:val="4"/>
                <w:szCs w:val="4"/>
              </w:rPr>
            </w:pPr>
            <w:r>
              <w:rPr>
                <w:sz w:val="4"/>
                <w:szCs w:val="4"/>
              </w:rPr>
            </w:r>
          </w:p>
        </w:tc>
        <w:tc>
          <w:tcPr>
            <w:tcW w:w="664" w:type="dxa"/>
            <w:gridSpan w:val="4"/>
            <w:tcBorders/>
            <w:vAlign w:val="center"/>
          </w:tcPr>
          <w:p>
            <w:pPr>
              <w:pStyle w:val="TableContents"/>
              <w:bidi w:val="0"/>
              <w:spacing w:before="0" w:after="283"/>
              <w:jc w:val="left"/>
              <w:rPr>
                <w:sz w:val="4"/>
                <w:szCs w:val="4"/>
              </w:rPr>
            </w:pPr>
            <w:r>
              <w:rPr>
                <w:sz w:val="4"/>
                <w:szCs w:val="4"/>
              </w:rPr>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13.1</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Amendments to be Adopted Solely by the General Partner</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126</w:t>
            </w:r>
          </w:p>
        </w:tc>
        <w:tc>
          <w:tcPr>
            <w:tcW w:w="63" w:type="dxa"/>
            <w:tcBorders/>
            <w:vAlign w:val="bottom"/>
          </w:tcPr>
          <w:p>
            <w:pPr>
              <w:pStyle w:val="TableContents"/>
              <w:bidi w:val="0"/>
              <w:spacing w:before="0" w:after="283"/>
              <w:jc w:val="left"/>
              <w:rPr/>
            </w:pPr>
            <w:r>
              <w:rPr/>
              <w:t> </w:t>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13.2</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Amendment Procedures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128</w:t>
            </w:r>
          </w:p>
        </w:tc>
        <w:tc>
          <w:tcPr>
            <w:tcW w:w="63" w:type="dxa"/>
            <w:tcBorders/>
            <w:vAlign w:val="bottom"/>
          </w:tcPr>
          <w:p>
            <w:pPr>
              <w:pStyle w:val="TableContents"/>
              <w:bidi w:val="0"/>
              <w:spacing w:before="0" w:after="283"/>
              <w:jc w:val="left"/>
              <w:rPr/>
            </w:pPr>
            <w:r>
              <w:rPr/>
              <w:t> </w:t>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13.3</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Amendment Requirements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128</w:t>
            </w:r>
          </w:p>
        </w:tc>
        <w:tc>
          <w:tcPr>
            <w:tcW w:w="63" w:type="dxa"/>
            <w:tcBorders/>
            <w:vAlign w:val="bottom"/>
          </w:tcPr>
          <w:p>
            <w:pPr>
              <w:pStyle w:val="TableContents"/>
              <w:bidi w:val="0"/>
              <w:spacing w:before="0" w:after="283"/>
              <w:jc w:val="left"/>
              <w:rPr/>
            </w:pPr>
            <w:r>
              <w:rPr/>
              <w:t> </w:t>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13.4</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Special Meetings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129</w:t>
            </w:r>
          </w:p>
        </w:tc>
        <w:tc>
          <w:tcPr>
            <w:tcW w:w="63" w:type="dxa"/>
            <w:tcBorders/>
            <w:vAlign w:val="bottom"/>
          </w:tcPr>
          <w:p>
            <w:pPr>
              <w:pStyle w:val="TableContents"/>
              <w:bidi w:val="0"/>
              <w:spacing w:before="0" w:after="283"/>
              <w:jc w:val="left"/>
              <w:rPr/>
            </w:pPr>
            <w:r>
              <w:rPr/>
              <w:t> </w:t>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13.5</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Notice of a Meeting</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129</w:t>
            </w:r>
          </w:p>
        </w:tc>
        <w:tc>
          <w:tcPr>
            <w:tcW w:w="63" w:type="dxa"/>
            <w:tcBorders/>
            <w:vAlign w:val="bottom"/>
          </w:tcPr>
          <w:p>
            <w:pPr>
              <w:pStyle w:val="TableContents"/>
              <w:bidi w:val="0"/>
              <w:spacing w:before="0" w:after="283"/>
              <w:jc w:val="left"/>
              <w:rPr/>
            </w:pPr>
            <w:r>
              <w:rPr/>
              <w:t> </w:t>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13.6</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Record Date</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129</w:t>
            </w:r>
          </w:p>
        </w:tc>
        <w:tc>
          <w:tcPr>
            <w:tcW w:w="63" w:type="dxa"/>
            <w:tcBorders/>
            <w:vAlign w:val="bottom"/>
          </w:tcPr>
          <w:p>
            <w:pPr>
              <w:pStyle w:val="TableContents"/>
              <w:bidi w:val="0"/>
              <w:spacing w:before="0" w:after="283"/>
              <w:jc w:val="left"/>
              <w:rPr/>
            </w:pPr>
            <w:r>
              <w:rPr/>
              <w:t> </w:t>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13.7</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Adjournment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130</w:t>
            </w:r>
          </w:p>
        </w:tc>
        <w:tc>
          <w:tcPr>
            <w:tcW w:w="63" w:type="dxa"/>
            <w:tcBorders/>
            <w:vAlign w:val="bottom"/>
          </w:tcPr>
          <w:p>
            <w:pPr>
              <w:pStyle w:val="TableContents"/>
              <w:bidi w:val="0"/>
              <w:spacing w:before="0" w:after="283"/>
              <w:jc w:val="left"/>
              <w:rPr/>
            </w:pPr>
            <w:r>
              <w:rPr/>
              <w:t> </w:t>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13.8</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Waiver of Notice; Approval of Meeting; Approval of Minutes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130</w:t>
            </w:r>
          </w:p>
        </w:tc>
        <w:tc>
          <w:tcPr>
            <w:tcW w:w="63" w:type="dxa"/>
            <w:tcBorders/>
            <w:vAlign w:val="bottom"/>
          </w:tcPr>
          <w:p>
            <w:pPr>
              <w:pStyle w:val="TableContents"/>
              <w:bidi w:val="0"/>
              <w:spacing w:before="0" w:after="283"/>
              <w:jc w:val="left"/>
              <w:rPr/>
            </w:pPr>
            <w:r>
              <w:rPr/>
              <w:t> </w:t>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13.9</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Quorum</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130</w:t>
            </w:r>
          </w:p>
        </w:tc>
        <w:tc>
          <w:tcPr>
            <w:tcW w:w="63" w:type="dxa"/>
            <w:tcBorders/>
            <w:vAlign w:val="bottom"/>
          </w:tcPr>
          <w:p>
            <w:pPr>
              <w:pStyle w:val="TableContents"/>
              <w:bidi w:val="0"/>
              <w:spacing w:before="0" w:after="283"/>
              <w:jc w:val="left"/>
              <w:rPr/>
            </w:pPr>
            <w:r>
              <w:rPr/>
              <w:t> </w:t>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13.10</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Conduct of a Meeting</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130</w:t>
            </w:r>
          </w:p>
        </w:tc>
        <w:tc>
          <w:tcPr>
            <w:tcW w:w="63" w:type="dxa"/>
            <w:tcBorders/>
            <w:vAlign w:val="bottom"/>
          </w:tcPr>
          <w:p>
            <w:pPr>
              <w:pStyle w:val="TableContents"/>
              <w:bidi w:val="0"/>
              <w:spacing w:before="0" w:after="283"/>
              <w:jc w:val="left"/>
              <w:rPr/>
            </w:pPr>
            <w:r>
              <w:rPr/>
              <w:t> </w:t>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13.11</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Action Without a Meeting</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131</w:t>
            </w:r>
          </w:p>
        </w:tc>
        <w:tc>
          <w:tcPr>
            <w:tcW w:w="63" w:type="dxa"/>
            <w:tcBorders/>
            <w:vAlign w:val="bottom"/>
          </w:tcPr>
          <w:p>
            <w:pPr>
              <w:pStyle w:val="TableContents"/>
              <w:bidi w:val="0"/>
              <w:spacing w:before="0" w:after="283"/>
              <w:jc w:val="left"/>
              <w:rPr/>
            </w:pPr>
            <w:r>
              <w:rPr/>
              <w:t> </w:t>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13.12</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Voting and Other Rights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131</w:t>
            </w:r>
          </w:p>
        </w:tc>
        <w:tc>
          <w:tcPr>
            <w:tcW w:w="63" w:type="dxa"/>
            <w:tcBorders/>
            <w:vAlign w:val="bottom"/>
          </w:tcPr>
          <w:p>
            <w:pPr>
              <w:pStyle w:val="TableContents"/>
              <w:bidi w:val="0"/>
              <w:spacing w:before="0" w:after="283"/>
              <w:jc w:val="left"/>
              <w:rPr/>
            </w:pPr>
            <w:r>
              <w:rPr/>
              <w:t> </w:t>
            </w:r>
          </w:p>
        </w:tc>
      </w:tr>
      <w:tr>
        <w:trPr>
          <w:trHeight w:val="120" w:hRule="atLeast"/>
        </w:trPr>
        <w:tc>
          <w:tcPr>
            <w:tcW w:w="9541" w:type="dxa"/>
            <w:gridSpan w:val="3"/>
            <w:tcBorders/>
            <w:vAlign w:val="center"/>
          </w:tcPr>
          <w:p>
            <w:pPr>
              <w:pStyle w:val="TableContents"/>
              <w:bidi w:val="0"/>
              <w:spacing w:before="0" w:after="283"/>
              <w:jc w:val="left"/>
              <w:rPr>
                <w:sz w:val="4"/>
                <w:szCs w:val="4"/>
              </w:rPr>
            </w:pPr>
            <w:r>
              <w:rPr>
                <w:sz w:val="4"/>
                <w:szCs w:val="4"/>
              </w:rPr>
            </w:r>
          </w:p>
        </w:tc>
        <w:tc>
          <w:tcPr>
            <w:tcW w:w="664" w:type="dxa"/>
            <w:gridSpan w:val="4"/>
            <w:tcBorders/>
            <w:vAlign w:val="center"/>
          </w:tcPr>
          <w:p>
            <w:pPr>
              <w:pStyle w:val="TableContents"/>
              <w:bidi w:val="0"/>
              <w:spacing w:before="0" w:after="283"/>
              <w:jc w:val="left"/>
              <w:rPr>
                <w:sz w:val="4"/>
                <w:szCs w:val="4"/>
              </w:rPr>
            </w:pPr>
            <w:r>
              <w:rPr>
                <w:sz w:val="4"/>
                <w:szCs w:val="4"/>
              </w:rPr>
            </w:r>
          </w:p>
        </w:tc>
      </w:tr>
      <w:tr>
        <w:trPr/>
        <w:tc>
          <w:tcPr>
            <w:tcW w:w="9541" w:type="dxa"/>
            <w:gridSpan w:val="3"/>
            <w:tcBorders/>
            <w:vAlign w:val="bottom"/>
          </w:tcPr>
          <w:p>
            <w:pPr>
              <w:pStyle w:val="TableContents"/>
              <w:bidi w:val="0"/>
              <w:spacing w:before="0" w:after="283"/>
              <w:jc w:val="left"/>
              <w:rPr>
                <w:b/>
              </w:rPr>
            </w:pPr>
            <w:r>
              <w:rPr>
                <w:b/>
              </w:rPr>
              <w:t>ARTICLE XIV MERGER, CONSOLIDATION OR CONVERSION</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b/>
              </w:rPr>
            </w:pPr>
            <w:r>
              <w:rPr>
                <w:b/>
              </w:rPr>
              <w:t>132</w:t>
            </w:r>
          </w:p>
        </w:tc>
        <w:tc>
          <w:tcPr>
            <w:tcW w:w="63" w:type="dxa"/>
            <w:tcBorders/>
            <w:vAlign w:val="bottom"/>
          </w:tcPr>
          <w:p>
            <w:pPr>
              <w:pStyle w:val="TableContents"/>
              <w:bidi w:val="0"/>
              <w:spacing w:before="0" w:after="283"/>
              <w:jc w:val="left"/>
              <w:rPr/>
            </w:pPr>
            <w:r>
              <w:rPr/>
              <w:t> </w:t>
            </w:r>
          </w:p>
        </w:tc>
      </w:tr>
      <w:tr>
        <w:trPr>
          <w:trHeight w:val="120" w:hRule="atLeast"/>
        </w:trPr>
        <w:tc>
          <w:tcPr>
            <w:tcW w:w="1754" w:type="dxa"/>
            <w:tcBorders/>
            <w:vAlign w:val="center"/>
          </w:tcPr>
          <w:p>
            <w:pPr>
              <w:pStyle w:val="TableContents"/>
              <w:bidi w:val="0"/>
              <w:spacing w:before="0" w:after="283"/>
              <w:jc w:val="left"/>
              <w:rPr>
                <w:sz w:val="4"/>
                <w:szCs w:val="4"/>
              </w:rPr>
            </w:pPr>
            <w:r>
              <w:rPr>
                <w:sz w:val="4"/>
                <w:szCs w:val="4"/>
              </w:rPr>
            </w:r>
          </w:p>
        </w:tc>
        <w:tc>
          <w:tcPr>
            <w:tcW w:w="7787" w:type="dxa"/>
            <w:gridSpan w:val="2"/>
            <w:tcBorders/>
            <w:vAlign w:val="center"/>
          </w:tcPr>
          <w:p>
            <w:pPr>
              <w:pStyle w:val="TableContents"/>
              <w:bidi w:val="0"/>
              <w:spacing w:before="0" w:after="283"/>
              <w:jc w:val="left"/>
              <w:rPr>
                <w:sz w:val="4"/>
                <w:szCs w:val="4"/>
              </w:rPr>
            </w:pPr>
            <w:r>
              <w:rPr>
                <w:sz w:val="4"/>
                <w:szCs w:val="4"/>
              </w:rPr>
            </w:r>
          </w:p>
        </w:tc>
        <w:tc>
          <w:tcPr>
            <w:tcW w:w="664" w:type="dxa"/>
            <w:gridSpan w:val="4"/>
            <w:tcBorders/>
            <w:vAlign w:val="center"/>
          </w:tcPr>
          <w:p>
            <w:pPr>
              <w:pStyle w:val="TableContents"/>
              <w:bidi w:val="0"/>
              <w:spacing w:before="0" w:after="283"/>
              <w:jc w:val="left"/>
              <w:rPr>
                <w:sz w:val="4"/>
                <w:szCs w:val="4"/>
              </w:rPr>
            </w:pPr>
            <w:r>
              <w:rPr>
                <w:sz w:val="4"/>
                <w:szCs w:val="4"/>
              </w:rPr>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14.1</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Authority</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132</w:t>
            </w:r>
          </w:p>
        </w:tc>
        <w:tc>
          <w:tcPr>
            <w:tcW w:w="63" w:type="dxa"/>
            <w:tcBorders/>
            <w:vAlign w:val="bottom"/>
          </w:tcPr>
          <w:p>
            <w:pPr>
              <w:pStyle w:val="TableContents"/>
              <w:bidi w:val="0"/>
              <w:spacing w:before="0" w:after="283"/>
              <w:jc w:val="left"/>
              <w:rPr/>
            </w:pPr>
            <w:r>
              <w:rPr/>
              <w:t> </w:t>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14.2</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Procedure for Merger, Consolidation or Conversion</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132</w:t>
            </w:r>
          </w:p>
        </w:tc>
        <w:tc>
          <w:tcPr>
            <w:tcW w:w="63" w:type="dxa"/>
            <w:tcBorders/>
            <w:vAlign w:val="bottom"/>
          </w:tcPr>
          <w:p>
            <w:pPr>
              <w:pStyle w:val="TableContents"/>
              <w:bidi w:val="0"/>
              <w:spacing w:before="0" w:after="283"/>
              <w:jc w:val="left"/>
              <w:rPr/>
            </w:pPr>
            <w:r>
              <w:rPr/>
              <w:t> </w:t>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14.3</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Approval by Limited Partners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133</w:t>
            </w:r>
          </w:p>
        </w:tc>
        <w:tc>
          <w:tcPr>
            <w:tcW w:w="63" w:type="dxa"/>
            <w:tcBorders/>
            <w:vAlign w:val="bottom"/>
          </w:tcPr>
          <w:p>
            <w:pPr>
              <w:pStyle w:val="TableContents"/>
              <w:bidi w:val="0"/>
              <w:spacing w:before="0" w:after="283"/>
              <w:jc w:val="left"/>
              <w:rPr/>
            </w:pPr>
            <w:r>
              <w:rPr/>
              <w:t> </w:t>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14.4</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Certificate of Merger</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134</w:t>
            </w:r>
          </w:p>
        </w:tc>
        <w:tc>
          <w:tcPr>
            <w:tcW w:w="63" w:type="dxa"/>
            <w:tcBorders/>
            <w:vAlign w:val="bottom"/>
          </w:tcPr>
          <w:p>
            <w:pPr>
              <w:pStyle w:val="TableContents"/>
              <w:bidi w:val="0"/>
              <w:spacing w:before="0" w:after="283"/>
              <w:jc w:val="left"/>
              <w:rPr/>
            </w:pPr>
            <w:r>
              <w:rPr/>
              <w:t> </w:t>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14.5</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Amendment of Partnership Agreement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136</w:t>
            </w:r>
          </w:p>
        </w:tc>
        <w:tc>
          <w:tcPr>
            <w:tcW w:w="63" w:type="dxa"/>
            <w:tcBorders/>
            <w:vAlign w:val="bottom"/>
          </w:tcPr>
          <w:p>
            <w:pPr>
              <w:pStyle w:val="TableContents"/>
              <w:bidi w:val="0"/>
              <w:spacing w:before="0" w:after="283"/>
              <w:jc w:val="left"/>
              <w:rPr/>
            </w:pPr>
            <w:r>
              <w:rPr/>
              <w:t> </w:t>
            </w:r>
          </w:p>
        </w:tc>
      </w:tr>
      <w:tr>
        <w:trPr>
          <w:trHeight w:val="120" w:hRule="atLeast"/>
        </w:trPr>
        <w:tc>
          <w:tcPr>
            <w:tcW w:w="9541" w:type="dxa"/>
            <w:gridSpan w:val="3"/>
            <w:tcBorders/>
            <w:vAlign w:val="center"/>
          </w:tcPr>
          <w:p>
            <w:pPr>
              <w:pStyle w:val="TableContents"/>
              <w:bidi w:val="0"/>
              <w:spacing w:before="0" w:after="283"/>
              <w:jc w:val="left"/>
              <w:rPr>
                <w:sz w:val="4"/>
                <w:szCs w:val="4"/>
              </w:rPr>
            </w:pPr>
            <w:r>
              <w:rPr>
                <w:sz w:val="4"/>
                <w:szCs w:val="4"/>
              </w:rPr>
            </w:r>
          </w:p>
        </w:tc>
        <w:tc>
          <w:tcPr>
            <w:tcW w:w="664" w:type="dxa"/>
            <w:gridSpan w:val="4"/>
            <w:tcBorders/>
            <w:vAlign w:val="center"/>
          </w:tcPr>
          <w:p>
            <w:pPr>
              <w:pStyle w:val="TableContents"/>
              <w:bidi w:val="0"/>
              <w:spacing w:before="0" w:after="283"/>
              <w:jc w:val="left"/>
              <w:rPr>
                <w:sz w:val="4"/>
                <w:szCs w:val="4"/>
              </w:rPr>
            </w:pPr>
            <w:r>
              <w:rPr>
                <w:sz w:val="4"/>
                <w:szCs w:val="4"/>
              </w:rPr>
            </w:r>
          </w:p>
        </w:tc>
      </w:tr>
      <w:tr>
        <w:trPr/>
        <w:tc>
          <w:tcPr>
            <w:tcW w:w="9541" w:type="dxa"/>
            <w:gridSpan w:val="3"/>
            <w:tcBorders/>
            <w:vAlign w:val="bottom"/>
          </w:tcPr>
          <w:p>
            <w:pPr>
              <w:pStyle w:val="TableContents"/>
              <w:bidi w:val="0"/>
              <w:spacing w:before="0" w:after="283"/>
              <w:jc w:val="left"/>
              <w:rPr>
                <w:b/>
              </w:rPr>
            </w:pPr>
            <w:r>
              <w:rPr>
                <w:b/>
              </w:rPr>
              <w:t>ARTICLE XV RIGHT TO ACQUIRE LIMITED PARTNER INTERESTS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b/>
              </w:rPr>
            </w:pPr>
            <w:r>
              <w:rPr>
                <w:b/>
              </w:rPr>
              <w:t>136</w:t>
            </w:r>
          </w:p>
        </w:tc>
        <w:tc>
          <w:tcPr>
            <w:tcW w:w="63" w:type="dxa"/>
            <w:tcBorders/>
            <w:vAlign w:val="bottom"/>
          </w:tcPr>
          <w:p>
            <w:pPr>
              <w:pStyle w:val="TableContents"/>
              <w:bidi w:val="0"/>
              <w:spacing w:before="0" w:after="283"/>
              <w:jc w:val="left"/>
              <w:rPr/>
            </w:pPr>
            <w:r>
              <w:rPr/>
              <w:t> </w:t>
            </w:r>
          </w:p>
        </w:tc>
      </w:tr>
      <w:tr>
        <w:trPr>
          <w:trHeight w:val="120" w:hRule="atLeast"/>
        </w:trPr>
        <w:tc>
          <w:tcPr>
            <w:tcW w:w="1754" w:type="dxa"/>
            <w:tcBorders/>
            <w:vAlign w:val="center"/>
          </w:tcPr>
          <w:p>
            <w:pPr>
              <w:pStyle w:val="TableContents"/>
              <w:bidi w:val="0"/>
              <w:spacing w:before="0" w:after="283"/>
              <w:jc w:val="left"/>
              <w:rPr>
                <w:sz w:val="4"/>
                <w:szCs w:val="4"/>
              </w:rPr>
            </w:pPr>
            <w:r>
              <w:rPr>
                <w:sz w:val="4"/>
                <w:szCs w:val="4"/>
              </w:rPr>
            </w:r>
          </w:p>
        </w:tc>
        <w:tc>
          <w:tcPr>
            <w:tcW w:w="7787" w:type="dxa"/>
            <w:gridSpan w:val="2"/>
            <w:tcBorders/>
            <w:vAlign w:val="center"/>
          </w:tcPr>
          <w:p>
            <w:pPr>
              <w:pStyle w:val="TableContents"/>
              <w:bidi w:val="0"/>
              <w:spacing w:before="0" w:after="283"/>
              <w:jc w:val="left"/>
              <w:rPr>
                <w:sz w:val="4"/>
                <w:szCs w:val="4"/>
              </w:rPr>
            </w:pPr>
            <w:r>
              <w:rPr>
                <w:sz w:val="4"/>
                <w:szCs w:val="4"/>
              </w:rPr>
            </w:r>
          </w:p>
        </w:tc>
        <w:tc>
          <w:tcPr>
            <w:tcW w:w="664" w:type="dxa"/>
            <w:gridSpan w:val="4"/>
            <w:tcBorders/>
            <w:vAlign w:val="center"/>
          </w:tcPr>
          <w:p>
            <w:pPr>
              <w:pStyle w:val="TableContents"/>
              <w:bidi w:val="0"/>
              <w:spacing w:before="0" w:after="283"/>
              <w:jc w:val="left"/>
              <w:rPr>
                <w:sz w:val="4"/>
                <w:szCs w:val="4"/>
              </w:rPr>
            </w:pPr>
            <w:r>
              <w:rPr>
                <w:sz w:val="4"/>
                <w:szCs w:val="4"/>
              </w:rPr>
            </w:r>
          </w:p>
        </w:tc>
      </w:tr>
      <w:tr>
        <w:trPr/>
        <w:tc>
          <w:tcPr>
            <w:tcW w:w="1754" w:type="dxa"/>
            <w:tcBorders/>
          </w:tcPr>
          <w:p>
            <w:pPr>
              <w:pStyle w:val="TableContents"/>
              <w:bidi w:val="0"/>
              <w:spacing w:before="0" w:after="0"/>
              <w:jc w:val="left"/>
              <w:rPr>
                <w:rFonts w:ascii="Times New Roman" w:hAnsi="Times New Roman"/>
                <w:sz w:val="20"/>
              </w:rPr>
            </w:pPr>
            <w:r>
              <w:rPr>
                <w:rFonts w:ascii="Times New Roman" w:hAnsi="Times New Roman"/>
                <w:sz w:val="20"/>
              </w:rPr>
              <w:t>Section 15.1</w:t>
            </w:r>
          </w:p>
        </w:tc>
        <w:tc>
          <w:tcPr>
            <w:tcW w:w="153" w:type="dxa"/>
            <w:tcBorders/>
            <w:vAlign w:val="bottom"/>
          </w:tcPr>
          <w:p>
            <w:pPr>
              <w:pStyle w:val="TableContents"/>
              <w:bidi w:val="0"/>
              <w:spacing w:before="0" w:after="283"/>
              <w:jc w:val="left"/>
              <w:rPr/>
            </w:pPr>
            <w:r>
              <w:rPr/>
              <w:t>  </w:t>
            </w:r>
          </w:p>
        </w:tc>
        <w:tc>
          <w:tcPr>
            <w:tcW w:w="7634" w:type="dxa"/>
            <w:tcBorders/>
          </w:tcPr>
          <w:p>
            <w:pPr>
              <w:pStyle w:val="TableContents"/>
              <w:bidi w:val="0"/>
              <w:spacing w:before="0" w:after="283"/>
              <w:jc w:val="left"/>
              <w:rPr/>
            </w:pPr>
            <w:r>
              <w:rPr/>
              <w:t>Right to Acquire Limited Partner Interests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136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749"/>
        <w:gridCol w:w="152"/>
        <w:gridCol w:w="7645"/>
        <w:gridCol w:w="152"/>
        <w:gridCol w:w="60"/>
        <w:gridCol w:w="384"/>
        <w:gridCol w:w="63"/>
      </w:tblGrid>
      <w:tr>
        <w:trPr/>
        <w:tc>
          <w:tcPr>
            <w:tcW w:w="1749"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7645"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46" w:type="dxa"/>
            <w:gridSpan w:val="3"/>
            <w:tcBorders/>
            <w:vAlign w:val="bottom"/>
          </w:tcPr>
          <w:p>
            <w:pPr>
              <w:pStyle w:val="TableContents"/>
              <w:bidi w:val="0"/>
              <w:spacing w:before="0" w:after="283"/>
              <w:jc w:val="left"/>
              <w:rPr>
                <w:b/>
              </w:rPr>
            </w:pPr>
            <w:r>
              <w:rPr>
                <w:b/>
              </w:rPr>
              <w:t>ARTICLE XVI GENERAL PROVISIONS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b/>
              </w:rPr>
            </w:pPr>
            <w:r>
              <w:rPr>
                <w:b/>
              </w:rPr>
              <w:t>138</w:t>
            </w:r>
          </w:p>
        </w:tc>
        <w:tc>
          <w:tcPr>
            <w:tcW w:w="63" w:type="dxa"/>
            <w:tcBorders/>
            <w:vAlign w:val="bottom"/>
          </w:tcPr>
          <w:p>
            <w:pPr>
              <w:pStyle w:val="TableContents"/>
              <w:bidi w:val="0"/>
              <w:spacing w:before="0" w:after="283"/>
              <w:jc w:val="left"/>
              <w:rPr/>
            </w:pPr>
            <w:r>
              <w:rPr/>
              <w:t> </w:t>
            </w:r>
          </w:p>
        </w:tc>
      </w:tr>
      <w:tr>
        <w:trPr>
          <w:trHeight w:val="120" w:hRule="atLeast"/>
        </w:trPr>
        <w:tc>
          <w:tcPr>
            <w:tcW w:w="1749" w:type="dxa"/>
            <w:tcBorders/>
            <w:vAlign w:val="center"/>
          </w:tcPr>
          <w:p>
            <w:pPr>
              <w:pStyle w:val="TableContents"/>
              <w:bidi w:val="0"/>
              <w:spacing w:before="0" w:after="283"/>
              <w:jc w:val="left"/>
              <w:rPr>
                <w:sz w:val="4"/>
                <w:szCs w:val="4"/>
              </w:rPr>
            </w:pPr>
            <w:r>
              <w:rPr>
                <w:sz w:val="4"/>
                <w:szCs w:val="4"/>
              </w:rPr>
            </w:r>
          </w:p>
        </w:tc>
        <w:tc>
          <w:tcPr>
            <w:tcW w:w="7797" w:type="dxa"/>
            <w:gridSpan w:val="2"/>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1749" w:type="dxa"/>
            <w:tcBorders/>
          </w:tcPr>
          <w:p>
            <w:pPr>
              <w:pStyle w:val="TableContents"/>
              <w:bidi w:val="0"/>
              <w:spacing w:before="0" w:after="0"/>
              <w:jc w:val="left"/>
              <w:rPr>
                <w:rFonts w:ascii="Times New Roman" w:hAnsi="Times New Roman"/>
                <w:sz w:val="20"/>
              </w:rPr>
            </w:pPr>
            <w:r>
              <w:rPr>
                <w:rFonts w:ascii="Times New Roman" w:hAnsi="Times New Roman"/>
                <w:sz w:val="20"/>
              </w:rPr>
              <w:t>Section 16.1</w:t>
            </w:r>
          </w:p>
        </w:tc>
        <w:tc>
          <w:tcPr>
            <w:tcW w:w="152" w:type="dxa"/>
            <w:tcBorders/>
            <w:vAlign w:val="bottom"/>
          </w:tcPr>
          <w:p>
            <w:pPr>
              <w:pStyle w:val="TableContents"/>
              <w:bidi w:val="0"/>
              <w:spacing w:before="0" w:after="283"/>
              <w:jc w:val="left"/>
              <w:rPr/>
            </w:pPr>
            <w:r>
              <w:rPr/>
              <w:t>  </w:t>
            </w:r>
          </w:p>
        </w:tc>
        <w:tc>
          <w:tcPr>
            <w:tcW w:w="7645" w:type="dxa"/>
            <w:tcBorders/>
          </w:tcPr>
          <w:p>
            <w:pPr>
              <w:pStyle w:val="TableContents"/>
              <w:bidi w:val="0"/>
              <w:spacing w:before="0" w:after="283"/>
              <w:jc w:val="left"/>
              <w:rPr/>
            </w:pPr>
            <w:r>
              <w:rPr/>
              <w:t>Addresses and Notices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138</w:t>
            </w:r>
          </w:p>
        </w:tc>
        <w:tc>
          <w:tcPr>
            <w:tcW w:w="63" w:type="dxa"/>
            <w:tcBorders/>
            <w:vAlign w:val="bottom"/>
          </w:tcPr>
          <w:p>
            <w:pPr>
              <w:pStyle w:val="TableContents"/>
              <w:bidi w:val="0"/>
              <w:spacing w:before="0" w:after="283"/>
              <w:jc w:val="left"/>
              <w:rPr/>
            </w:pPr>
            <w:r>
              <w:rPr/>
              <w:t> </w:t>
            </w:r>
          </w:p>
        </w:tc>
      </w:tr>
      <w:tr>
        <w:trPr/>
        <w:tc>
          <w:tcPr>
            <w:tcW w:w="1749" w:type="dxa"/>
            <w:tcBorders/>
          </w:tcPr>
          <w:p>
            <w:pPr>
              <w:pStyle w:val="TableContents"/>
              <w:bidi w:val="0"/>
              <w:spacing w:before="0" w:after="0"/>
              <w:jc w:val="left"/>
              <w:rPr>
                <w:rFonts w:ascii="Times New Roman" w:hAnsi="Times New Roman"/>
                <w:sz w:val="20"/>
              </w:rPr>
            </w:pPr>
            <w:r>
              <w:rPr>
                <w:rFonts w:ascii="Times New Roman" w:hAnsi="Times New Roman"/>
                <w:sz w:val="20"/>
              </w:rPr>
              <w:t>Section 16.2</w:t>
            </w:r>
          </w:p>
        </w:tc>
        <w:tc>
          <w:tcPr>
            <w:tcW w:w="152" w:type="dxa"/>
            <w:tcBorders/>
            <w:vAlign w:val="bottom"/>
          </w:tcPr>
          <w:p>
            <w:pPr>
              <w:pStyle w:val="TableContents"/>
              <w:bidi w:val="0"/>
              <w:spacing w:before="0" w:after="283"/>
              <w:jc w:val="left"/>
              <w:rPr/>
            </w:pPr>
            <w:r>
              <w:rPr/>
              <w:t>  </w:t>
            </w:r>
          </w:p>
        </w:tc>
        <w:tc>
          <w:tcPr>
            <w:tcW w:w="7645" w:type="dxa"/>
            <w:tcBorders/>
          </w:tcPr>
          <w:p>
            <w:pPr>
              <w:pStyle w:val="TableContents"/>
              <w:bidi w:val="0"/>
              <w:spacing w:before="0" w:after="283"/>
              <w:jc w:val="left"/>
              <w:rPr/>
            </w:pPr>
            <w:r>
              <w:rPr/>
              <w:t>Further Action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138</w:t>
            </w:r>
          </w:p>
        </w:tc>
        <w:tc>
          <w:tcPr>
            <w:tcW w:w="63" w:type="dxa"/>
            <w:tcBorders/>
            <w:vAlign w:val="bottom"/>
          </w:tcPr>
          <w:p>
            <w:pPr>
              <w:pStyle w:val="TableContents"/>
              <w:bidi w:val="0"/>
              <w:spacing w:before="0" w:after="283"/>
              <w:jc w:val="left"/>
              <w:rPr/>
            </w:pPr>
            <w:r>
              <w:rPr/>
              <w:t> </w:t>
            </w:r>
          </w:p>
        </w:tc>
      </w:tr>
      <w:tr>
        <w:trPr/>
        <w:tc>
          <w:tcPr>
            <w:tcW w:w="1749" w:type="dxa"/>
            <w:tcBorders/>
          </w:tcPr>
          <w:p>
            <w:pPr>
              <w:pStyle w:val="TableContents"/>
              <w:bidi w:val="0"/>
              <w:spacing w:before="0" w:after="0"/>
              <w:jc w:val="left"/>
              <w:rPr>
                <w:rFonts w:ascii="Times New Roman" w:hAnsi="Times New Roman"/>
                <w:sz w:val="20"/>
              </w:rPr>
            </w:pPr>
            <w:r>
              <w:rPr>
                <w:rFonts w:ascii="Times New Roman" w:hAnsi="Times New Roman"/>
                <w:sz w:val="20"/>
              </w:rPr>
              <w:t>Section 16.3</w:t>
            </w:r>
          </w:p>
        </w:tc>
        <w:tc>
          <w:tcPr>
            <w:tcW w:w="152" w:type="dxa"/>
            <w:tcBorders/>
            <w:vAlign w:val="bottom"/>
          </w:tcPr>
          <w:p>
            <w:pPr>
              <w:pStyle w:val="TableContents"/>
              <w:bidi w:val="0"/>
              <w:spacing w:before="0" w:after="283"/>
              <w:jc w:val="left"/>
              <w:rPr/>
            </w:pPr>
            <w:r>
              <w:rPr/>
              <w:t>  </w:t>
            </w:r>
          </w:p>
        </w:tc>
        <w:tc>
          <w:tcPr>
            <w:tcW w:w="7645" w:type="dxa"/>
            <w:tcBorders/>
          </w:tcPr>
          <w:p>
            <w:pPr>
              <w:pStyle w:val="TableContents"/>
              <w:bidi w:val="0"/>
              <w:spacing w:before="0" w:after="283"/>
              <w:jc w:val="left"/>
              <w:rPr/>
            </w:pPr>
            <w:r>
              <w:rPr/>
              <w:t>Binding Effect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138</w:t>
            </w:r>
          </w:p>
        </w:tc>
        <w:tc>
          <w:tcPr>
            <w:tcW w:w="63" w:type="dxa"/>
            <w:tcBorders/>
            <w:vAlign w:val="bottom"/>
          </w:tcPr>
          <w:p>
            <w:pPr>
              <w:pStyle w:val="TableContents"/>
              <w:bidi w:val="0"/>
              <w:spacing w:before="0" w:after="283"/>
              <w:jc w:val="left"/>
              <w:rPr/>
            </w:pPr>
            <w:r>
              <w:rPr/>
              <w:t> </w:t>
            </w:r>
          </w:p>
        </w:tc>
      </w:tr>
      <w:tr>
        <w:trPr/>
        <w:tc>
          <w:tcPr>
            <w:tcW w:w="1749" w:type="dxa"/>
            <w:tcBorders/>
          </w:tcPr>
          <w:p>
            <w:pPr>
              <w:pStyle w:val="TableContents"/>
              <w:bidi w:val="0"/>
              <w:spacing w:before="0" w:after="0"/>
              <w:jc w:val="left"/>
              <w:rPr>
                <w:rFonts w:ascii="Times New Roman" w:hAnsi="Times New Roman"/>
                <w:sz w:val="20"/>
              </w:rPr>
            </w:pPr>
            <w:r>
              <w:rPr>
                <w:rFonts w:ascii="Times New Roman" w:hAnsi="Times New Roman"/>
                <w:sz w:val="20"/>
              </w:rPr>
              <w:t>Section 16.4</w:t>
            </w:r>
          </w:p>
        </w:tc>
        <w:tc>
          <w:tcPr>
            <w:tcW w:w="152" w:type="dxa"/>
            <w:tcBorders/>
            <w:vAlign w:val="bottom"/>
          </w:tcPr>
          <w:p>
            <w:pPr>
              <w:pStyle w:val="TableContents"/>
              <w:bidi w:val="0"/>
              <w:spacing w:before="0" w:after="283"/>
              <w:jc w:val="left"/>
              <w:rPr/>
            </w:pPr>
            <w:r>
              <w:rPr/>
              <w:t>  </w:t>
            </w:r>
          </w:p>
        </w:tc>
        <w:tc>
          <w:tcPr>
            <w:tcW w:w="7645" w:type="dxa"/>
            <w:tcBorders/>
          </w:tcPr>
          <w:p>
            <w:pPr>
              <w:pStyle w:val="TableContents"/>
              <w:bidi w:val="0"/>
              <w:spacing w:before="0" w:after="283"/>
              <w:jc w:val="left"/>
              <w:rPr/>
            </w:pPr>
            <w:r>
              <w:rPr/>
              <w:t>Integration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138</w:t>
            </w:r>
          </w:p>
        </w:tc>
        <w:tc>
          <w:tcPr>
            <w:tcW w:w="63" w:type="dxa"/>
            <w:tcBorders/>
            <w:vAlign w:val="bottom"/>
          </w:tcPr>
          <w:p>
            <w:pPr>
              <w:pStyle w:val="TableContents"/>
              <w:bidi w:val="0"/>
              <w:spacing w:before="0" w:after="283"/>
              <w:jc w:val="left"/>
              <w:rPr/>
            </w:pPr>
            <w:r>
              <w:rPr/>
              <w:t> </w:t>
            </w:r>
          </w:p>
        </w:tc>
      </w:tr>
      <w:tr>
        <w:trPr/>
        <w:tc>
          <w:tcPr>
            <w:tcW w:w="1749" w:type="dxa"/>
            <w:tcBorders/>
          </w:tcPr>
          <w:p>
            <w:pPr>
              <w:pStyle w:val="TableContents"/>
              <w:bidi w:val="0"/>
              <w:spacing w:before="0" w:after="0"/>
              <w:jc w:val="left"/>
              <w:rPr>
                <w:rFonts w:ascii="Times New Roman" w:hAnsi="Times New Roman"/>
                <w:sz w:val="20"/>
              </w:rPr>
            </w:pPr>
            <w:r>
              <w:rPr>
                <w:rFonts w:ascii="Times New Roman" w:hAnsi="Times New Roman"/>
                <w:sz w:val="20"/>
              </w:rPr>
              <w:t>Section 16.5</w:t>
            </w:r>
          </w:p>
        </w:tc>
        <w:tc>
          <w:tcPr>
            <w:tcW w:w="152" w:type="dxa"/>
            <w:tcBorders/>
            <w:vAlign w:val="bottom"/>
          </w:tcPr>
          <w:p>
            <w:pPr>
              <w:pStyle w:val="TableContents"/>
              <w:bidi w:val="0"/>
              <w:spacing w:before="0" w:after="283"/>
              <w:jc w:val="left"/>
              <w:rPr/>
            </w:pPr>
            <w:r>
              <w:rPr/>
              <w:t>  </w:t>
            </w:r>
          </w:p>
        </w:tc>
        <w:tc>
          <w:tcPr>
            <w:tcW w:w="7645" w:type="dxa"/>
            <w:tcBorders/>
          </w:tcPr>
          <w:p>
            <w:pPr>
              <w:pStyle w:val="TableContents"/>
              <w:bidi w:val="0"/>
              <w:spacing w:before="0" w:after="283"/>
              <w:jc w:val="left"/>
              <w:rPr/>
            </w:pPr>
            <w:r>
              <w:rPr/>
              <w:t>Creditors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138</w:t>
            </w:r>
          </w:p>
        </w:tc>
        <w:tc>
          <w:tcPr>
            <w:tcW w:w="63" w:type="dxa"/>
            <w:tcBorders/>
            <w:vAlign w:val="bottom"/>
          </w:tcPr>
          <w:p>
            <w:pPr>
              <w:pStyle w:val="TableContents"/>
              <w:bidi w:val="0"/>
              <w:spacing w:before="0" w:after="283"/>
              <w:jc w:val="left"/>
              <w:rPr/>
            </w:pPr>
            <w:r>
              <w:rPr/>
              <w:t> </w:t>
            </w:r>
          </w:p>
        </w:tc>
      </w:tr>
      <w:tr>
        <w:trPr/>
        <w:tc>
          <w:tcPr>
            <w:tcW w:w="1749" w:type="dxa"/>
            <w:tcBorders/>
          </w:tcPr>
          <w:p>
            <w:pPr>
              <w:pStyle w:val="TableContents"/>
              <w:bidi w:val="0"/>
              <w:spacing w:before="0" w:after="0"/>
              <w:jc w:val="left"/>
              <w:rPr>
                <w:rFonts w:ascii="Times New Roman" w:hAnsi="Times New Roman"/>
                <w:sz w:val="20"/>
              </w:rPr>
            </w:pPr>
            <w:r>
              <w:rPr>
                <w:rFonts w:ascii="Times New Roman" w:hAnsi="Times New Roman"/>
                <w:sz w:val="20"/>
              </w:rPr>
              <w:t>Section 16.6</w:t>
            </w:r>
          </w:p>
        </w:tc>
        <w:tc>
          <w:tcPr>
            <w:tcW w:w="152" w:type="dxa"/>
            <w:tcBorders/>
            <w:vAlign w:val="bottom"/>
          </w:tcPr>
          <w:p>
            <w:pPr>
              <w:pStyle w:val="TableContents"/>
              <w:bidi w:val="0"/>
              <w:spacing w:before="0" w:after="283"/>
              <w:jc w:val="left"/>
              <w:rPr/>
            </w:pPr>
            <w:r>
              <w:rPr/>
              <w:t>  </w:t>
            </w:r>
          </w:p>
        </w:tc>
        <w:tc>
          <w:tcPr>
            <w:tcW w:w="7645" w:type="dxa"/>
            <w:tcBorders/>
          </w:tcPr>
          <w:p>
            <w:pPr>
              <w:pStyle w:val="TableContents"/>
              <w:bidi w:val="0"/>
              <w:spacing w:before="0" w:after="283"/>
              <w:jc w:val="left"/>
              <w:rPr/>
            </w:pPr>
            <w:r>
              <w:rPr/>
              <w:t>Waiver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138</w:t>
            </w:r>
          </w:p>
        </w:tc>
        <w:tc>
          <w:tcPr>
            <w:tcW w:w="63" w:type="dxa"/>
            <w:tcBorders/>
            <w:vAlign w:val="bottom"/>
          </w:tcPr>
          <w:p>
            <w:pPr>
              <w:pStyle w:val="TableContents"/>
              <w:bidi w:val="0"/>
              <w:spacing w:before="0" w:after="283"/>
              <w:jc w:val="left"/>
              <w:rPr/>
            </w:pPr>
            <w:r>
              <w:rPr/>
              <w:t> </w:t>
            </w:r>
          </w:p>
        </w:tc>
      </w:tr>
      <w:tr>
        <w:trPr/>
        <w:tc>
          <w:tcPr>
            <w:tcW w:w="1749" w:type="dxa"/>
            <w:tcBorders/>
          </w:tcPr>
          <w:p>
            <w:pPr>
              <w:pStyle w:val="TableContents"/>
              <w:bidi w:val="0"/>
              <w:spacing w:before="0" w:after="0"/>
              <w:jc w:val="left"/>
              <w:rPr>
                <w:rFonts w:ascii="Times New Roman" w:hAnsi="Times New Roman"/>
                <w:sz w:val="20"/>
              </w:rPr>
            </w:pPr>
            <w:r>
              <w:rPr>
                <w:rFonts w:ascii="Times New Roman" w:hAnsi="Times New Roman"/>
                <w:sz w:val="20"/>
              </w:rPr>
              <w:t>Section 16.7</w:t>
            </w:r>
          </w:p>
        </w:tc>
        <w:tc>
          <w:tcPr>
            <w:tcW w:w="152" w:type="dxa"/>
            <w:tcBorders/>
            <w:vAlign w:val="bottom"/>
          </w:tcPr>
          <w:p>
            <w:pPr>
              <w:pStyle w:val="TableContents"/>
              <w:bidi w:val="0"/>
              <w:spacing w:before="0" w:after="283"/>
              <w:jc w:val="left"/>
              <w:rPr/>
            </w:pPr>
            <w:r>
              <w:rPr/>
              <w:t>  </w:t>
            </w:r>
          </w:p>
        </w:tc>
        <w:tc>
          <w:tcPr>
            <w:tcW w:w="7645" w:type="dxa"/>
            <w:tcBorders/>
          </w:tcPr>
          <w:p>
            <w:pPr>
              <w:pStyle w:val="TableContents"/>
              <w:bidi w:val="0"/>
              <w:spacing w:before="0" w:after="283"/>
              <w:jc w:val="left"/>
              <w:rPr/>
            </w:pPr>
            <w:r>
              <w:rPr/>
              <w:t>Counterparts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139</w:t>
            </w:r>
          </w:p>
        </w:tc>
        <w:tc>
          <w:tcPr>
            <w:tcW w:w="63" w:type="dxa"/>
            <w:tcBorders/>
            <w:vAlign w:val="bottom"/>
          </w:tcPr>
          <w:p>
            <w:pPr>
              <w:pStyle w:val="TableContents"/>
              <w:bidi w:val="0"/>
              <w:spacing w:before="0" w:after="283"/>
              <w:jc w:val="left"/>
              <w:rPr/>
            </w:pPr>
            <w:r>
              <w:rPr/>
              <w:t> </w:t>
            </w:r>
          </w:p>
        </w:tc>
      </w:tr>
      <w:tr>
        <w:trPr/>
        <w:tc>
          <w:tcPr>
            <w:tcW w:w="1749" w:type="dxa"/>
            <w:tcBorders/>
          </w:tcPr>
          <w:p>
            <w:pPr>
              <w:pStyle w:val="TableContents"/>
              <w:bidi w:val="0"/>
              <w:spacing w:before="0" w:after="0"/>
              <w:jc w:val="left"/>
              <w:rPr>
                <w:rFonts w:ascii="Times New Roman" w:hAnsi="Times New Roman"/>
                <w:sz w:val="20"/>
              </w:rPr>
            </w:pPr>
            <w:r>
              <w:rPr>
                <w:rFonts w:ascii="Times New Roman" w:hAnsi="Times New Roman"/>
                <w:sz w:val="20"/>
              </w:rPr>
              <w:t>Section 16.8</w:t>
            </w:r>
          </w:p>
        </w:tc>
        <w:tc>
          <w:tcPr>
            <w:tcW w:w="152" w:type="dxa"/>
            <w:tcBorders/>
            <w:vAlign w:val="bottom"/>
          </w:tcPr>
          <w:p>
            <w:pPr>
              <w:pStyle w:val="TableContents"/>
              <w:bidi w:val="0"/>
              <w:spacing w:before="0" w:after="283"/>
              <w:jc w:val="left"/>
              <w:rPr/>
            </w:pPr>
            <w:r>
              <w:rPr/>
              <w:t>  </w:t>
            </w:r>
          </w:p>
        </w:tc>
        <w:tc>
          <w:tcPr>
            <w:tcW w:w="7645" w:type="dxa"/>
            <w:tcBorders/>
          </w:tcPr>
          <w:p>
            <w:pPr>
              <w:pStyle w:val="TableContents"/>
              <w:bidi w:val="0"/>
              <w:spacing w:before="0" w:after="283"/>
              <w:jc w:val="left"/>
              <w:rPr/>
            </w:pPr>
            <w:r>
              <w:rPr/>
              <w:t>Applicable Law</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139</w:t>
            </w:r>
          </w:p>
        </w:tc>
        <w:tc>
          <w:tcPr>
            <w:tcW w:w="63" w:type="dxa"/>
            <w:tcBorders/>
            <w:vAlign w:val="bottom"/>
          </w:tcPr>
          <w:p>
            <w:pPr>
              <w:pStyle w:val="TableContents"/>
              <w:bidi w:val="0"/>
              <w:spacing w:before="0" w:after="283"/>
              <w:jc w:val="left"/>
              <w:rPr/>
            </w:pPr>
            <w:r>
              <w:rPr/>
              <w:t> </w:t>
            </w:r>
          </w:p>
        </w:tc>
      </w:tr>
      <w:tr>
        <w:trPr/>
        <w:tc>
          <w:tcPr>
            <w:tcW w:w="1749" w:type="dxa"/>
            <w:tcBorders/>
          </w:tcPr>
          <w:p>
            <w:pPr>
              <w:pStyle w:val="TableContents"/>
              <w:bidi w:val="0"/>
              <w:spacing w:before="0" w:after="0"/>
              <w:jc w:val="left"/>
              <w:rPr>
                <w:rFonts w:ascii="Times New Roman" w:hAnsi="Times New Roman"/>
                <w:sz w:val="20"/>
              </w:rPr>
            </w:pPr>
            <w:r>
              <w:rPr>
                <w:rFonts w:ascii="Times New Roman" w:hAnsi="Times New Roman"/>
                <w:sz w:val="20"/>
              </w:rPr>
              <w:t>Section 16.9</w:t>
            </w:r>
          </w:p>
        </w:tc>
        <w:tc>
          <w:tcPr>
            <w:tcW w:w="152" w:type="dxa"/>
            <w:tcBorders/>
            <w:vAlign w:val="bottom"/>
          </w:tcPr>
          <w:p>
            <w:pPr>
              <w:pStyle w:val="TableContents"/>
              <w:bidi w:val="0"/>
              <w:spacing w:before="0" w:after="283"/>
              <w:jc w:val="left"/>
              <w:rPr/>
            </w:pPr>
            <w:r>
              <w:rPr/>
              <w:t>  </w:t>
            </w:r>
          </w:p>
        </w:tc>
        <w:tc>
          <w:tcPr>
            <w:tcW w:w="7645" w:type="dxa"/>
            <w:tcBorders/>
          </w:tcPr>
          <w:p>
            <w:pPr>
              <w:pStyle w:val="TableContents"/>
              <w:bidi w:val="0"/>
              <w:spacing w:before="0" w:after="283"/>
              <w:jc w:val="left"/>
              <w:rPr/>
            </w:pPr>
            <w:r>
              <w:rPr/>
              <w:t>Invalidity of Provisions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139</w:t>
            </w:r>
          </w:p>
        </w:tc>
        <w:tc>
          <w:tcPr>
            <w:tcW w:w="63" w:type="dxa"/>
            <w:tcBorders/>
            <w:vAlign w:val="bottom"/>
          </w:tcPr>
          <w:p>
            <w:pPr>
              <w:pStyle w:val="TableContents"/>
              <w:bidi w:val="0"/>
              <w:spacing w:before="0" w:after="283"/>
              <w:jc w:val="left"/>
              <w:rPr/>
            </w:pPr>
            <w:r>
              <w:rPr/>
              <w:t> </w:t>
            </w:r>
          </w:p>
        </w:tc>
      </w:tr>
      <w:tr>
        <w:trPr/>
        <w:tc>
          <w:tcPr>
            <w:tcW w:w="1749" w:type="dxa"/>
            <w:tcBorders/>
          </w:tcPr>
          <w:p>
            <w:pPr>
              <w:pStyle w:val="TableContents"/>
              <w:bidi w:val="0"/>
              <w:spacing w:before="0" w:after="0"/>
              <w:jc w:val="left"/>
              <w:rPr>
                <w:rFonts w:ascii="Times New Roman" w:hAnsi="Times New Roman"/>
                <w:sz w:val="20"/>
              </w:rPr>
            </w:pPr>
            <w:r>
              <w:rPr>
                <w:rFonts w:ascii="Times New Roman" w:hAnsi="Times New Roman"/>
                <w:sz w:val="20"/>
              </w:rPr>
              <w:t>Section 16.10</w:t>
            </w:r>
          </w:p>
        </w:tc>
        <w:tc>
          <w:tcPr>
            <w:tcW w:w="152" w:type="dxa"/>
            <w:tcBorders/>
            <w:vAlign w:val="bottom"/>
          </w:tcPr>
          <w:p>
            <w:pPr>
              <w:pStyle w:val="TableContents"/>
              <w:bidi w:val="0"/>
              <w:spacing w:before="0" w:after="283"/>
              <w:jc w:val="left"/>
              <w:rPr/>
            </w:pPr>
            <w:r>
              <w:rPr/>
              <w:t>  </w:t>
            </w:r>
          </w:p>
        </w:tc>
        <w:tc>
          <w:tcPr>
            <w:tcW w:w="7645" w:type="dxa"/>
            <w:tcBorders/>
          </w:tcPr>
          <w:p>
            <w:pPr>
              <w:pStyle w:val="TableContents"/>
              <w:bidi w:val="0"/>
              <w:spacing w:before="0" w:after="283"/>
              <w:jc w:val="left"/>
              <w:rPr/>
            </w:pPr>
            <w:r>
              <w:rPr/>
              <w:t>Consent of Partners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139</w:t>
            </w:r>
          </w:p>
        </w:tc>
        <w:tc>
          <w:tcPr>
            <w:tcW w:w="63" w:type="dxa"/>
            <w:tcBorders/>
            <w:vAlign w:val="bottom"/>
          </w:tcPr>
          <w:p>
            <w:pPr>
              <w:pStyle w:val="TableContents"/>
              <w:bidi w:val="0"/>
              <w:spacing w:before="0" w:after="283"/>
              <w:jc w:val="left"/>
              <w:rPr/>
            </w:pPr>
            <w:r>
              <w:rPr/>
              <w:t> </w:t>
            </w:r>
          </w:p>
        </w:tc>
      </w:tr>
      <w:tr>
        <w:trPr/>
        <w:tc>
          <w:tcPr>
            <w:tcW w:w="1749" w:type="dxa"/>
            <w:tcBorders/>
          </w:tcPr>
          <w:p>
            <w:pPr>
              <w:pStyle w:val="TableContents"/>
              <w:bidi w:val="0"/>
              <w:spacing w:before="0" w:after="0"/>
              <w:jc w:val="left"/>
              <w:rPr>
                <w:rFonts w:ascii="Times New Roman" w:hAnsi="Times New Roman"/>
                <w:sz w:val="20"/>
              </w:rPr>
            </w:pPr>
            <w:r>
              <w:rPr>
                <w:rFonts w:ascii="Times New Roman" w:hAnsi="Times New Roman"/>
                <w:sz w:val="20"/>
              </w:rPr>
              <w:t>Section 16.11</w:t>
            </w:r>
          </w:p>
        </w:tc>
        <w:tc>
          <w:tcPr>
            <w:tcW w:w="152" w:type="dxa"/>
            <w:tcBorders/>
            <w:vAlign w:val="bottom"/>
          </w:tcPr>
          <w:p>
            <w:pPr>
              <w:pStyle w:val="TableContents"/>
              <w:bidi w:val="0"/>
              <w:spacing w:before="0" w:after="283"/>
              <w:jc w:val="left"/>
              <w:rPr/>
            </w:pPr>
            <w:r>
              <w:rPr/>
              <w:t>  </w:t>
            </w:r>
          </w:p>
        </w:tc>
        <w:tc>
          <w:tcPr>
            <w:tcW w:w="7645" w:type="dxa"/>
            <w:tcBorders/>
          </w:tcPr>
          <w:p>
            <w:pPr>
              <w:pStyle w:val="TableContents"/>
              <w:bidi w:val="0"/>
              <w:spacing w:before="0" w:after="283"/>
              <w:jc w:val="left"/>
              <w:rPr/>
            </w:pPr>
            <w:r>
              <w:rPr/>
              <w:t>Facsimile Signatures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139</w:t>
            </w:r>
          </w:p>
        </w:tc>
        <w:tc>
          <w:tcPr>
            <w:tcW w:w="63" w:type="dxa"/>
            <w:tcBorders/>
            <w:vAlign w:val="bottom"/>
          </w:tcPr>
          <w:p>
            <w:pPr>
              <w:pStyle w:val="TableContents"/>
              <w:bidi w:val="0"/>
              <w:spacing w:before="0" w:after="283"/>
              <w:jc w:val="left"/>
              <w:rPr/>
            </w:pPr>
            <w:r>
              <w:rPr/>
              <w:t> </w:t>
            </w:r>
          </w:p>
        </w:tc>
      </w:tr>
      <w:tr>
        <w:trPr/>
        <w:tc>
          <w:tcPr>
            <w:tcW w:w="1749" w:type="dxa"/>
            <w:tcBorders/>
          </w:tcPr>
          <w:p>
            <w:pPr>
              <w:pStyle w:val="TableContents"/>
              <w:bidi w:val="0"/>
              <w:spacing w:before="0" w:after="0"/>
              <w:jc w:val="left"/>
              <w:rPr>
                <w:rFonts w:ascii="Times New Roman" w:hAnsi="Times New Roman"/>
                <w:sz w:val="20"/>
              </w:rPr>
            </w:pPr>
            <w:r>
              <w:rPr>
                <w:rFonts w:ascii="Times New Roman" w:hAnsi="Times New Roman"/>
                <w:sz w:val="20"/>
              </w:rPr>
              <w:t>Section 16.12</w:t>
            </w:r>
          </w:p>
        </w:tc>
        <w:tc>
          <w:tcPr>
            <w:tcW w:w="152" w:type="dxa"/>
            <w:tcBorders/>
            <w:vAlign w:val="bottom"/>
          </w:tcPr>
          <w:p>
            <w:pPr>
              <w:pStyle w:val="TableContents"/>
              <w:bidi w:val="0"/>
              <w:spacing w:before="0" w:after="283"/>
              <w:jc w:val="left"/>
              <w:rPr/>
            </w:pPr>
            <w:r>
              <w:rPr/>
              <w:t>  </w:t>
            </w:r>
          </w:p>
        </w:tc>
        <w:tc>
          <w:tcPr>
            <w:tcW w:w="7645" w:type="dxa"/>
            <w:tcBorders/>
          </w:tcPr>
          <w:p>
            <w:pPr>
              <w:pStyle w:val="TableContents"/>
              <w:bidi w:val="0"/>
              <w:spacing w:before="0" w:after="283"/>
              <w:jc w:val="left"/>
              <w:rPr/>
            </w:pPr>
            <w:r>
              <w:rPr/>
              <w:t>Third Party Beneficiaries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139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AGREEMENT OF LIMITED PARTNERSHIP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ENERGY TRANSFER LP </w:t>
      </w:r>
    </w:p>
    <w:p>
      <w:pPr>
        <w:pStyle w:val="TextBody"/>
        <w:bidi w:val="0"/>
        <w:spacing w:before="240" w:after="0"/>
        <w:jc w:val="left"/>
        <w:rPr>
          <w:rFonts w:ascii="Times New Roman" w:hAnsi="Times New Roman"/>
          <w:sz w:val="20"/>
        </w:rPr>
      </w:pPr>
      <w:r>
        <w:rPr>
          <w:rFonts w:ascii="Times New Roman" w:hAnsi="Times New Roman"/>
          <w:sz w:val="20"/>
        </w:rPr>
        <w:t>THIS AGREEMENT OF LIMITED PARTNERSHIP OF ENERGY TRANSFER LP dated as of July 6, 2026 (the “</w:t>
      </w:r>
      <w:r>
        <w:rPr>
          <w:rFonts w:ascii="Times New Roman" w:hAnsi="Times New Roman"/>
          <w:i/>
          <w:sz w:val="20"/>
        </w:rPr>
        <w:t>Effective Date</w:t>
      </w:r>
      <w:r>
        <w:rPr>
          <w:rFonts w:ascii="Times New Roman" w:hAnsi="Times New Roman"/>
          <w:sz w:val="20"/>
        </w:rPr>
        <w:t xml:space="preserve">”), is entered into by and among LE GP, LLC, a Texas limited liability company, as the General Partner, together with any other Persons who are or become Partners in the Partnership or parties hereto as provided herein. </w:t>
      </w:r>
    </w:p>
    <w:p>
      <w:pPr>
        <w:pStyle w:val="TextBody"/>
        <w:bidi w:val="0"/>
        <w:spacing w:before="240" w:after="0"/>
        <w:jc w:val="left"/>
        <w:rPr>
          <w:rFonts w:ascii="Times New Roman" w:hAnsi="Times New Roman"/>
          <w:sz w:val="20"/>
        </w:rPr>
      </w:pPr>
      <w:r>
        <w:rPr>
          <w:rFonts w:ascii="Times New Roman" w:hAnsi="Times New Roman"/>
          <w:sz w:val="20"/>
        </w:rPr>
        <w:t>WHEREAS, the Partnership previously operated as a Delaware limited partnership named Energy Transfer LP (the “</w:t>
      </w:r>
      <w:r>
        <w:rPr>
          <w:rFonts w:ascii="Times New Roman" w:hAnsi="Times New Roman"/>
          <w:i/>
          <w:sz w:val="20"/>
        </w:rPr>
        <w:t>Delaware Partnership</w:t>
      </w:r>
      <w:r>
        <w:rPr>
          <w:rFonts w:ascii="Times New Roman" w:hAnsi="Times New Roman"/>
          <w:sz w:val="20"/>
        </w:rPr>
        <w:t>”), operating pursuant to the Fourth Amended and Restated Agreement of Limited Partnership dated as of November 3, 2023 (the “</w:t>
      </w:r>
      <w:r>
        <w:rPr>
          <w:rFonts w:ascii="Times New Roman" w:hAnsi="Times New Roman"/>
          <w:i/>
          <w:sz w:val="20"/>
        </w:rPr>
        <w:t>Delaware Partnership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General Partner, without the approval of any Limited Partner, was permitted to convert the Partnership into a new limited liability entity pursuant to Section 14.3(d) of the Delaware Partnership Agreement if (i) the General Partner received an Opinion of Counsel that the merger or conveyance, as the case may be, would not result in the loss of the limited liability of any Limited Partner or cause the Partnership to be treated as an association taxable as a corporation or otherwise to be taxed as an entity for federal income tax purposes (to the extent not previously treated as such), (ii) the sole purpose of such conversion is to effect a mere change in the legal form of the Partnership into another limited liability entity and (iii) the governing instruments of the new entity provide the Limited Partners and the General Partner with the same rights and obligations as were contained in the Delaware Partnership Agreement; </w:t>
      </w:r>
    </w:p>
    <w:p>
      <w:pPr>
        <w:pStyle w:val="TextBody"/>
        <w:bidi w:val="0"/>
        <w:spacing w:before="240" w:after="0"/>
        <w:jc w:val="left"/>
        <w:rPr>
          <w:rFonts w:ascii="Times New Roman" w:hAnsi="Times New Roman"/>
          <w:sz w:val="20"/>
        </w:rPr>
      </w:pPr>
      <w:r>
        <w:rPr>
          <w:rFonts w:ascii="Times New Roman" w:hAnsi="Times New Roman"/>
          <w:sz w:val="20"/>
        </w:rPr>
        <w:t>WHEREAS, the Conflicts Committee has, by unanimous vote, in good faith (a) determined that the conversion of the Partnership from a Delaware limited partnership to a Texas limited partnership (the “</w:t>
      </w:r>
      <w:r>
        <w:rPr>
          <w:rFonts w:ascii="Times New Roman" w:hAnsi="Times New Roman"/>
          <w:i/>
          <w:sz w:val="20"/>
        </w:rPr>
        <w:t>Conversion</w:t>
      </w:r>
      <w:r>
        <w:rPr>
          <w:rFonts w:ascii="Times New Roman" w:hAnsi="Times New Roman"/>
          <w:sz w:val="20"/>
        </w:rPr>
        <w:t>”) and this Agreement, the Plan of Conversion, the Delaware Certificate of Conversion, the Certificate of Conversion and the Certificate of Formation (the Certificate of Formation and this Agreement, the “</w:t>
      </w:r>
      <w:r>
        <w:rPr>
          <w:rFonts w:ascii="Times New Roman" w:hAnsi="Times New Roman"/>
          <w:i/>
          <w:sz w:val="20"/>
        </w:rPr>
        <w:t>Texas Governing Instruments</w:t>
      </w:r>
      <w:r>
        <w:rPr>
          <w:rFonts w:ascii="Times New Roman" w:hAnsi="Times New Roman"/>
          <w:sz w:val="20"/>
        </w:rPr>
        <w:t>” and the Texas Governing Instruments, together with the Delaware Certificate of Conversion, the Certificate of Conversion and the Plan of Conversion, the “</w:t>
      </w:r>
      <w:r>
        <w:rPr>
          <w:rFonts w:ascii="Times New Roman" w:hAnsi="Times New Roman"/>
          <w:i/>
          <w:sz w:val="20"/>
        </w:rPr>
        <w:t>Related Arrangements</w:t>
      </w:r>
      <w:r>
        <w:rPr>
          <w:rFonts w:ascii="Times New Roman" w:hAnsi="Times New Roman"/>
          <w:sz w:val="20"/>
        </w:rPr>
        <w:t xml:space="preserve">”) are in the best interests of the Partnership and the holders of common units of the Partnership (other than the General Partner and its controlling affiliates), (b) subject to receipt by the General Partner of the Opinion of Counsel, approved the Conversion and Related Arrangements on the terms contemplated by the Related Arrangements, and the transactions contemplated thereby, including the adoption of the Plan of Conversion, the filing of the Delaware Certificate of Conversion, the Certificate of Conversion and the Certificate of Formation and the adoption of the Texas Governing Instruments, with such approval constituting “Special Approval” for all purposes under the Delaware Partnership Agreement, including but not limited to Section 7.9 thereof and (c) recommended that the Board of Directors approve the Conversion and Related Arrangements on the terms contemplated by the Related Arrangements, and the transactions contemplated thereby, including the adoption of the Plan of Conversion, the filing of the Delaware Certificate of Conversion, the Certificate of Conversion and the Certificate of Formation and the adoption of the Texas Governing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the Board of Directors has, in reliance in part on the recommendation and Special Approval of the Conflicts Committee, in good faith (a) determined that the conversion of the Partnership from a Delaware limited partnership to a Texas limited partnership governed by the Certificate of Formation and this Agreement is in the best interests of the Partnership and (b) approved the Plan of Conversion and the transactions contemplated thereby, including the Certificate of Conversion, the Delaware Certificate of Conversion, the Certificate of Formation and this Agreement and the transactions contemplated hereby, the filing of the Certificate of Conversion, the Delaware Certificate of Conversion and the Certificate of Formation and the adoption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in accordance with Section 17-219 of the Delaware Act, in the Delaware Certificate of Conversion, the Partnership will agree that it may be served with process in the State of Delaware in any action, suit or proceeding for enforcement of any obligation of the limited partnership arising while it was a limited partnership of the State of Delaware, and that it irrevocably appoints the Secretary of State of the State of Delaware as its agent to accept service of process in any such action, suit or proceeding and that nothing herein is intended to limit the right of any Limited Partner to bring or maintain any action, suit or proceeding for enforcement of any obligation of the limited partnership arising while it was a limited partnership of the State of Delaware that would have been permitted to be brought or maintained under the Delaware Partnership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requirements of Section 14.3(d) of the Delaware Partnership Agreement were, based upon the terms and conditions of the Plan of Conversion and the transactions contemplated thereby, including the Certificate of Conversion, the Delaware Certificate of Conversion, the Certificate of Formation and this Agreement, and the receipt of the requisite Opinion of Counsel, satisfied and the Partnership converted as of the date hereof to a Texas limited partnership in accordance with the terms of the Delaware Partnership Agreement, the Delaware Act and the Texas Limited Partnership Law, by filing the Delaware Certificate of Conversion with the State of Delaware and the Certificate of Conversion and the Certificate of Formation with the Secretary of State of the State of Texas.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covenants, conditions and agreements contained herein, the parties hereto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The following definitions shall be for all purposes, unless otherwise clearly indicated to the contrary, applied to the terms used in this Agreement. </w:t>
      </w:r>
    </w:p>
    <w:p>
      <w:pPr>
        <w:pStyle w:val="TextBody"/>
        <w:bidi w:val="0"/>
        <w:spacing w:before="240" w:after="0"/>
        <w:jc w:val="left"/>
        <w:rPr/>
      </w:pPr>
      <w:r>
        <w:rPr/>
        <w:t>“</w:t>
      </w:r>
      <w:r>
        <w:rPr>
          <w:rFonts w:ascii="Times New Roman" w:hAnsi="Times New Roman"/>
          <w:i/>
          <w:sz w:val="20"/>
        </w:rPr>
        <w:t>Additional Book Basis</w:t>
      </w:r>
      <w:r>
        <w:rPr>
          <w:rFonts w:ascii="Times New Roman" w:hAnsi="Times New Roman"/>
          <w:sz w:val="20"/>
        </w:rPr>
        <w:t xml:space="preserve">” means, with respect to any Adjusted Property, the portion of the Carrying Value of such Adjusted Property that is attributable to positive adjustments made to such Carrying Value, as determined in accordance with the provisions set forth below in this definition of Additional Book Basis. For purposes of determining the extent to which Carrying Value constitutes Additional Book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Any negative adjustment made to the Carrying Value of an Adjusted Property as a result of either a Book-Down Event or a Book-Up Event shall first be deemed to offset or decrease that portion of the Carrying Value of such Adjusted Property that is attributable to any prior positive adjustments made thereto pursuant to a Book-Up Event or Book-Down Event. </w:t>
      </w:r>
    </w:p>
    <w:p>
      <w:pPr>
        <w:pStyle w:val="TextBody"/>
        <w:bidi w:val="0"/>
        <w:spacing w:before="120" w:after="0"/>
        <w:jc w:val="left"/>
        <w:rPr>
          <w:rFonts w:ascii="Times New Roman" w:hAnsi="Times New Roman"/>
          <w:sz w:val="20"/>
        </w:rPr>
      </w:pPr>
      <w:r>
        <w:rPr>
          <w:rFonts w:ascii="Times New Roman" w:hAnsi="Times New Roman"/>
          <w:sz w:val="20"/>
        </w:rPr>
        <w:t>(ii) If Carrying Value that constitutes Additional Book Basis is reduced as a result of a Book-Down Event (an “</w:t>
      </w:r>
      <w:r>
        <w:rPr>
          <w:rFonts w:ascii="Times New Roman" w:hAnsi="Times New Roman"/>
          <w:i/>
          <w:sz w:val="20"/>
        </w:rPr>
        <w:t>Additional Book Basis Reduction</w:t>
      </w:r>
      <w:r>
        <w:rPr>
          <w:rFonts w:ascii="Times New Roman" w:hAnsi="Times New Roman"/>
          <w:sz w:val="20"/>
        </w:rPr>
        <w:t>”) and the Carrying Value of other property is increased as a result of such Book-Down Event (a “</w:t>
      </w:r>
      <w:r>
        <w:rPr>
          <w:rFonts w:ascii="Times New Roman" w:hAnsi="Times New Roman"/>
          <w:i/>
          <w:sz w:val="20"/>
        </w:rPr>
        <w:t>Carrying Value Increase</w:t>
      </w:r>
      <w:r>
        <w:rPr>
          <w:rFonts w:ascii="Times New Roman" w:hAnsi="Times New Roman"/>
          <w:sz w:val="20"/>
        </w:rPr>
        <w:t xml:space="preserve">”), then any such Carrying Value Increase shall be treated as Additional Book Basis in an amount equal to the lesser of (a) the amount of such Carrying Value Increase and (b) the amount determined by proportionately allocating to the Carrying Value Increases resulting from such Book-Down Event the lesser of (I) the aggregate Additional Book Basis Reductions resulting from such Book-Down Event and (II) the amount by which the Aggregate Remaining Net Positive Adjustments after such Book-Down Event exceeds the remaining Additional Book Basis attributable to all of the Partnership’s Adjusted Property after such Book-Down Event (determined without regard to the application of this clause (ii) to such Book-Down Event). </w:t>
      </w:r>
    </w:p>
    <w:p>
      <w:pPr>
        <w:pStyle w:val="TextBody"/>
        <w:bidi w:val="0"/>
        <w:spacing w:before="240" w:after="0"/>
        <w:jc w:val="left"/>
        <w:rPr/>
      </w:pPr>
      <w:r>
        <w:rPr/>
        <w:t>“</w:t>
      </w:r>
      <w:r>
        <w:rPr>
          <w:rFonts w:ascii="Times New Roman" w:hAnsi="Times New Roman"/>
          <w:i/>
          <w:sz w:val="20"/>
        </w:rPr>
        <w:t>Additional Book Basis Derivative Items</w:t>
      </w:r>
      <w:r>
        <w:rPr>
          <w:rFonts w:ascii="Times New Roman" w:hAnsi="Times New Roman"/>
          <w:sz w:val="20"/>
        </w:rPr>
        <w:t>” means any Book Basis Derivative Items that are computed with reference to Additional Book Basis. To the extent that the Additional Book Basis attributable to all of the Partnership’s Adjusted Property as of the beginning of any taxable period exceeds the Aggregate Remaining Net Positive Adjustments as of the beginning of such period (the “</w:t>
      </w:r>
      <w:r>
        <w:rPr>
          <w:rFonts w:ascii="Times New Roman" w:hAnsi="Times New Roman"/>
          <w:i/>
          <w:sz w:val="20"/>
        </w:rPr>
        <w:t>Excess Additional Book Basis</w:t>
      </w:r>
      <w:r>
        <w:rPr>
          <w:rFonts w:ascii="Times New Roman" w:hAnsi="Times New Roman"/>
          <w:sz w:val="20"/>
        </w:rPr>
        <w:t xml:space="preserve">”), the Additional Book Basis Derivative Items for such period shall be reduced by the amount that bears the same ratio to the amount of Additional Book Basis Derivative Items determined without regard to this sentence as the Excess Additional Book Basis bears to the Additional Book Basis as of the beginning of such period. With respect to a Disposed of Adjusted Property, the Additional Book Basis Derivative Items shall be the amount of Additional Book Basis taken into account in computing gain or loss from the disposition of such Disposed of Adjusted Property; </w:t>
      </w:r>
      <w:r>
        <w:rPr>
          <w:rFonts w:ascii="Times New Roman" w:hAnsi="Times New Roman"/>
          <w:sz w:val="20"/>
          <w:u w:val="single"/>
        </w:rPr>
        <w:t xml:space="preserve">provided </w:t>
      </w:r>
      <w:r>
        <w:rPr>
          <w:rFonts w:ascii="Times New Roman" w:hAnsi="Times New Roman"/>
          <w:sz w:val="20"/>
        </w:rPr>
        <w:t xml:space="preserve">that the provisions of the immediately preceding sentence shall apply to the determination of the Additional Book Basis Derivative Items attributable to Disposed of Adjusted Property. </w:t>
      </w:r>
    </w:p>
    <w:p>
      <w:pPr>
        <w:pStyle w:val="TextBody"/>
        <w:bidi w:val="0"/>
        <w:spacing w:before="240" w:after="0"/>
        <w:jc w:val="left"/>
        <w:rPr/>
      </w:pPr>
      <w:r>
        <w:rPr/>
        <w:t>“</w:t>
      </w:r>
      <w:r>
        <w:rPr>
          <w:rFonts w:ascii="Times New Roman" w:hAnsi="Times New Roman"/>
          <w:i/>
          <w:sz w:val="20"/>
        </w:rPr>
        <w:t>Additional Limited Partner</w:t>
      </w:r>
      <w:r>
        <w:rPr>
          <w:rFonts w:ascii="Times New Roman" w:hAnsi="Times New Roman"/>
          <w:sz w:val="20"/>
        </w:rPr>
        <w:t xml:space="preserve">” means a Person admitted to the Partnership as a Limited Partner pursuant to </w:t>
      </w:r>
      <w:r>
        <w:rPr>
          <w:rFonts w:ascii="Times New Roman" w:hAnsi="Times New Roman"/>
          <w:sz w:val="20"/>
          <w:u w:val="single"/>
        </w:rPr>
        <w:t>Section 4.5</w:t>
      </w:r>
      <w:r>
        <w:rPr>
          <w:rFonts w:ascii="Times New Roman" w:hAnsi="Times New Roman"/>
          <w:sz w:val="20"/>
        </w:rPr>
        <w:t xml:space="preserve"> and who is shown as such on the books and records of the Partnership. </w:t>
      </w:r>
    </w:p>
    <w:p>
      <w:pPr>
        <w:pStyle w:val="TextBody"/>
        <w:bidi w:val="0"/>
        <w:spacing w:before="240" w:after="0"/>
        <w:jc w:val="left"/>
        <w:rPr/>
      </w:pPr>
      <w:r>
        <w:rPr/>
        <w:t>“</w:t>
      </w:r>
      <w:r>
        <w:rPr>
          <w:rFonts w:ascii="Times New Roman" w:hAnsi="Times New Roman"/>
          <w:i/>
          <w:sz w:val="20"/>
        </w:rPr>
        <w:t>Adjusted Capital Account</w:t>
      </w:r>
      <w:r>
        <w:rPr>
          <w:rFonts w:ascii="Times New Roman" w:hAnsi="Times New Roman"/>
          <w:sz w:val="20"/>
        </w:rPr>
        <w:t xml:space="preserve">” means, with respect to any Partner, the balance in such Partner’s Capital Account at the end of each taxable period of the Partnership after giving effect to the following adjustments: </w:t>
      </w:r>
    </w:p>
    <w:p>
      <w:pPr>
        <w:pStyle w:val="TextBody"/>
        <w:bidi w:val="0"/>
        <w:spacing w:before="120" w:after="0"/>
        <w:jc w:val="left"/>
        <w:rPr>
          <w:rFonts w:ascii="Times New Roman" w:hAnsi="Times New Roman"/>
          <w:sz w:val="20"/>
        </w:rPr>
      </w:pPr>
      <w:r>
        <w:rPr>
          <w:rFonts w:ascii="Times New Roman" w:hAnsi="Times New Roman"/>
          <w:sz w:val="20"/>
        </w:rPr>
        <w:t xml:space="preserve">(i) credit to such Capital Account any amounts which such Partner is (x) obligated to restore under the standards set by Treasury Regulation Section 1.704-1(b)(2)(ii)(c) or (y) deemed obligated to restore pursuant to the penultimate sentences of Treasury Regulation Sections 1.704-2(g)(1) and 1.704-2(i)(5);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debit to such Capital Account the items described in Treasury Regulation Sections 1.704-1(b)(2)(ii)(d)(4), 1.704-1(b)(2)(ii)(d)(5) and 1.704-1(b)(2)(ii)(d)(6). </w:t>
      </w:r>
    </w:p>
    <w:p>
      <w:pPr>
        <w:pStyle w:val="TextBody"/>
        <w:bidi w:val="0"/>
        <w:spacing w:before="240" w:after="0"/>
        <w:jc w:val="left"/>
        <w:rPr>
          <w:rFonts w:ascii="Times New Roman" w:hAnsi="Times New Roman"/>
          <w:sz w:val="20"/>
        </w:rPr>
      </w:pPr>
      <w:r>
        <w:rPr>
          <w:rFonts w:ascii="Times New Roman" w:hAnsi="Times New Roman"/>
          <w:sz w:val="20"/>
        </w:rPr>
        <w:t>The foregoing definition of Adjusted Capital Account is intended to comply with the provisions of Treasury Regulation Section 1.701-1(b)(2)(ii)(d) and shall be interpreted consistently therewith. The “</w:t>
      </w:r>
      <w:r>
        <w:rPr>
          <w:rFonts w:ascii="Times New Roman" w:hAnsi="Times New Roman"/>
          <w:i/>
          <w:sz w:val="20"/>
        </w:rPr>
        <w:t>Adjusted Capital Account</w:t>
      </w:r>
      <w:r>
        <w:rPr>
          <w:rFonts w:ascii="Times New Roman" w:hAnsi="Times New Roman"/>
          <w:sz w:val="20"/>
        </w:rPr>
        <w:t xml:space="preserve">” of a Partner in respect of any Partnership Interest (other than a Class A Unit) shall be the amount that such Adjusted Capital Account would be if such Partnership Interest were the only interest in the Partnership held by such Partner from and after the date on which such Partnership Interest were first issued. </w:t>
      </w:r>
    </w:p>
    <w:p>
      <w:pPr>
        <w:pStyle w:val="TextBody"/>
        <w:bidi w:val="0"/>
        <w:spacing w:before="240" w:after="0"/>
        <w:jc w:val="left"/>
        <w:rPr/>
      </w:pPr>
      <w:r>
        <w:rPr/>
        <w:t>“</w:t>
      </w:r>
      <w:r>
        <w:rPr>
          <w:rFonts w:ascii="Times New Roman" w:hAnsi="Times New Roman"/>
          <w:i/>
          <w:sz w:val="20"/>
        </w:rPr>
        <w:t>Adjusted Conversion Amount</w:t>
      </w:r>
      <w:r>
        <w:rPr>
          <w:rFonts w:ascii="Times New Roman" w:hAnsi="Times New Roman"/>
          <w:sz w:val="20"/>
        </w:rPr>
        <w:t xml:space="preserve">” means the number of Common Units to be issued upon conversion of each Series I Preferred Unit pursuant to </w:t>
      </w:r>
      <w:r>
        <w:rPr>
          <w:rFonts w:ascii="Times New Roman" w:hAnsi="Times New Roman"/>
          <w:sz w:val="20"/>
          <w:u w:val="single"/>
        </w:rPr>
        <w:t>Section 5.15(b)(iii)</w:t>
      </w:r>
      <w:r>
        <w:rPr>
          <w:rFonts w:ascii="Times New Roman" w:hAnsi="Times New Roman"/>
          <w:sz w:val="20"/>
        </w:rPr>
        <w:t xml:space="preserve"> equal to the greater of (i) the Series I Conversion Ratio and (ii) the quotient of (A) 150% multiplied by the Series I Preferred Unit Price divided by (B) the Adjustment Ratio multiplied by the lower of (x) the closing price of a Common Unit on the National Securities Exchange on which the Common Units are listed or admitted to trading on the last trading day prior to exercise of the Partnership’s conversion right pursuant to </w:t>
      </w:r>
      <w:r>
        <w:rPr>
          <w:rFonts w:ascii="Times New Roman" w:hAnsi="Times New Roman"/>
          <w:sz w:val="20"/>
          <w:u w:val="single"/>
        </w:rPr>
        <w:t>Section 5.15(b)(iii)</w:t>
      </w:r>
      <w:r>
        <w:rPr>
          <w:rFonts w:ascii="Times New Roman" w:hAnsi="Times New Roman"/>
          <w:sz w:val="20"/>
        </w:rPr>
        <w:t xml:space="preserve"> and (y) the VWAP Price calculated over the 10 consecutive trading days ending immediately prior to the date of exercise of the Partnership’s conversion right pursuant to </w:t>
      </w:r>
      <w:r>
        <w:rPr>
          <w:rFonts w:ascii="Times New Roman" w:hAnsi="Times New Roman"/>
          <w:sz w:val="20"/>
          <w:u w:val="single"/>
        </w:rPr>
        <w:t>Section 5.15(b)(iii)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Adjusted Property</w:t>
      </w:r>
      <w:r>
        <w:rPr>
          <w:rFonts w:ascii="Times New Roman" w:hAnsi="Times New Roman"/>
          <w:sz w:val="20"/>
        </w:rPr>
        <w:t xml:space="preserve">” means any property the Carrying Value of which has been adjusted pursuant to </w:t>
      </w:r>
      <w:r>
        <w:rPr>
          <w:rFonts w:ascii="Times New Roman" w:hAnsi="Times New Roman"/>
          <w:sz w:val="20"/>
          <w:u w:val="single"/>
        </w:rPr>
        <w:t>Section 5.5(d)(i)</w:t>
      </w:r>
      <w:r>
        <w:rPr>
          <w:rFonts w:ascii="Times New Roman" w:hAnsi="Times New Roman"/>
          <w:sz w:val="20"/>
        </w:rPr>
        <w:t xml:space="preserve"> or </w:t>
      </w:r>
      <w:r>
        <w:rPr>
          <w:rFonts w:ascii="Times New Roman" w:hAnsi="Times New Roman"/>
          <w:sz w:val="20"/>
          <w:u w:val="single"/>
        </w:rPr>
        <w:t>Section 5.5(d)(ii)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Adjustment Ratio</w:t>
      </w:r>
      <w:r>
        <w:rPr>
          <w:rFonts w:ascii="Times New Roman" w:hAnsi="Times New Roman"/>
          <w:sz w:val="20"/>
        </w:rPr>
        <w:t xml:space="preserve">” means 0.96,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Adjustment Ratio shall be 1.00 at any time that the VWAP Price for the 10 consecutive trading days ending immediately prior to the date of exercise of the Partnership’s conversion right pursuant to </w:t>
      </w:r>
      <w:r>
        <w:rPr>
          <w:rFonts w:ascii="Times New Roman" w:hAnsi="Times New Roman"/>
          <w:sz w:val="20"/>
          <w:u w:val="single"/>
        </w:rPr>
        <w:t>Section 5.15(b)(iii)</w:t>
      </w:r>
      <w:r>
        <w:rPr>
          <w:rFonts w:ascii="Times New Roman" w:hAnsi="Times New Roman"/>
          <w:sz w:val="20"/>
        </w:rPr>
        <w:t xml:space="preserve"> exceeds the quotient of (A) 125% of the Series I Preferred Unit Price, divided by (B) the then-applicable Series I Conversion Ratio. </w:t>
      </w:r>
    </w:p>
    <w:p>
      <w:pPr>
        <w:pStyle w:val="TextBody"/>
        <w:bidi w:val="0"/>
        <w:spacing w:before="240" w:after="0"/>
        <w:jc w:val="left"/>
        <w:rPr/>
      </w:pPr>
      <w:r>
        <w:rPr/>
        <w:t>“</w:t>
      </w:r>
      <w:r>
        <w:rPr>
          <w:rFonts w:ascii="Times New Roman" w:hAnsi="Times New Roman"/>
          <w:i/>
          <w:sz w:val="20"/>
        </w:rPr>
        <w:t>Affiliate</w:t>
      </w:r>
      <w:r>
        <w:rPr>
          <w:rFonts w:ascii="Times New Roman" w:hAnsi="Times New Roman"/>
          <w:sz w:val="20"/>
        </w:rPr>
        <w:t>” means, with respect to any Person, any other Person that directly or indirectly through one or more intermediaries controls, is controlled by or is under common control with, the Person in question. As used herein, the term “</w:t>
      </w:r>
      <w:r>
        <w:rPr>
          <w:rFonts w:ascii="Times New Roman" w:hAnsi="Times New Roman"/>
          <w:i/>
          <w:sz w:val="20"/>
        </w:rPr>
        <w:t>control</w:t>
      </w:r>
      <w:r>
        <w:rPr>
          <w:rFonts w:ascii="Times New Roman" w:hAnsi="Times New Roman"/>
          <w:sz w:val="20"/>
        </w:rPr>
        <w:t xml:space="preserve">” means the possession, direct or indirect, of the power to direct or cause the direction of the management and policies of a Person, whether through ownership of voting securities, by contract or otherwise. </w:t>
      </w:r>
    </w:p>
    <w:p>
      <w:pPr>
        <w:pStyle w:val="TextBody"/>
        <w:bidi w:val="0"/>
        <w:spacing w:before="240" w:after="0"/>
        <w:jc w:val="left"/>
        <w:rPr/>
      </w:pPr>
      <w:r>
        <w:rPr/>
        <w:t>“</w:t>
      </w:r>
      <w:r>
        <w:rPr>
          <w:rFonts w:ascii="Times New Roman" w:hAnsi="Times New Roman"/>
          <w:i/>
          <w:sz w:val="20"/>
        </w:rPr>
        <w:t>Aggregate Remaining Net Positive Adjustments</w:t>
      </w:r>
      <w:r>
        <w:rPr>
          <w:rFonts w:ascii="Times New Roman" w:hAnsi="Times New Roman"/>
          <w:sz w:val="20"/>
        </w:rPr>
        <w:t xml:space="preserve">” means, as of the end of any taxable period, the sum of the Remaining Net Positive Adjustments of all the Partners. </w:t>
      </w:r>
    </w:p>
    <w:p>
      <w:pPr>
        <w:pStyle w:val="TextBody"/>
        <w:bidi w:val="0"/>
        <w:spacing w:before="240" w:after="0"/>
        <w:jc w:val="left"/>
        <w:rPr/>
      </w:pPr>
      <w:r>
        <w:rPr/>
        <w:t>“</w:t>
      </w:r>
      <w:r>
        <w:rPr>
          <w:rFonts w:ascii="Times New Roman" w:hAnsi="Times New Roman"/>
          <w:i/>
          <w:sz w:val="20"/>
        </w:rPr>
        <w:t>Agreed Allocation</w:t>
      </w:r>
      <w:r>
        <w:rPr>
          <w:rFonts w:ascii="Times New Roman" w:hAnsi="Times New Roman"/>
          <w:sz w:val="20"/>
        </w:rPr>
        <w:t xml:space="preserve">” means any allocation, other than a Required Allocation, of an item of income, gain, loss or deduction pursuant to the provisions of </w:t>
      </w:r>
      <w:r>
        <w:rPr>
          <w:rFonts w:ascii="Times New Roman" w:hAnsi="Times New Roman"/>
          <w:sz w:val="20"/>
          <w:u w:val="single"/>
        </w:rPr>
        <w:t>Section 6.1</w:t>
      </w:r>
      <w:r>
        <w:rPr>
          <w:rFonts w:ascii="Times New Roman" w:hAnsi="Times New Roman"/>
          <w:sz w:val="20"/>
        </w:rPr>
        <w:t>, including, without limitation, a Curative Allocation (if appropriate to the context in which the term “</w:t>
      </w:r>
      <w:r>
        <w:rPr>
          <w:rFonts w:ascii="Times New Roman" w:hAnsi="Times New Roman"/>
          <w:i/>
          <w:sz w:val="20"/>
        </w:rPr>
        <w:t>Agreed Allocation</w:t>
      </w:r>
      <w:r>
        <w:rPr>
          <w:rFonts w:ascii="Times New Roman" w:hAnsi="Times New Roman"/>
          <w:sz w:val="20"/>
        </w:rPr>
        <w:t xml:space="preserve">” is used). </w:t>
      </w:r>
    </w:p>
    <w:p>
      <w:pPr>
        <w:pStyle w:val="TextBody"/>
        <w:bidi w:val="0"/>
        <w:spacing w:before="240" w:after="0"/>
        <w:jc w:val="left"/>
        <w:rPr/>
      </w:pPr>
      <w:r>
        <w:rPr/>
        <w:t>“</w:t>
      </w:r>
      <w:r>
        <w:rPr>
          <w:rFonts w:ascii="Times New Roman" w:hAnsi="Times New Roman"/>
          <w:i/>
          <w:sz w:val="20"/>
        </w:rPr>
        <w:t>Agreed Value</w:t>
      </w:r>
      <w:r>
        <w:rPr>
          <w:rFonts w:ascii="Times New Roman" w:hAnsi="Times New Roman"/>
          <w:sz w:val="20"/>
        </w:rPr>
        <w:t xml:space="preserve">” of (a) a Contributed Property means the fair market value of such property at the time of contribution and (b) an Adjusted Property means the fair market value of such Adjusted Property on the date of the Revaluation Event, in each case as determined by the General Partner.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Agreement</w:t>
      </w:r>
      <w:r>
        <w:rPr>
          <w:rFonts w:ascii="Times New Roman" w:hAnsi="Times New Roman"/>
          <w:sz w:val="20"/>
        </w:rPr>
        <w:t xml:space="preserve">” means this Agreement of Limited Partnership of Energy Transfer LP, as it may be amended, supplemented or restated from time to time. </w:t>
      </w:r>
    </w:p>
    <w:p>
      <w:pPr>
        <w:pStyle w:val="TextBody"/>
        <w:bidi w:val="0"/>
        <w:spacing w:before="240" w:after="0"/>
        <w:jc w:val="left"/>
        <w:rPr/>
      </w:pPr>
      <w:r>
        <w:rPr/>
        <w:t>“</w:t>
      </w:r>
      <w:r>
        <w:rPr>
          <w:rFonts w:ascii="Times New Roman" w:hAnsi="Times New Roman"/>
          <w:i/>
          <w:sz w:val="20"/>
        </w:rPr>
        <w:t>Arrears</w:t>
      </w:r>
      <w:r>
        <w:rPr>
          <w:rFonts w:ascii="Times New Roman" w:hAnsi="Times New Roman"/>
          <w:sz w:val="20"/>
        </w:rPr>
        <w:t xml:space="preserve">” means, (a) with respect to the Series B Distributions, the full cumulative Series B Distributions through the most recent Series B Distribution Payment Date that have not been paid on all Outstanding Series B Preferred Units, (b) with respect to the Series G Distributions, the full cumulative Series G Distributions through the most recent Series G Distribution Payment Date that have not been paid on all Outstanding Series G Preferred Units, (c) with respect to the Series H Distributions, the full cumulative Series H Distributions through the most recent Series H Distribution Payment Date that have not been paid on all Outstanding Series H Preferred Units and (d) with respect to the Series I Distributions, the full cumulative Series I Distributions through the most recent Series I Distribution Payment Date that have not been paid on all Outstanding Series I Preferred Units. </w:t>
      </w:r>
    </w:p>
    <w:p>
      <w:pPr>
        <w:pStyle w:val="TextBody"/>
        <w:bidi w:val="0"/>
        <w:spacing w:before="240" w:after="0"/>
        <w:jc w:val="left"/>
        <w:rPr/>
      </w:pPr>
      <w:r>
        <w:rPr/>
        <w:t>“</w:t>
      </w:r>
      <w:r>
        <w:rPr>
          <w:rFonts w:ascii="Times New Roman" w:hAnsi="Times New Roman"/>
          <w:i/>
          <w:sz w:val="20"/>
        </w:rPr>
        <w:t>Assignee</w:t>
      </w:r>
      <w:r>
        <w:rPr>
          <w:rFonts w:ascii="Times New Roman" w:hAnsi="Times New Roman"/>
          <w:sz w:val="20"/>
        </w:rPr>
        <w:t xml:space="preserve">” means a Person to whom one or more Limited Partner Interests have been transferred in a manner permitted under this Agreement and who has executed and delivered a Transfer Application, including a Taxation Certification, as required by this Agreement but who has not been admitted as a Substituted Limited Partner. </w:t>
      </w:r>
    </w:p>
    <w:p>
      <w:pPr>
        <w:pStyle w:val="TextBody"/>
        <w:bidi w:val="0"/>
        <w:spacing w:before="240" w:after="0"/>
        <w:jc w:val="left"/>
        <w:rPr/>
      </w:pPr>
      <w:r>
        <w:rPr/>
        <w:t>“</w:t>
      </w:r>
      <w:r>
        <w:rPr>
          <w:rFonts w:ascii="Times New Roman" w:hAnsi="Times New Roman"/>
          <w:i/>
          <w:sz w:val="20"/>
        </w:rPr>
        <w:t>Associate</w:t>
      </w:r>
      <w:r>
        <w:rPr>
          <w:rFonts w:ascii="Times New Roman" w:hAnsi="Times New Roman"/>
          <w:sz w:val="20"/>
        </w:rPr>
        <w:t xml:space="preserve">” means, when used to indicate a relationship with any Person, (a) any corporation or organization of which such Person is a director, officer or partner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 (c) any relative or spouse of such Person, or any relative of such spouse, who has the same principal residence as such Person. </w:t>
      </w:r>
    </w:p>
    <w:p>
      <w:pPr>
        <w:pStyle w:val="TextBody"/>
        <w:bidi w:val="0"/>
        <w:spacing w:before="240" w:after="0"/>
        <w:jc w:val="left"/>
        <w:rPr/>
      </w:pPr>
      <w:r>
        <w:rPr/>
        <w:t>“</w:t>
      </w:r>
      <w:r>
        <w:rPr>
          <w:rFonts w:ascii="Times New Roman" w:hAnsi="Times New Roman"/>
          <w:i/>
          <w:sz w:val="20"/>
        </w:rPr>
        <w:t>Available Cash</w:t>
      </w:r>
      <w:r>
        <w:rPr>
          <w:rFonts w:ascii="Times New Roman" w:hAnsi="Times New Roman"/>
          <w:sz w:val="20"/>
        </w:rPr>
        <w:t xml:space="preserve">” means, with respect to any Quarter ending prior to the Liquidation Date: </w:t>
      </w:r>
    </w:p>
    <w:p>
      <w:pPr>
        <w:pStyle w:val="TextBody"/>
        <w:bidi w:val="0"/>
        <w:spacing w:before="120" w:after="0"/>
        <w:jc w:val="left"/>
        <w:rPr>
          <w:rFonts w:ascii="Times New Roman" w:hAnsi="Times New Roman"/>
          <w:sz w:val="20"/>
        </w:rPr>
      </w:pPr>
      <w:r>
        <w:rPr>
          <w:rFonts w:ascii="Times New Roman" w:hAnsi="Times New Roman"/>
          <w:sz w:val="20"/>
        </w:rPr>
        <w:t xml:space="preserve">(a) the sum of (i) all cash and cash equivalents of the Partnership Group (or the Partnership’s proportionate share of cash and cash equivalents in the case of Subsidiaries that are not wholly owned) on hand at the end of such Quarter, and (ii) all additional cash and cash equivalents of the Partnership Group (or the Partnership’s proportionate share of cash and cash equivalents in the case of Subsidiaries that are not wholly owned) on hand immediately prior to the date of the distribution of Available Cash with respect to such Quarter, less </w:t>
      </w:r>
    </w:p>
    <w:p>
      <w:pPr>
        <w:pStyle w:val="TextBody"/>
        <w:bidi w:val="0"/>
        <w:spacing w:before="120" w:after="0"/>
        <w:jc w:val="left"/>
        <w:rPr>
          <w:rFonts w:ascii="Times New Roman" w:hAnsi="Times New Roman"/>
          <w:sz w:val="20"/>
        </w:rPr>
      </w:pPr>
      <w:r>
        <w:rPr>
          <w:rFonts w:ascii="Times New Roman" w:hAnsi="Times New Roman"/>
          <w:sz w:val="20"/>
        </w:rPr>
        <w:t xml:space="preserve">(b) the amount of any cash reserves (or the Partnership’s proportionate share of cash reserves in the case of Subsidiaries that are not wholly owned) established by the General Partner to (i) provide for the proper conduct of the business of the Partnership (including reserves for future capital expenditures, for anticipated future credit needs of the Partnership Group and for refunds of collected rates reasonably likely to be refunded as a result of a settlement or hearing relating to FERC rate proceedings) subsequent to such Quarter, (ii) comply with applicable law or any loan agreement, security agreement, mortgage, debt instrument or other agreement or obligation to which any Group Member is a party or by which it is bound or its assets are subject, (iii) provide funds for distributions under </w:t>
      </w:r>
      <w:r>
        <w:rPr>
          <w:rFonts w:ascii="Times New Roman" w:hAnsi="Times New Roman"/>
          <w:sz w:val="20"/>
          <w:u w:val="single"/>
        </w:rPr>
        <w:t>Section 6.3</w:t>
      </w:r>
      <w:r>
        <w:rPr>
          <w:rFonts w:ascii="Times New Roman" w:hAnsi="Times New Roman"/>
          <w:sz w:val="20"/>
        </w:rPr>
        <w:t xml:space="preserve"> in respect of any one or more of the next four Quarters, (iv) provide funds for Series B Distributions, (v) provide funds for Series G Distributions, (vi) provide funds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Series H Distributions, (vii) provide funds for Series I Distributions or (viii) provide funds for distributions to the Class B Units;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disbursements made by a Group Member or cash reserves established, increased or reduced after the end of such Quarter but on or before the date of determination of Available Cash with respect to such Quarter shall be deemed to have been made, established, increased or reduced, for purposes of determining Available Cash, within such Quarter if the General Partner so determines. </w:t>
      </w:r>
    </w:p>
    <w:p>
      <w:pPr>
        <w:pStyle w:val="TextBody"/>
        <w:bidi w:val="0"/>
        <w:spacing w:before="240" w:after="0"/>
        <w:jc w:val="left"/>
        <w:rPr>
          <w:rFonts w:ascii="Times New Roman" w:hAnsi="Times New Roman"/>
          <w:sz w:val="20"/>
        </w:rPr>
      </w:pPr>
      <w:r>
        <w:rPr>
          <w:rFonts w:ascii="Times New Roman" w:hAnsi="Times New Roman"/>
          <w:sz w:val="20"/>
        </w:rPr>
        <w:t>Notwithstanding the foregoing, “</w:t>
      </w:r>
      <w:r>
        <w:rPr>
          <w:rFonts w:ascii="Times New Roman" w:hAnsi="Times New Roman"/>
          <w:i/>
          <w:sz w:val="20"/>
        </w:rPr>
        <w:t>Available Cash</w:t>
      </w:r>
      <w:r>
        <w:rPr>
          <w:rFonts w:ascii="Times New Roman" w:hAnsi="Times New Roman"/>
          <w:sz w:val="20"/>
        </w:rPr>
        <w:t xml:space="preserve">” with respect to the Quarter in which the Liquidation Date occurs and any subsequent Quarter shall equal zero. </w:t>
      </w:r>
    </w:p>
    <w:p>
      <w:pPr>
        <w:pStyle w:val="TextBody"/>
        <w:bidi w:val="0"/>
        <w:spacing w:before="240" w:after="0"/>
        <w:jc w:val="left"/>
        <w:rPr/>
      </w:pPr>
      <w:r>
        <w:rPr/>
        <w:t>“</w:t>
      </w:r>
      <w:r>
        <w:rPr>
          <w:rFonts w:ascii="Times New Roman" w:hAnsi="Times New Roman"/>
          <w:i/>
          <w:sz w:val="20"/>
        </w:rPr>
        <w:t>Board of Directors</w:t>
      </w:r>
      <w:r>
        <w:rPr>
          <w:rFonts w:ascii="Times New Roman" w:hAnsi="Times New Roman"/>
          <w:sz w:val="20"/>
        </w:rPr>
        <w:t xml:space="preserve">” means, with respect to the Board of Directors of the general partner of the General Partner, its board of directors or managers, as applicable, if a corporation or limited liability company, or if a limited partnership, the board of directors or board of managers of the general partner of the General Partner. </w:t>
      </w:r>
    </w:p>
    <w:p>
      <w:pPr>
        <w:pStyle w:val="TextBody"/>
        <w:bidi w:val="0"/>
        <w:spacing w:before="240" w:after="0"/>
        <w:jc w:val="left"/>
        <w:rPr/>
      </w:pPr>
      <w:r>
        <w:rPr/>
        <w:t>“</w:t>
      </w:r>
      <w:r>
        <w:rPr>
          <w:rFonts w:ascii="Times New Roman" w:hAnsi="Times New Roman"/>
          <w:i/>
          <w:sz w:val="20"/>
        </w:rPr>
        <w:t>Book Basis Derivative Items</w:t>
      </w:r>
      <w:r>
        <w:rPr>
          <w:rFonts w:ascii="Times New Roman" w:hAnsi="Times New Roman"/>
          <w:sz w:val="20"/>
        </w:rPr>
        <w:t>” means any item of income, deduction, gain or loss included in the determination of Net Income or Net Loss that is computed with reference to the Carrying Value of an Adjusted Property (</w:t>
      </w:r>
      <w:r>
        <w:rPr>
          <w:rFonts w:ascii="Times New Roman" w:hAnsi="Times New Roman"/>
          <w:i/>
          <w:sz w:val="20"/>
        </w:rPr>
        <w:t>e.g.</w:t>
      </w:r>
      <w:r>
        <w:rPr>
          <w:rFonts w:ascii="Times New Roman" w:hAnsi="Times New Roman"/>
          <w:sz w:val="20"/>
        </w:rPr>
        <w:t xml:space="preserve">, depreciation, depletion, or gain or loss with respect to an Adjusted Property). </w:t>
      </w:r>
    </w:p>
    <w:p>
      <w:pPr>
        <w:pStyle w:val="TextBody"/>
        <w:bidi w:val="0"/>
        <w:spacing w:before="240" w:after="0"/>
        <w:jc w:val="left"/>
        <w:rPr/>
      </w:pPr>
      <w:r>
        <w:rPr/>
        <w:t>“</w:t>
      </w:r>
      <w:r>
        <w:rPr>
          <w:rFonts w:ascii="Times New Roman" w:hAnsi="Times New Roman"/>
          <w:i/>
          <w:sz w:val="20"/>
        </w:rPr>
        <w:t>Book-Down Event</w:t>
      </w:r>
      <w:r>
        <w:rPr>
          <w:rFonts w:ascii="Times New Roman" w:hAnsi="Times New Roman"/>
          <w:sz w:val="20"/>
        </w:rPr>
        <w:t xml:space="preserve">” means a Revaluation Event that gives rise to a Net Termination Loss. </w:t>
      </w:r>
    </w:p>
    <w:p>
      <w:pPr>
        <w:pStyle w:val="TextBody"/>
        <w:bidi w:val="0"/>
        <w:spacing w:before="240" w:after="0"/>
        <w:jc w:val="left"/>
        <w:rPr/>
      </w:pPr>
      <w:r>
        <w:rPr/>
        <w:t>“</w:t>
      </w:r>
      <w:r>
        <w:rPr>
          <w:rFonts w:ascii="Times New Roman" w:hAnsi="Times New Roman"/>
          <w:i/>
          <w:sz w:val="20"/>
        </w:rPr>
        <w:t>Book-Tax Disparity</w:t>
      </w:r>
      <w:r>
        <w:rPr>
          <w:rFonts w:ascii="Times New Roman" w:hAnsi="Times New Roman"/>
          <w:sz w:val="20"/>
        </w:rPr>
        <w:t xml:space="preserve">” means with respect to any item of Contributed Property or Adjusted Property, as of the date of any determination, the difference between the Carrying Value of such Contributed Property or Adjusted Property and the adjusted basis thereof for federal income tax purposes as of such date. A Partner’s share of the Partnership’s Book-Tax Disparities in all of its Contributed Property and Adjusted Property will be reflected by the difference between such Partner’s Capital Account balance as maintained pursuant to </w:t>
      </w:r>
      <w:r>
        <w:rPr>
          <w:rFonts w:ascii="Times New Roman" w:hAnsi="Times New Roman"/>
          <w:sz w:val="20"/>
          <w:u w:val="single"/>
        </w:rPr>
        <w:t>Section 5.5</w:t>
      </w:r>
      <w:r>
        <w:rPr>
          <w:rFonts w:ascii="Times New Roman" w:hAnsi="Times New Roman"/>
          <w:sz w:val="20"/>
        </w:rPr>
        <w:t xml:space="preserve"> and the hypothetical balance of such Partner’s Capital Account computed as if it had been maintained strictly in accordance with federal income tax accounting principles. </w:t>
      </w:r>
    </w:p>
    <w:p>
      <w:pPr>
        <w:pStyle w:val="TextBody"/>
        <w:bidi w:val="0"/>
        <w:spacing w:before="240" w:after="0"/>
        <w:jc w:val="left"/>
        <w:rPr/>
      </w:pPr>
      <w:r>
        <w:rPr/>
        <w:t>“</w:t>
      </w:r>
      <w:r>
        <w:rPr>
          <w:rFonts w:ascii="Times New Roman" w:hAnsi="Times New Roman"/>
          <w:i/>
          <w:sz w:val="20"/>
        </w:rPr>
        <w:t>Book-Up Event</w:t>
      </w:r>
      <w:r>
        <w:rPr>
          <w:rFonts w:ascii="Times New Roman" w:hAnsi="Times New Roman"/>
          <w:sz w:val="20"/>
        </w:rPr>
        <w:t xml:space="preserve">” means a Revaluation Event that gives rise to a Net Termination Gain. </w:t>
      </w:r>
    </w:p>
    <w:p>
      <w:pPr>
        <w:pStyle w:val="TextBody"/>
        <w:bidi w:val="0"/>
        <w:spacing w:before="240" w:after="0"/>
        <w:jc w:val="left"/>
        <w:rPr/>
      </w:pPr>
      <w:r>
        <w:rPr/>
        <w:t>“</w:t>
      </w:r>
      <w:r>
        <w:rPr>
          <w:rFonts w:ascii="Times New Roman" w:hAnsi="Times New Roman"/>
          <w:i/>
          <w:sz w:val="20"/>
        </w:rPr>
        <w:t>Business Day</w:t>
      </w:r>
      <w:r>
        <w:rPr>
          <w:rFonts w:ascii="Times New Roman" w:hAnsi="Times New Roman"/>
          <w:sz w:val="20"/>
        </w:rPr>
        <w:t xml:space="preserve">” means Monday through Friday of each week, except that a legal holiday recognized as such by the government of the United States of America or the states of New York or Texas shall not be regarded as a Business Day. </w:t>
      </w:r>
    </w:p>
    <w:p>
      <w:pPr>
        <w:pStyle w:val="TextBody"/>
        <w:bidi w:val="0"/>
        <w:spacing w:before="240" w:after="0"/>
        <w:jc w:val="left"/>
        <w:rPr/>
      </w:pPr>
      <w:r>
        <w:rPr/>
        <w:t>“</w:t>
      </w:r>
      <w:r>
        <w:rPr>
          <w:rFonts w:ascii="Times New Roman" w:hAnsi="Times New Roman"/>
          <w:i/>
          <w:sz w:val="20"/>
        </w:rPr>
        <w:t>Calculation Agent</w:t>
      </w:r>
      <w:r>
        <w:rPr>
          <w:rFonts w:ascii="Times New Roman" w:hAnsi="Times New Roman"/>
          <w:sz w:val="20"/>
        </w:rPr>
        <w:t xml:space="preserve">” means the financial institution that will be appointed by the General Partner prior to the Series B Floating Rate Period, Series G Reset Distribution Determination Date preceding the Series G First Call Date or Series H Reset Distribution Determination Date preceding the Series H First Reset Date, as applicable, to act in its capacity as calculation agent for the Series B Preferred Units, the Series G Preferred Units and the Series H Preferred Units, as applicable, and its successors and assigns or any other calculation agent appointed by the General Partner. For the avoidance of doubt, the Partnership and its Affiliates shall not be appointed by the General Partner to act as calculation agent for the Series B Preferred Units, the Series G Preferred Units or the Series H Preferred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Capital Account</w:t>
      </w:r>
      <w:r>
        <w:rPr>
          <w:rFonts w:ascii="Times New Roman" w:hAnsi="Times New Roman"/>
          <w:sz w:val="20"/>
        </w:rPr>
        <w:t xml:space="preserve">” means the capital account maintained for a Partner (other than with respect to a Class A Unit) pursuant to </w:t>
      </w:r>
      <w:r>
        <w:rPr>
          <w:rFonts w:ascii="Times New Roman" w:hAnsi="Times New Roman"/>
          <w:sz w:val="20"/>
          <w:u w:val="single"/>
        </w:rPr>
        <w:t>Section 5.5</w:t>
      </w:r>
      <w:r>
        <w:rPr>
          <w:rFonts w:ascii="Times New Roman" w:hAnsi="Times New Roman"/>
          <w:sz w:val="20"/>
        </w:rPr>
        <w:t>. The “</w:t>
      </w:r>
      <w:r>
        <w:rPr>
          <w:rFonts w:ascii="Times New Roman" w:hAnsi="Times New Roman"/>
          <w:i/>
          <w:sz w:val="20"/>
        </w:rPr>
        <w:t>Capital Account</w:t>
      </w:r>
      <w:r>
        <w:rPr>
          <w:rFonts w:ascii="Times New Roman" w:hAnsi="Times New Roman"/>
          <w:sz w:val="20"/>
        </w:rPr>
        <w:t xml:space="preserve">” of a Partner in respect of a General Partner Interest, a Common Unit or any other Partnership Interest (other than a Class A Unit) shall be the amount that such Capital Account would be if such General Partner Interest, Common Unit or other Partnership Interest were the only interest in the Partnership held by a Partner from and after the date on which such General Partner Interest, Common Unit or other Partnership Interest was first issued. </w:t>
      </w:r>
    </w:p>
    <w:p>
      <w:pPr>
        <w:pStyle w:val="TextBody"/>
        <w:bidi w:val="0"/>
        <w:spacing w:before="240" w:after="0"/>
        <w:jc w:val="left"/>
        <w:rPr/>
      </w:pPr>
      <w:r>
        <w:rPr/>
        <w:t>“</w:t>
      </w:r>
      <w:r>
        <w:rPr>
          <w:rFonts w:ascii="Times New Roman" w:hAnsi="Times New Roman"/>
          <w:i/>
          <w:sz w:val="20"/>
        </w:rPr>
        <w:t>Capital Contribution</w:t>
      </w:r>
      <w:r>
        <w:rPr>
          <w:rFonts w:ascii="Times New Roman" w:hAnsi="Times New Roman"/>
          <w:sz w:val="20"/>
        </w:rPr>
        <w:t xml:space="preserve">” means any cash, cash equivalents or the Net Agreed Value of Contributed Property that a Partner contributes to the Partnership pursuant to this Agreement. </w:t>
      </w:r>
    </w:p>
    <w:p>
      <w:pPr>
        <w:pStyle w:val="TextBody"/>
        <w:bidi w:val="0"/>
        <w:spacing w:before="240" w:after="0"/>
        <w:jc w:val="left"/>
        <w:rPr/>
      </w:pPr>
      <w:r>
        <w:rPr/>
        <w:t>“</w:t>
      </w:r>
      <w:r>
        <w:rPr>
          <w:rFonts w:ascii="Times New Roman" w:hAnsi="Times New Roman"/>
          <w:i/>
          <w:sz w:val="20"/>
        </w:rPr>
        <w:t>Carrying Value</w:t>
      </w:r>
      <w:r>
        <w:rPr>
          <w:rFonts w:ascii="Times New Roman" w:hAnsi="Times New Roman"/>
          <w:sz w:val="20"/>
        </w:rPr>
        <w:t xml:space="preserve">” means (a) with respect to a Contributed Property or an Adjusted Property, the Agreed Value of such property reduced (but not below zero) by all depreciation, amortization and other cost recovery deductions charged to the Partners’ Capital Accounts in respect of such property, and (b) with respect to any other Partnership property, the adjusted basis of such property for U.S. federal income tax purposes, all as of the time of determination. The Carrying Value of any property shall be adjusted from time to time in accordance with </w:t>
      </w:r>
      <w:r>
        <w:rPr>
          <w:rFonts w:ascii="Times New Roman" w:hAnsi="Times New Roman"/>
          <w:sz w:val="20"/>
          <w:u w:val="single"/>
        </w:rPr>
        <w:t>Section 5.5(d)</w:t>
      </w:r>
      <w:r>
        <w:rPr>
          <w:rFonts w:ascii="Times New Roman" w:hAnsi="Times New Roman"/>
          <w:sz w:val="20"/>
        </w:rPr>
        <w:t xml:space="preserve"> and to reflect changes, additions or other adjustments to the Carrying Value for dispositions and acquisitions of Partnership properties, as deemed appropriate by the General Partner. </w:t>
      </w:r>
    </w:p>
    <w:p>
      <w:pPr>
        <w:pStyle w:val="TextBody"/>
        <w:bidi w:val="0"/>
        <w:spacing w:before="240" w:after="0"/>
        <w:jc w:val="left"/>
        <w:rPr/>
      </w:pPr>
      <w:r>
        <w:rPr/>
        <w:t>“</w:t>
      </w:r>
      <w:r>
        <w:rPr>
          <w:rFonts w:ascii="Times New Roman" w:hAnsi="Times New Roman"/>
          <w:i/>
          <w:sz w:val="20"/>
        </w:rPr>
        <w:t>Cause</w:t>
      </w:r>
      <w:r>
        <w:rPr>
          <w:rFonts w:ascii="Times New Roman" w:hAnsi="Times New Roman"/>
          <w:sz w:val="20"/>
        </w:rPr>
        <w:t xml:space="preserve">” means a court of competent jurisdiction has entered a final, non-appealable judgment finding the General Partner liable for actual fraud or willful misconduct in its capacity as a general partner of the Partnership. </w:t>
      </w:r>
    </w:p>
    <w:p>
      <w:pPr>
        <w:pStyle w:val="TextBody"/>
        <w:bidi w:val="0"/>
        <w:spacing w:before="240" w:after="0"/>
        <w:jc w:val="left"/>
        <w:rPr/>
      </w:pPr>
      <w:r>
        <w:rPr/>
        <w:t>“</w:t>
      </w:r>
      <w:r>
        <w:rPr>
          <w:rFonts w:ascii="Times New Roman" w:hAnsi="Times New Roman"/>
          <w:i/>
          <w:sz w:val="20"/>
        </w:rPr>
        <w:t>Certificate</w:t>
      </w:r>
      <w:r>
        <w:rPr>
          <w:rFonts w:ascii="Times New Roman" w:hAnsi="Times New Roman"/>
          <w:sz w:val="20"/>
        </w:rPr>
        <w:t xml:space="preserve">” means a certificate (i) substantially in the form of </w:t>
      </w:r>
      <w:r>
        <w:rPr>
          <w:rFonts w:ascii="Times New Roman" w:hAnsi="Times New Roman"/>
          <w:sz w:val="20"/>
          <w:u w:val="single"/>
        </w:rPr>
        <w:t>Exhibit A</w:t>
      </w:r>
      <w:r>
        <w:rPr>
          <w:rFonts w:ascii="Times New Roman" w:hAnsi="Times New Roman"/>
          <w:sz w:val="20"/>
        </w:rPr>
        <w:t xml:space="preserve"> to this Agreement with respect to the Common Units, (ii) issued in global form in accordance with the rules and regulations of the Depositary or (iii) in such other form as may be adopted by the General Partner, issued by the Partnership evidencing ownership of one or more Units, or a certificate, in such form as may be adopted by the General Partner, issued by the Partnership evidencing ownership of one or more other Partnership Securities. </w:t>
      </w:r>
    </w:p>
    <w:p>
      <w:pPr>
        <w:pStyle w:val="TextBody"/>
        <w:bidi w:val="0"/>
        <w:spacing w:before="240" w:after="0"/>
        <w:jc w:val="left"/>
        <w:rPr/>
      </w:pPr>
      <w:r>
        <w:rPr/>
        <w:t>“</w:t>
      </w:r>
      <w:r>
        <w:rPr>
          <w:rFonts w:ascii="Times New Roman" w:hAnsi="Times New Roman"/>
          <w:i/>
          <w:sz w:val="20"/>
        </w:rPr>
        <w:t>Certificate of Conversion</w:t>
      </w:r>
      <w:r>
        <w:rPr>
          <w:rFonts w:ascii="Times New Roman" w:hAnsi="Times New Roman"/>
          <w:sz w:val="20"/>
        </w:rPr>
        <w:t xml:space="preserve">” means the Certificate of Conversion of the Partnership filed with the Secretary of State of the State of Texas as referenced in </w:t>
      </w:r>
      <w:r>
        <w:rPr>
          <w:rFonts w:ascii="Times New Roman" w:hAnsi="Times New Roman"/>
          <w:sz w:val="20"/>
          <w:u w:val="single"/>
        </w:rPr>
        <w:t>Section 2.1</w:t>
      </w:r>
      <w:r>
        <w:rPr>
          <w:rFonts w:ascii="Times New Roman" w:hAnsi="Times New Roman"/>
          <w:sz w:val="20"/>
        </w:rPr>
        <w:t xml:space="preserve">, as such Certificate of Conversion may be amended, supplemented or restated from time to time. </w:t>
      </w:r>
    </w:p>
    <w:p>
      <w:pPr>
        <w:pStyle w:val="TextBody"/>
        <w:bidi w:val="0"/>
        <w:spacing w:before="240" w:after="0"/>
        <w:jc w:val="left"/>
        <w:rPr/>
      </w:pPr>
      <w:r>
        <w:rPr/>
        <w:t>“</w:t>
      </w:r>
      <w:r>
        <w:rPr>
          <w:rFonts w:ascii="Times New Roman" w:hAnsi="Times New Roman"/>
          <w:i/>
          <w:sz w:val="20"/>
        </w:rPr>
        <w:t>Certificate of Formation</w:t>
      </w:r>
      <w:r>
        <w:rPr>
          <w:rFonts w:ascii="Times New Roman" w:hAnsi="Times New Roman"/>
          <w:sz w:val="20"/>
        </w:rPr>
        <w:t xml:space="preserve">” means the Certificate of Formation of the Partnership filed with the Secretary of State of the State of Texas as referenced in </w:t>
      </w:r>
      <w:r>
        <w:rPr>
          <w:rFonts w:ascii="Times New Roman" w:hAnsi="Times New Roman"/>
          <w:sz w:val="20"/>
          <w:u w:val="single"/>
        </w:rPr>
        <w:t>Section 2.1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as such Certificate of Formation may be amended, supplemented or restated from time to time. </w:t>
      </w:r>
    </w:p>
    <w:p>
      <w:pPr>
        <w:pStyle w:val="TextBody"/>
        <w:bidi w:val="0"/>
        <w:spacing w:before="240" w:after="0"/>
        <w:jc w:val="left"/>
        <w:rPr/>
      </w:pPr>
      <w:r>
        <w:rPr/>
        <w:t>“</w:t>
      </w:r>
      <w:r>
        <w:rPr>
          <w:rFonts w:ascii="Times New Roman" w:hAnsi="Times New Roman"/>
          <w:i/>
          <w:sz w:val="20"/>
        </w:rPr>
        <w:t>Class</w:t>
      </w:r>
      <w:r>
        <w:rPr>
          <w:rFonts w:ascii="Times New Roman" w:hAnsi="Times New Roman"/>
          <w:sz w:val="20"/>
        </w:rPr>
        <w:t> </w:t>
      </w:r>
      <w:r>
        <w:rPr>
          <w:rFonts w:ascii="Times New Roman" w:hAnsi="Times New Roman"/>
          <w:i/>
          <w:sz w:val="20"/>
        </w:rPr>
        <w:t>A Unit</w:t>
      </w:r>
      <w:r>
        <w:rPr>
          <w:rFonts w:ascii="Times New Roman" w:hAnsi="Times New Roman"/>
          <w:sz w:val="20"/>
        </w:rPr>
        <w:t xml:space="preserve">” means a Partnership Security representing a fractional part of the Partnership Interests, and having the rights and obligations specified with respect to Class A Units in this Agreement. </w:t>
      </w:r>
    </w:p>
    <w:p>
      <w:pPr>
        <w:pStyle w:val="TextBody"/>
        <w:bidi w:val="0"/>
        <w:spacing w:before="240" w:after="0"/>
        <w:jc w:val="left"/>
        <w:rPr/>
      </w:pPr>
      <w:r>
        <w:rPr/>
        <w:t>“</w:t>
      </w:r>
      <w:r>
        <w:rPr>
          <w:rFonts w:ascii="Times New Roman" w:hAnsi="Times New Roman"/>
          <w:i/>
          <w:sz w:val="20"/>
        </w:rPr>
        <w:t>Class</w:t>
      </w:r>
      <w:r>
        <w:rPr>
          <w:rFonts w:ascii="Times New Roman" w:hAnsi="Times New Roman"/>
          <w:sz w:val="20"/>
        </w:rPr>
        <w:t> </w:t>
      </w:r>
      <w:r>
        <w:rPr>
          <w:rFonts w:ascii="Times New Roman" w:hAnsi="Times New Roman"/>
          <w:i/>
          <w:sz w:val="20"/>
        </w:rPr>
        <w:t>A Unitholders</w:t>
      </w:r>
      <w:r>
        <w:rPr>
          <w:rFonts w:ascii="Times New Roman" w:hAnsi="Times New Roman"/>
          <w:sz w:val="20"/>
        </w:rPr>
        <w:t xml:space="preserve">” means the holder or holders of the Class A Units. </w:t>
      </w:r>
    </w:p>
    <w:p>
      <w:pPr>
        <w:pStyle w:val="TextBody"/>
        <w:bidi w:val="0"/>
        <w:spacing w:before="240" w:after="0"/>
        <w:jc w:val="left"/>
        <w:rPr/>
      </w:pPr>
      <w:r>
        <w:rPr/>
        <w:t>“</w:t>
      </w:r>
      <w:r>
        <w:rPr>
          <w:rFonts w:ascii="Times New Roman" w:hAnsi="Times New Roman"/>
          <w:i/>
          <w:sz w:val="20"/>
        </w:rPr>
        <w:t>Class</w:t>
      </w:r>
      <w:r>
        <w:rPr>
          <w:rFonts w:ascii="Times New Roman" w:hAnsi="Times New Roman"/>
          <w:sz w:val="20"/>
        </w:rPr>
        <w:t> </w:t>
      </w:r>
      <w:r>
        <w:rPr>
          <w:rFonts w:ascii="Times New Roman" w:hAnsi="Times New Roman"/>
          <w:i/>
          <w:sz w:val="20"/>
        </w:rPr>
        <w:t>B Unit Distribution Rate</w:t>
      </w:r>
      <w:r>
        <w:rPr>
          <w:rFonts w:ascii="Times New Roman" w:hAnsi="Times New Roman"/>
          <w:sz w:val="20"/>
        </w:rPr>
        <w:t xml:space="preserve">” means an amount per Class B Unit equal to 7.5% per annum (1.875% per Quarter), of the Class B Unit Issue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Class</w:t>
      </w:r>
      <w:r>
        <w:rPr>
          <w:rFonts w:ascii="Times New Roman" w:hAnsi="Times New Roman"/>
          <w:sz w:val="20"/>
        </w:rPr>
        <w:t> </w:t>
      </w:r>
      <w:r>
        <w:rPr>
          <w:rFonts w:ascii="Times New Roman" w:hAnsi="Times New Roman"/>
          <w:i/>
          <w:sz w:val="20"/>
        </w:rPr>
        <w:t>B Unit Issue Price</w:t>
      </w:r>
      <w:r>
        <w:rPr>
          <w:rFonts w:ascii="Times New Roman" w:hAnsi="Times New Roman"/>
          <w:sz w:val="20"/>
        </w:rPr>
        <w:t xml:space="preserve">” means the Issue Price of a Class B Unit on the Class B Unit Original Issuance Date. </w:t>
      </w:r>
    </w:p>
    <w:p>
      <w:pPr>
        <w:pStyle w:val="TextBody"/>
        <w:bidi w:val="0"/>
        <w:spacing w:before="240" w:after="0"/>
        <w:jc w:val="left"/>
        <w:rPr/>
      </w:pPr>
      <w:r>
        <w:rPr/>
        <w:t>“</w:t>
      </w:r>
      <w:r>
        <w:rPr>
          <w:rFonts w:ascii="Times New Roman" w:hAnsi="Times New Roman"/>
          <w:i/>
          <w:sz w:val="20"/>
        </w:rPr>
        <w:t>Class</w:t>
      </w:r>
      <w:r>
        <w:rPr>
          <w:rFonts w:ascii="Times New Roman" w:hAnsi="Times New Roman"/>
          <w:sz w:val="20"/>
        </w:rPr>
        <w:t> </w:t>
      </w:r>
      <w:r>
        <w:rPr>
          <w:rFonts w:ascii="Times New Roman" w:hAnsi="Times New Roman"/>
          <w:i/>
          <w:sz w:val="20"/>
        </w:rPr>
        <w:t>B Unit Original Issuance Date</w:t>
      </w:r>
      <w:r>
        <w:rPr>
          <w:rFonts w:ascii="Times New Roman" w:hAnsi="Times New Roman"/>
          <w:sz w:val="20"/>
        </w:rPr>
        <w:t xml:space="preserve">” means April 1, 2021. </w:t>
      </w:r>
    </w:p>
    <w:p>
      <w:pPr>
        <w:pStyle w:val="TextBody"/>
        <w:bidi w:val="0"/>
        <w:spacing w:before="240" w:after="0"/>
        <w:jc w:val="left"/>
        <w:rPr/>
      </w:pPr>
      <w:r>
        <w:rPr/>
        <w:t>“</w:t>
      </w:r>
      <w:r>
        <w:rPr>
          <w:rFonts w:ascii="Times New Roman" w:hAnsi="Times New Roman"/>
          <w:i/>
          <w:sz w:val="20"/>
        </w:rPr>
        <w:t>Class</w:t>
      </w:r>
      <w:r>
        <w:rPr>
          <w:rFonts w:ascii="Times New Roman" w:hAnsi="Times New Roman"/>
          <w:sz w:val="20"/>
        </w:rPr>
        <w:t> </w:t>
      </w:r>
      <w:r>
        <w:rPr>
          <w:rFonts w:ascii="Times New Roman" w:hAnsi="Times New Roman"/>
          <w:i/>
          <w:sz w:val="20"/>
        </w:rPr>
        <w:t>B Unit Quarterly Distribution</w:t>
      </w:r>
      <w:r>
        <w:rPr>
          <w:rFonts w:ascii="Times New Roman" w:hAnsi="Times New Roman"/>
          <w:sz w:val="20"/>
        </w:rPr>
        <w:t xml:space="preserve">” has the meaning set forth in </w:t>
      </w:r>
      <w:r>
        <w:rPr>
          <w:rFonts w:ascii="Times New Roman" w:hAnsi="Times New Roman"/>
          <w:sz w:val="20"/>
          <w:u w:val="single"/>
        </w:rPr>
        <w:t>Section 5.13(b)(iii)(B)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Class</w:t>
      </w:r>
      <w:r>
        <w:rPr>
          <w:rFonts w:ascii="Times New Roman" w:hAnsi="Times New Roman"/>
          <w:sz w:val="20"/>
        </w:rPr>
        <w:t> </w:t>
      </w:r>
      <w:r>
        <w:rPr>
          <w:rFonts w:ascii="Times New Roman" w:hAnsi="Times New Roman"/>
          <w:i/>
          <w:sz w:val="20"/>
        </w:rPr>
        <w:t>B Units</w:t>
      </w:r>
      <w:r>
        <w:rPr>
          <w:rFonts w:ascii="Times New Roman" w:hAnsi="Times New Roman"/>
          <w:sz w:val="20"/>
        </w:rPr>
        <w:t xml:space="preserve">” has the meaning given such term in </w:t>
      </w:r>
      <w:r>
        <w:rPr>
          <w:rFonts w:ascii="Times New Roman" w:hAnsi="Times New Roman"/>
          <w:sz w:val="20"/>
          <w:u w:val="single"/>
        </w:rPr>
        <w:t>Section 5.13(a)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Closing Date</w:t>
      </w:r>
      <w:r>
        <w:rPr>
          <w:rFonts w:ascii="Times New Roman" w:hAnsi="Times New Roman"/>
          <w:sz w:val="20"/>
        </w:rPr>
        <w:t xml:space="preserve">” means the first date on which Common Units were sold by the Partnership to the Underwriters pursuant to the provisions of the Underwriting Agreement. </w:t>
      </w:r>
    </w:p>
    <w:p>
      <w:pPr>
        <w:pStyle w:val="TextBody"/>
        <w:bidi w:val="0"/>
        <w:spacing w:before="240" w:after="0"/>
        <w:jc w:val="left"/>
        <w:rPr/>
      </w:pPr>
      <w:r>
        <w:rPr/>
        <w:t>“</w:t>
      </w:r>
      <w:r>
        <w:rPr>
          <w:rFonts w:ascii="Times New Roman" w:hAnsi="Times New Roman"/>
          <w:i/>
          <w:sz w:val="20"/>
        </w:rPr>
        <w:t>Closing Price</w:t>
      </w:r>
      <w:r>
        <w:rPr>
          <w:rFonts w:ascii="Times New Roman" w:hAnsi="Times New Roman"/>
          <w:sz w:val="20"/>
        </w:rPr>
        <w:t xml:space="preserve">” has the meaning assigned to such term in </w:t>
      </w:r>
      <w:r>
        <w:rPr>
          <w:rFonts w:ascii="Times New Roman" w:hAnsi="Times New Roman"/>
          <w:sz w:val="20"/>
          <w:u w:val="single"/>
        </w:rPr>
        <w:t>Section 15.1(a)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Code</w:t>
      </w:r>
      <w:r>
        <w:rPr>
          <w:rFonts w:ascii="Times New Roman" w:hAnsi="Times New Roman"/>
          <w:sz w:val="20"/>
        </w:rPr>
        <w:t xml:space="preserve">” means the Internal Revenue Code of 1986, as amended and in effect from time to time. Any reference herein to a specific section or sections of the Code shall be deemed to include a reference to any corresponding provision of successor law. </w:t>
      </w:r>
    </w:p>
    <w:p>
      <w:pPr>
        <w:pStyle w:val="TextBody"/>
        <w:bidi w:val="0"/>
        <w:spacing w:before="240" w:after="0"/>
        <w:jc w:val="left"/>
        <w:rPr/>
      </w:pPr>
      <w:r>
        <w:rPr/>
        <w:t>“</w:t>
      </w:r>
      <w:r>
        <w:rPr>
          <w:rFonts w:ascii="Times New Roman" w:hAnsi="Times New Roman"/>
          <w:i/>
          <w:sz w:val="20"/>
        </w:rPr>
        <w:t>Combined Interest</w:t>
      </w:r>
      <w:r>
        <w:rPr>
          <w:rFonts w:ascii="Times New Roman" w:hAnsi="Times New Roman"/>
          <w:sz w:val="20"/>
        </w:rPr>
        <w:t xml:space="preserve">” has the meaning assigned to such term in </w:t>
      </w:r>
      <w:r>
        <w:rPr>
          <w:rFonts w:ascii="Times New Roman" w:hAnsi="Times New Roman"/>
          <w:sz w:val="20"/>
          <w:u w:val="single"/>
        </w:rPr>
        <w:t>Section 11.3(a)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Commission</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i/>
          <w:sz w:val="20"/>
        </w:rPr>
        <w:t>Common Unit</w:t>
      </w:r>
      <w:r>
        <w:rPr>
          <w:rFonts w:ascii="Times New Roman" w:hAnsi="Times New Roman"/>
          <w:sz w:val="20"/>
        </w:rPr>
        <w:t xml:space="preserve">” means a Partnership Security representing a fractional part of the Partnership Interests of all Limited Partners, and having the rights and obligations specified with respect to Common Units in this Agreement. The term “Common Unit” does not include a Class A Unit, a Class B Unit, a Series B Preferred Unit, a Series G Preferred Unit, a Series H Preferred Unit or a Series I Preferred Unit. </w:t>
      </w:r>
    </w:p>
    <w:p>
      <w:pPr>
        <w:pStyle w:val="TextBody"/>
        <w:bidi w:val="0"/>
        <w:spacing w:before="240" w:after="0"/>
        <w:jc w:val="left"/>
        <w:rPr/>
      </w:pPr>
      <w:r>
        <w:rPr/>
        <w:t>“</w:t>
      </w:r>
      <w:r>
        <w:rPr>
          <w:rFonts w:ascii="Times New Roman" w:hAnsi="Times New Roman"/>
          <w:i/>
          <w:sz w:val="20"/>
        </w:rPr>
        <w:t>Common Voting Security</w:t>
      </w:r>
      <w:r>
        <w:rPr>
          <w:rFonts w:ascii="Times New Roman" w:hAnsi="Times New Roman"/>
          <w:sz w:val="20"/>
        </w:rPr>
        <w:t xml:space="preserve">” means any Partnership Security with voting rights that are </w:t>
      </w:r>
      <w:r>
        <w:rPr>
          <w:rFonts w:ascii="Times New Roman" w:hAnsi="Times New Roman"/>
          <w:i/>
          <w:sz w:val="20"/>
        </w:rPr>
        <w:t>pari passu</w:t>
      </w:r>
      <w:r>
        <w:rPr>
          <w:rFonts w:ascii="Times New Roman" w:hAnsi="Times New Roman"/>
          <w:sz w:val="20"/>
        </w:rPr>
        <w:t xml:space="preserve"> with the Common Units, including without limitation the Class A Units. </w:t>
      </w:r>
    </w:p>
    <w:p>
      <w:pPr>
        <w:pStyle w:val="TextBody"/>
        <w:bidi w:val="0"/>
        <w:spacing w:before="240" w:after="0"/>
        <w:jc w:val="left"/>
        <w:rPr/>
      </w:pPr>
      <w:r>
        <w:rPr/>
        <w:t>“</w:t>
      </w:r>
      <w:r>
        <w:rPr>
          <w:rFonts w:ascii="Times New Roman" w:hAnsi="Times New Roman"/>
          <w:i/>
          <w:sz w:val="20"/>
        </w:rPr>
        <w:t>Conflicts Committee</w:t>
      </w:r>
      <w:r>
        <w:rPr>
          <w:rFonts w:ascii="Times New Roman" w:hAnsi="Times New Roman"/>
          <w:sz w:val="20"/>
        </w:rPr>
        <w:t xml:space="preserve">” means a committee of the Board of Directors of the General Partner composed entirely of one or more directors who are not (a) security holders, officers or employees of the General Partner, (b) officers, directors or employees of any Affiliate of the General Partner or (c) holders of any ownership interest in the Partnership other than Common Units, and who also meet the independence standards required to serve on an audit committee of a board of directors established by the Securities Exchange Act and the rules and regulations of the Commission thereunder by the National Securities Exchange on which the Common Units are listed or admitted for trading. </w:t>
      </w:r>
    </w:p>
    <w:p>
      <w:pPr>
        <w:pStyle w:val="TextBody"/>
        <w:bidi w:val="0"/>
        <w:spacing w:before="240" w:after="0"/>
        <w:jc w:val="left"/>
        <w:rPr/>
      </w:pPr>
      <w:r>
        <w:rPr/>
        <w:t>“</w:t>
      </w:r>
      <w:r>
        <w:rPr>
          <w:rFonts w:ascii="Times New Roman" w:hAnsi="Times New Roman"/>
          <w:i/>
          <w:sz w:val="20"/>
        </w:rPr>
        <w:t>Contributed Property</w:t>
      </w:r>
      <w:r>
        <w:rPr>
          <w:rFonts w:ascii="Times New Roman" w:hAnsi="Times New Roman"/>
          <w:sz w:val="20"/>
        </w:rPr>
        <w:t xml:space="preserve">” means each property or other asset, in such form as may be permitted by the Texas Limited Partnership Law, but excluding cash, contributed to the Partnership. Once the Carrying Value of a Contributed Property is adjusted pursuant to </w:t>
      </w:r>
      <w:r>
        <w:rPr>
          <w:rFonts w:ascii="Times New Roman" w:hAnsi="Times New Roman"/>
          <w:sz w:val="20"/>
          <w:u w:val="single"/>
        </w:rPr>
        <w:t>Section 5.5(d)</w:t>
      </w:r>
      <w:r>
        <w:rPr>
          <w:rFonts w:ascii="Times New Roman" w:hAnsi="Times New Roman"/>
          <w:sz w:val="20"/>
        </w:rPr>
        <w:t xml:space="preserve">, such property shall no longer constitute a Contributed Property, but shall be deemed an Adjusted Property. </w:t>
      </w:r>
    </w:p>
    <w:p>
      <w:pPr>
        <w:pStyle w:val="TextBody"/>
        <w:bidi w:val="0"/>
        <w:spacing w:before="240" w:after="0"/>
        <w:jc w:val="left"/>
        <w:rPr/>
      </w:pPr>
      <w:r>
        <w:rPr/>
        <w:t>“</w:t>
      </w:r>
      <w:r>
        <w:rPr>
          <w:rFonts w:ascii="Times New Roman" w:hAnsi="Times New Roman"/>
          <w:i/>
          <w:sz w:val="20"/>
        </w:rPr>
        <w:t>Conversion</w:t>
      </w:r>
      <w:r>
        <w:rPr>
          <w:rFonts w:ascii="Times New Roman" w:hAnsi="Times New Roman"/>
          <w:sz w:val="20"/>
        </w:rPr>
        <w:t xml:space="preserve">” has the meaning assigned to such term in the recitals.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Crestwood Indentures</w:t>
      </w:r>
      <w:r>
        <w:rPr>
          <w:rFonts w:ascii="Times New Roman" w:hAnsi="Times New Roman"/>
          <w:sz w:val="20"/>
        </w:rPr>
        <w:t xml:space="preserve">” means (i) that certain Indenture dated as of March 23, 2015 by and among Crestwood Midstream Partners LP, Crestwood Midstream Finance Corp., the other guarantors party thereto and U.S. Bank National Association, as trustee, (ii) that certain Indenture dated as of March 14, 2017 by and among Crestwood Midstream Partners LP, Crestwood Midstream Finance Corp., the other guarantors party thereto and U.S. Bank National Association, as trustee, (iii) that certain Indenture dated as of April 15, 2019 by and among Crestwood Midstream Partners LP, Crestwood Midstream Finance Corp., the other guarantors party thereto and U.S. Bank National Association, as trustee, and (iv) that certain indenture dated as of January 21, 2021, by and among Crestwood Midstream Partners LP, Crestwood Midstream Finance Corp., the other guarantors party thereto and U.S. Bank National Association, as trustee. </w:t>
      </w:r>
    </w:p>
    <w:p>
      <w:pPr>
        <w:pStyle w:val="TextBody"/>
        <w:bidi w:val="0"/>
        <w:spacing w:before="240" w:after="0"/>
        <w:jc w:val="left"/>
        <w:rPr/>
      </w:pPr>
      <w:r>
        <w:rPr/>
        <w:t>“</w:t>
      </w:r>
      <w:r>
        <w:rPr>
          <w:rFonts w:ascii="Times New Roman" w:hAnsi="Times New Roman"/>
          <w:i/>
          <w:sz w:val="20"/>
        </w:rPr>
        <w:t>Crestwood Partners</w:t>
      </w:r>
      <w:r>
        <w:rPr>
          <w:rFonts w:ascii="Times New Roman" w:hAnsi="Times New Roman"/>
          <w:sz w:val="20"/>
        </w:rPr>
        <w:t xml:space="preserve">” means Crestwood Partners, LLC, a Delaware limited liability company. </w:t>
      </w:r>
    </w:p>
    <w:p>
      <w:pPr>
        <w:pStyle w:val="TextBody"/>
        <w:bidi w:val="0"/>
        <w:spacing w:before="240" w:after="0"/>
        <w:jc w:val="left"/>
        <w:rPr/>
      </w:pPr>
      <w:r>
        <w:rPr/>
        <w:t>“</w:t>
      </w:r>
      <w:r>
        <w:rPr>
          <w:rFonts w:ascii="Times New Roman" w:hAnsi="Times New Roman"/>
          <w:i/>
          <w:sz w:val="20"/>
        </w:rPr>
        <w:t>Curative Allocation</w:t>
      </w:r>
      <w:r>
        <w:rPr>
          <w:rFonts w:ascii="Times New Roman" w:hAnsi="Times New Roman"/>
          <w:sz w:val="20"/>
        </w:rPr>
        <w:t xml:space="preserve">” means any allocation of an item of income, gain, deduction, loss or credit pursuant to the provisions of </w:t>
      </w:r>
      <w:r>
        <w:rPr>
          <w:rFonts w:ascii="Times New Roman" w:hAnsi="Times New Roman"/>
          <w:sz w:val="20"/>
          <w:u w:val="single"/>
        </w:rPr>
        <w:t>Section 6.1(d)(vi)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Current Market Price</w:t>
      </w:r>
      <w:r>
        <w:rPr>
          <w:rFonts w:ascii="Times New Roman" w:hAnsi="Times New Roman"/>
          <w:sz w:val="20"/>
        </w:rPr>
        <w:t xml:space="preserve">” has the meaning assigned to such term in </w:t>
      </w:r>
      <w:r>
        <w:rPr>
          <w:rFonts w:ascii="Times New Roman" w:hAnsi="Times New Roman"/>
          <w:sz w:val="20"/>
          <w:u w:val="single"/>
        </w:rPr>
        <w:t>Section 15.1(a)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Delaware Act</w:t>
      </w:r>
      <w:r>
        <w:rPr>
          <w:rFonts w:ascii="Times New Roman" w:hAnsi="Times New Roman"/>
          <w:sz w:val="20"/>
        </w:rPr>
        <w:t xml:space="preserve">” means the Delaware Revised Uniform Limited Partnership Act, 6 Del. C. Section 17-101, et seq., as amended, supplemented or restated from time to time, and any successor to such statute. </w:t>
      </w:r>
    </w:p>
    <w:p>
      <w:pPr>
        <w:pStyle w:val="TextBody"/>
        <w:bidi w:val="0"/>
        <w:spacing w:before="240" w:after="0"/>
        <w:jc w:val="left"/>
        <w:rPr/>
      </w:pPr>
      <w:r>
        <w:rPr/>
        <w:t>“</w:t>
      </w:r>
      <w:r>
        <w:rPr>
          <w:rFonts w:ascii="Times New Roman" w:hAnsi="Times New Roman"/>
          <w:i/>
          <w:sz w:val="20"/>
        </w:rPr>
        <w:t>Delaware Certificate of Conversion</w:t>
      </w:r>
      <w:r>
        <w:rPr>
          <w:rFonts w:ascii="Times New Roman" w:hAnsi="Times New Roman"/>
          <w:sz w:val="20"/>
        </w:rPr>
        <w:t xml:space="preserve">” means the Certificate of Conversion of the Partnership to a non-Delaware entity to be filed with the Secretary of State of the State of Delaware as referenced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Delaware Partnership</w:t>
      </w:r>
      <w:r>
        <w:rPr>
          <w:rFonts w:ascii="Times New Roman" w:hAnsi="Times New Roman"/>
          <w:sz w:val="20"/>
        </w:rPr>
        <w:t xml:space="preserve">” has the meaning assigned to such term in the recitals. </w:t>
      </w:r>
    </w:p>
    <w:p>
      <w:pPr>
        <w:pStyle w:val="TextBody"/>
        <w:bidi w:val="0"/>
        <w:spacing w:before="240" w:after="0"/>
        <w:jc w:val="left"/>
        <w:rPr/>
      </w:pPr>
      <w:r>
        <w:rPr/>
        <w:t>“</w:t>
      </w:r>
      <w:r>
        <w:rPr>
          <w:rFonts w:ascii="Times New Roman" w:hAnsi="Times New Roman"/>
          <w:i/>
          <w:sz w:val="20"/>
        </w:rPr>
        <w:t>Delaware Partnership Agreement</w:t>
      </w:r>
      <w:r>
        <w:rPr>
          <w:rFonts w:ascii="Times New Roman" w:hAnsi="Times New Roman"/>
          <w:sz w:val="20"/>
        </w:rPr>
        <w:t xml:space="preserve">” has the meaning assigned to such term in the recitals. </w:t>
      </w:r>
    </w:p>
    <w:p>
      <w:pPr>
        <w:pStyle w:val="TextBody"/>
        <w:bidi w:val="0"/>
        <w:spacing w:before="240" w:after="0"/>
        <w:jc w:val="left"/>
        <w:rPr/>
      </w:pPr>
      <w:r>
        <w:rPr/>
        <w:t>“</w:t>
      </w:r>
      <w:r>
        <w:rPr>
          <w:rFonts w:ascii="Times New Roman" w:hAnsi="Times New Roman"/>
          <w:i/>
          <w:sz w:val="20"/>
        </w:rPr>
        <w:t>Departing General Partner</w:t>
      </w:r>
      <w:r>
        <w:rPr>
          <w:rFonts w:ascii="Times New Roman" w:hAnsi="Times New Roman"/>
          <w:sz w:val="20"/>
        </w:rPr>
        <w:t xml:space="preserve">” means a former General Partner from and after the effective date of any withdrawal or removal of such former General Partner pursuant to </w:t>
      </w:r>
      <w:r>
        <w:rPr>
          <w:rFonts w:ascii="Times New Roman" w:hAnsi="Times New Roman"/>
          <w:sz w:val="20"/>
          <w:u w:val="single"/>
        </w:rPr>
        <w:t>Section 11.1</w:t>
      </w:r>
      <w:r>
        <w:rPr>
          <w:rFonts w:ascii="Times New Roman" w:hAnsi="Times New Roman"/>
          <w:sz w:val="20"/>
        </w:rPr>
        <w:t xml:space="preserve"> or </w:t>
      </w:r>
      <w:r>
        <w:rPr>
          <w:rFonts w:ascii="Times New Roman" w:hAnsi="Times New Roman"/>
          <w:sz w:val="20"/>
          <w:u w:val="single"/>
        </w:rPr>
        <w:t>Section 11.2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Depositary</w:t>
      </w:r>
      <w:r>
        <w:rPr>
          <w:rFonts w:ascii="Times New Roman" w:hAnsi="Times New Roman"/>
          <w:sz w:val="20"/>
        </w:rPr>
        <w:t xml:space="preserve">” means, with respect to any Units issued in global form, The Depository Trust Company and its successors and permitted assigns. </w:t>
      </w:r>
    </w:p>
    <w:p>
      <w:pPr>
        <w:pStyle w:val="TextBody"/>
        <w:bidi w:val="0"/>
        <w:spacing w:before="240" w:after="0"/>
        <w:jc w:val="left"/>
        <w:rPr/>
      </w:pPr>
      <w:r>
        <w:rPr/>
        <w:t>“</w:t>
      </w:r>
      <w:r>
        <w:rPr>
          <w:rFonts w:ascii="Times New Roman" w:hAnsi="Times New Roman"/>
          <w:i/>
          <w:sz w:val="20"/>
        </w:rPr>
        <w:t>Designated Individual</w:t>
      </w:r>
      <w:r>
        <w:rPr>
          <w:rFonts w:ascii="Times New Roman" w:hAnsi="Times New Roman"/>
          <w:sz w:val="20"/>
        </w:rPr>
        <w:t xml:space="preserve">” has the meaning assigned to such term in </w:t>
      </w:r>
      <w:r>
        <w:rPr>
          <w:rFonts w:ascii="Times New Roman" w:hAnsi="Times New Roman"/>
          <w:sz w:val="20"/>
          <w:u w:val="single"/>
        </w:rPr>
        <w:t>Section 9.3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Disposed of Adjusted Property</w:t>
      </w:r>
      <w:r>
        <w:rPr>
          <w:rFonts w:ascii="Times New Roman" w:hAnsi="Times New Roman"/>
          <w:sz w:val="20"/>
        </w:rPr>
        <w:t xml:space="preserve">” means any Adjusted Property, including, for this purpose, inventory, that has been sold or otherwise disposed of in a taxable disposition. </w:t>
      </w:r>
    </w:p>
    <w:p>
      <w:pPr>
        <w:pStyle w:val="TextBody"/>
        <w:bidi w:val="0"/>
        <w:spacing w:before="240" w:after="0"/>
        <w:jc w:val="left"/>
        <w:rPr/>
      </w:pPr>
      <w:r>
        <w:rPr/>
        <w:t>“</w:t>
      </w:r>
      <w:r>
        <w:rPr>
          <w:rFonts w:ascii="Times New Roman" w:hAnsi="Times New Roman"/>
          <w:i/>
          <w:sz w:val="20"/>
        </w:rPr>
        <w:t>Distribution Determination Date</w:t>
      </w:r>
      <w:r>
        <w:rPr>
          <w:rFonts w:ascii="Times New Roman" w:hAnsi="Times New Roman"/>
          <w:sz w:val="20"/>
        </w:rPr>
        <w:t xml:space="preserve">” means the applicable date for the relevant distribution period. </w:t>
      </w:r>
    </w:p>
    <w:p>
      <w:pPr>
        <w:pStyle w:val="TextBody"/>
        <w:bidi w:val="0"/>
        <w:spacing w:before="240" w:after="0"/>
        <w:jc w:val="left"/>
        <w:rPr/>
      </w:pPr>
      <w:r>
        <w:rPr/>
        <w:t>“</w:t>
      </w:r>
      <w:r>
        <w:rPr>
          <w:rFonts w:ascii="Times New Roman" w:hAnsi="Times New Roman"/>
          <w:i/>
          <w:sz w:val="20"/>
        </w:rPr>
        <w:t>Economic Risk of Loss</w:t>
      </w:r>
      <w:r>
        <w:rPr>
          <w:rFonts w:ascii="Times New Roman" w:hAnsi="Times New Roman"/>
          <w:sz w:val="20"/>
        </w:rPr>
        <w:t xml:space="preserve">” has the meaning set forth in Treasury Regulation Section 1.752-2(a).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Effective Time</w:t>
      </w:r>
      <w:r>
        <w:rPr>
          <w:rFonts w:ascii="Times New Roman" w:hAnsi="Times New Roman"/>
          <w:sz w:val="20"/>
        </w:rPr>
        <w:t xml:space="preserve">” means 12:01 a.m. Central Time on July 6, 2026. </w:t>
      </w:r>
    </w:p>
    <w:p>
      <w:pPr>
        <w:pStyle w:val="TextBody"/>
        <w:bidi w:val="0"/>
        <w:spacing w:before="240" w:after="0"/>
        <w:jc w:val="left"/>
        <w:rPr/>
      </w:pPr>
      <w:r>
        <w:rPr/>
        <w:t>“</w:t>
      </w:r>
      <w:r>
        <w:rPr>
          <w:rFonts w:ascii="Times New Roman" w:hAnsi="Times New Roman"/>
          <w:i/>
          <w:sz w:val="20"/>
        </w:rPr>
        <w:t>Eligible Holder</w:t>
      </w:r>
      <w:r>
        <w:rPr>
          <w:rFonts w:ascii="Times New Roman" w:hAnsi="Times New Roman"/>
          <w:sz w:val="20"/>
        </w:rPr>
        <w:t xml:space="preserve">” means a Person either (a) subject to United States federal income taxation on the income generated by the Partnership or (b) in the case of entities that are passthrough entities for United States federal income taxation, all of whose beneficial owners are subject to United States federal income taxation on the income generated by the Partnership. </w:t>
      </w:r>
      <w:r>
        <w:rPr>
          <w:rFonts w:ascii="Times New Roman" w:hAnsi="Times New Roman"/>
          <w:sz w:val="20"/>
          <w:u w:val="single"/>
        </w:rPr>
        <w:t>Schedule I</w:t>
      </w:r>
      <w:r>
        <w:rPr>
          <w:rFonts w:ascii="Times New Roman" w:hAnsi="Times New Roman"/>
          <w:sz w:val="20"/>
        </w:rPr>
        <w:t xml:space="preserve"> to the Transfer Application provides examples of Persons that are and Persons that are not Eligible Holders. </w:t>
      </w:r>
    </w:p>
    <w:p>
      <w:pPr>
        <w:pStyle w:val="TextBody"/>
        <w:bidi w:val="0"/>
        <w:spacing w:before="240" w:after="0"/>
        <w:jc w:val="left"/>
        <w:rPr/>
      </w:pPr>
      <w:r>
        <w:rPr/>
        <w:t>“</w:t>
      </w:r>
      <w:r>
        <w:rPr>
          <w:rFonts w:ascii="Times New Roman" w:hAnsi="Times New Roman"/>
          <w:i/>
          <w:sz w:val="20"/>
        </w:rPr>
        <w:t>Energy Transfer Merger</w:t>
      </w:r>
      <w:r>
        <w:rPr>
          <w:rFonts w:ascii="Times New Roman" w:hAnsi="Times New Roman"/>
          <w:sz w:val="20"/>
        </w:rPr>
        <w:t xml:space="preserve">” means the transactions contemplated by the Agreement and Plan of Merger, dated as of August 16, 2023, by and among Energy Transfer LP, Pachyderm Merger Sub LLC, solely for the purposes of Sections 2.1(a), 2.1(b), 2.1(c) and 5.21 thereof, LE GP, LLC, and the Partnership. </w:t>
      </w:r>
    </w:p>
    <w:p>
      <w:pPr>
        <w:pStyle w:val="TextBody"/>
        <w:bidi w:val="0"/>
        <w:spacing w:before="240" w:after="0"/>
        <w:jc w:val="left"/>
        <w:rPr/>
      </w:pPr>
      <w:r>
        <w:rPr/>
        <w:t>“</w:t>
      </w:r>
      <w:r>
        <w:rPr>
          <w:rFonts w:ascii="Times New Roman" w:hAnsi="Times New Roman"/>
          <w:i/>
          <w:sz w:val="20"/>
        </w:rPr>
        <w:t>Equity Credit</w:t>
      </w:r>
      <w:r>
        <w:rPr>
          <w:rFonts w:ascii="Times New Roman" w:hAnsi="Times New Roman"/>
          <w:sz w:val="20"/>
        </w:rPr>
        <w:t xml:space="preserve">” means the dollar amount or percentage in relation to the stated liquidation preference amount of (a) $1,000.00 per Series B Preferred Unit, (b) $1,000.00 per Series G Preferred Unit or (c) $1,000.00 per Series H Preferred Unit, assigned to the Series B Preferred Units, Series G Preferred Units or Series H Preferred Units, as applicable, as equity, rather than debt, by a Rating Agency in evaluating the capital structure of the Partnership. </w:t>
      </w:r>
    </w:p>
    <w:p>
      <w:pPr>
        <w:pStyle w:val="TextBody"/>
        <w:bidi w:val="0"/>
        <w:spacing w:before="240" w:after="0"/>
        <w:jc w:val="left"/>
        <w:rPr/>
      </w:pPr>
      <w:r>
        <w:rPr/>
        <w:t>“</w:t>
      </w:r>
      <w:r>
        <w:rPr>
          <w:rFonts w:ascii="Times New Roman" w:hAnsi="Times New Roman"/>
          <w:i/>
          <w:sz w:val="20"/>
        </w:rPr>
        <w:t>ETP Holdco</w:t>
      </w:r>
      <w:r>
        <w:rPr>
          <w:rFonts w:ascii="Times New Roman" w:hAnsi="Times New Roman"/>
          <w:sz w:val="20"/>
        </w:rPr>
        <w:t xml:space="preserve">” means ETP Holdco Corporation, a Delaware corporation. </w:t>
      </w:r>
    </w:p>
    <w:p>
      <w:pPr>
        <w:pStyle w:val="TextBody"/>
        <w:bidi w:val="0"/>
        <w:spacing w:before="240" w:after="0"/>
        <w:jc w:val="left"/>
        <w:rPr/>
      </w:pPr>
      <w:r>
        <w:rPr/>
        <w:t>“</w:t>
      </w:r>
      <w:r>
        <w:rPr>
          <w:rFonts w:ascii="Times New Roman" w:hAnsi="Times New Roman"/>
          <w:i/>
          <w:sz w:val="20"/>
        </w:rPr>
        <w:t>ETP Holdco Distributions</w:t>
      </w:r>
      <w:r>
        <w:rPr>
          <w:rFonts w:ascii="Times New Roman" w:hAnsi="Times New Roman"/>
          <w:sz w:val="20"/>
        </w:rPr>
        <w:t xml:space="preserve">” means any portion of the Partnership cash distributions attributable to (i) any distribution or dividend received by the Partnership from ETP Holdco, IPCH or Crestwood Partners or the proceeds of sale of the capital stock of ETP Holdco, IPCH or Crestwood Partners, as applicable, or (ii) any interest payments received by the Partnership with respect to indebtedness of ETP Holdco, IPCH or Crestwood Partners or their respective subsidiaries. </w:t>
      </w:r>
    </w:p>
    <w:p>
      <w:pPr>
        <w:pStyle w:val="TextBody"/>
        <w:bidi w:val="0"/>
        <w:spacing w:before="240" w:after="0"/>
        <w:jc w:val="left"/>
        <w:rPr/>
      </w:pPr>
      <w:r>
        <w:rPr/>
        <w:t>“</w:t>
      </w:r>
      <w:r>
        <w:rPr>
          <w:rFonts w:ascii="Times New Roman" w:hAnsi="Times New Roman"/>
          <w:i/>
          <w:sz w:val="20"/>
        </w:rPr>
        <w:t>ETP Holdco Items</w:t>
      </w:r>
      <w:r>
        <w:rPr>
          <w:rFonts w:ascii="Times New Roman" w:hAnsi="Times New Roman"/>
          <w:sz w:val="20"/>
        </w:rPr>
        <w:t xml:space="preserve">” means any item of Partnership income, gain, loss, deduction or credit attributable to the Partnership’s ownership of ETP Holdco, IPCH or Crestwood Partners or the Partnership’s ownership of any indebtedness of ETP Holdco, IPCH or Crestwood Partners or any of their respective subsidiaries. </w:t>
      </w:r>
    </w:p>
    <w:p>
      <w:pPr>
        <w:pStyle w:val="TextBody"/>
        <w:bidi w:val="0"/>
        <w:spacing w:before="240" w:after="0"/>
        <w:jc w:val="left"/>
        <w:rPr/>
      </w:pPr>
      <w:r>
        <w:rPr/>
        <w:t>“</w:t>
      </w:r>
      <w:r>
        <w:rPr>
          <w:rFonts w:ascii="Times New Roman" w:hAnsi="Times New Roman"/>
          <w:i/>
          <w:sz w:val="20"/>
        </w:rPr>
        <w:t>Event Issue Value</w:t>
      </w:r>
      <w:r>
        <w:rPr>
          <w:rFonts w:ascii="Times New Roman" w:hAnsi="Times New Roman"/>
          <w:sz w:val="20"/>
        </w:rPr>
        <w:t xml:space="preserve">” means, with respect to any Common Unit as of any date of determination, (i) in the case of a Revaluation Event that includes the issuance of Common Units pursuant to a public offering and solely for cash, the price paid for such Common Units, or (ii) in the case of any other Revaluation Event, the Closing Price of the Common Units on the date of such Revaluation Event or, if the General Partner determines that a value for the Common Unit other than such Closing Price more accurately reflects the Event Issue Value, the value determined by the General Partner. </w:t>
      </w:r>
    </w:p>
    <w:p>
      <w:pPr>
        <w:pStyle w:val="TextBody"/>
        <w:bidi w:val="0"/>
        <w:spacing w:before="240" w:after="0"/>
        <w:jc w:val="left"/>
        <w:rPr/>
      </w:pPr>
      <w:r>
        <w:rPr/>
        <w:t>“</w:t>
      </w:r>
      <w:r>
        <w:rPr>
          <w:rFonts w:ascii="Times New Roman" w:hAnsi="Times New Roman"/>
          <w:i/>
          <w:sz w:val="20"/>
        </w:rPr>
        <w:t>Event of Withdrawal</w:t>
      </w:r>
      <w:r>
        <w:rPr>
          <w:rFonts w:ascii="Times New Roman" w:hAnsi="Times New Roman"/>
          <w:sz w:val="20"/>
        </w:rPr>
        <w:t xml:space="preserve">” has the meaning assigned to such term in </w:t>
      </w:r>
      <w:r>
        <w:rPr>
          <w:rFonts w:ascii="Times New Roman" w:hAnsi="Times New Roman"/>
          <w:sz w:val="20"/>
          <w:u w:val="single"/>
        </w:rPr>
        <w:t>Section 11.1(a)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FERC</w:t>
      </w:r>
      <w:r>
        <w:rPr>
          <w:rFonts w:ascii="Times New Roman" w:hAnsi="Times New Roman"/>
          <w:sz w:val="20"/>
        </w:rPr>
        <w:t xml:space="preserve">” means the Federal Energy Regulatory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FERC Notice</w:t>
      </w:r>
      <w:r>
        <w:rPr>
          <w:rFonts w:ascii="Times New Roman" w:hAnsi="Times New Roman"/>
          <w:sz w:val="20"/>
        </w:rPr>
        <w:t xml:space="preserve">” means the giving of notice by the Partnership to the Limited Partners in the manner specified in </w:t>
      </w:r>
      <w:r>
        <w:rPr>
          <w:rFonts w:ascii="Times New Roman" w:hAnsi="Times New Roman"/>
          <w:sz w:val="20"/>
          <w:u w:val="single"/>
        </w:rPr>
        <w:t>Section 16.1</w:t>
      </w:r>
      <w:r>
        <w:rPr>
          <w:rFonts w:ascii="Times New Roman" w:hAnsi="Times New Roman"/>
          <w:sz w:val="20"/>
        </w:rPr>
        <w:t xml:space="preserve"> hereof at any time after the Partnership becomes the owner, either directly or through any Subsidiary, of any pipeline subject to rate regulation by FERC. </w:t>
      </w:r>
    </w:p>
    <w:p>
      <w:pPr>
        <w:pStyle w:val="TextBody"/>
        <w:bidi w:val="0"/>
        <w:spacing w:before="240" w:after="0"/>
        <w:jc w:val="left"/>
        <w:rPr/>
      </w:pPr>
      <w:r>
        <w:rPr/>
        <w:t>“</w:t>
      </w:r>
      <w:r>
        <w:rPr>
          <w:rFonts w:ascii="Times New Roman" w:hAnsi="Times New Roman"/>
          <w:i/>
          <w:sz w:val="20"/>
        </w:rPr>
        <w:t>General Partner</w:t>
      </w:r>
      <w:r>
        <w:rPr>
          <w:rFonts w:ascii="Times New Roman" w:hAnsi="Times New Roman"/>
          <w:sz w:val="20"/>
        </w:rPr>
        <w:t xml:space="preserve">” means LE GP, LLC, a Texas limited liability company and its successors and permitted assigns that are admitted to the Partnership as general partner of the Partnership (except as the context otherwise requires). </w:t>
      </w:r>
    </w:p>
    <w:p>
      <w:pPr>
        <w:pStyle w:val="TextBody"/>
        <w:bidi w:val="0"/>
        <w:spacing w:before="240" w:after="0"/>
        <w:jc w:val="left"/>
        <w:rPr/>
      </w:pPr>
      <w:r>
        <w:rPr/>
        <w:t>“</w:t>
      </w:r>
      <w:r>
        <w:rPr>
          <w:rFonts w:ascii="Times New Roman" w:hAnsi="Times New Roman"/>
          <w:i/>
          <w:sz w:val="20"/>
        </w:rPr>
        <w:t>General Partner Interest</w:t>
      </w:r>
      <w:r>
        <w:rPr>
          <w:rFonts w:ascii="Times New Roman" w:hAnsi="Times New Roman"/>
          <w:sz w:val="20"/>
        </w:rPr>
        <w:t xml:space="preserve">” means the ownership interest, if any, of the General Partner in the Partnership (in its capacity as a general partner without reference to any Limited Partner Interest held by it), which is evidenced by General Partner Units, and includes any and all benefits to which a General Partner is entitled as provided in this Agreement, together with all obligations of a General Partner to comply with the terms and provisions of this Agreement. </w:t>
      </w:r>
    </w:p>
    <w:p>
      <w:pPr>
        <w:pStyle w:val="TextBody"/>
        <w:bidi w:val="0"/>
        <w:spacing w:before="240" w:after="0"/>
        <w:jc w:val="left"/>
        <w:rPr/>
      </w:pPr>
      <w:r>
        <w:rPr/>
        <w:t>“</w:t>
      </w:r>
      <w:r>
        <w:rPr>
          <w:rFonts w:ascii="Times New Roman" w:hAnsi="Times New Roman"/>
          <w:i/>
          <w:sz w:val="20"/>
        </w:rPr>
        <w:t>General Partner Unit</w:t>
      </w:r>
      <w:r>
        <w:rPr>
          <w:rFonts w:ascii="Times New Roman" w:hAnsi="Times New Roman"/>
          <w:sz w:val="20"/>
        </w:rPr>
        <w:t xml:space="preserve">” means a fractional part of the General Partner Interest having the rights and obligations specified with respect to the General Partner Interest. A General Partner Unit is not a Unit. </w:t>
      </w:r>
    </w:p>
    <w:p>
      <w:pPr>
        <w:pStyle w:val="TextBody"/>
        <w:bidi w:val="0"/>
        <w:spacing w:before="240" w:after="0"/>
        <w:jc w:val="left"/>
        <w:rPr/>
      </w:pPr>
      <w:r>
        <w:rPr/>
        <w:t>“</w:t>
      </w:r>
      <w:r>
        <w:rPr>
          <w:rFonts w:ascii="Times New Roman" w:hAnsi="Times New Roman"/>
          <w:i/>
          <w:sz w:val="20"/>
        </w:rPr>
        <w:t>Group</w:t>
      </w:r>
      <w:r>
        <w:rPr>
          <w:rFonts w:ascii="Times New Roman" w:hAnsi="Times New Roman"/>
          <w:sz w:val="20"/>
        </w:rPr>
        <w:t xml:space="preserve">” means a Person that, with or through any of its Affiliates or Associates, has any agreement, arrangement or understanding for the purpose of acquiring, holding, voting (except voting pursuant to a revocable proxy or consent given to such Person in response to a proxy or consent solicitation made to 10 or more Persons), exercising investment power or disposing of any Partnership Securities with any other Person that beneficially owns, or whose Affiliates or Associates beneficially own, directly or indirectly, Partnership Interests. </w:t>
      </w:r>
    </w:p>
    <w:p>
      <w:pPr>
        <w:pStyle w:val="TextBody"/>
        <w:bidi w:val="0"/>
        <w:spacing w:before="240" w:after="0"/>
        <w:jc w:val="left"/>
        <w:rPr/>
      </w:pPr>
      <w:r>
        <w:rPr/>
        <w:t>“</w:t>
      </w:r>
      <w:r>
        <w:rPr>
          <w:rFonts w:ascii="Times New Roman" w:hAnsi="Times New Roman"/>
          <w:i/>
          <w:sz w:val="20"/>
        </w:rPr>
        <w:t>Group Member</w:t>
      </w:r>
      <w:r>
        <w:rPr>
          <w:rFonts w:ascii="Times New Roman" w:hAnsi="Times New Roman"/>
          <w:sz w:val="20"/>
        </w:rPr>
        <w:t xml:space="preserve">” means a member of the Partnership Group. </w:t>
      </w:r>
    </w:p>
    <w:p>
      <w:pPr>
        <w:pStyle w:val="TextBody"/>
        <w:bidi w:val="0"/>
        <w:spacing w:before="240" w:after="0"/>
        <w:jc w:val="left"/>
        <w:rPr/>
      </w:pPr>
      <w:r>
        <w:rPr/>
        <w:t>“</w:t>
      </w:r>
      <w:r>
        <w:rPr>
          <w:rFonts w:ascii="Times New Roman" w:hAnsi="Times New Roman"/>
          <w:i/>
          <w:sz w:val="20"/>
        </w:rPr>
        <w:t>H.15</w:t>
      </w:r>
      <w:r>
        <w:rPr>
          <w:rFonts w:ascii="Times New Roman" w:hAnsi="Times New Roman"/>
          <w:sz w:val="20"/>
        </w:rPr>
        <w:t xml:space="preserve">” means the daily statistical release designated as such, or any successor publication as determined by the Calculation Agent in its sole discretion, published by the Board of Governors of the U.S. Federal Reserve System. </w:t>
      </w:r>
    </w:p>
    <w:p>
      <w:pPr>
        <w:pStyle w:val="TextBody"/>
        <w:bidi w:val="0"/>
        <w:spacing w:before="240" w:after="0"/>
        <w:jc w:val="left"/>
        <w:rPr/>
      </w:pPr>
      <w:r>
        <w:rPr/>
        <w:t>“</w:t>
      </w:r>
      <w:r>
        <w:rPr>
          <w:rFonts w:ascii="Times New Roman" w:hAnsi="Times New Roman"/>
          <w:i/>
          <w:sz w:val="20"/>
        </w:rPr>
        <w:t>H.15(519)</w:t>
      </w:r>
      <w:r>
        <w:rPr>
          <w:rFonts w:ascii="Times New Roman" w:hAnsi="Times New Roman"/>
          <w:sz w:val="20"/>
        </w:rPr>
        <w:t xml:space="preserve">” means the statistical release designated as such, or any successor publication, published by the Board of Governors of the U.S. Federal Reserve System. </w:t>
      </w:r>
    </w:p>
    <w:p>
      <w:pPr>
        <w:pStyle w:val="TextBody"/>
        <w:bidi w:val="0"/>
        <w:spacing w:before="240" w:after="0"/>
        <w:jc w:val="left"/>
        <w:rPr/>
      </w:pPr>
      <w:r>
        <w:rPr/>
        <w:t>“</w:t>
      </w:r>
      <w:r>
        <w:rPr>
          <w:rFonts w:ascii="Times New Roman" w:hAnsi="Times New Roman"/>
          <w:i/>
          <w:sz w:val="20"/>
        </w:rPr>
        <w:t>Indemnitee</w:t>
      </w:r>
      <w:r>
        <w:rPr>
          <w:rFonts w:ascii="Times New Roman" w:hAnsi="Times New Roman"/>
          <w:sz w:val="20"/>
        </w:rPr>
        <w:t xml:space="preserve">” means (a) the General Partner, (b) any Departing General Partner, (c) any Person who is or was an Affiliate of the General Partner or any Departing General Partner, (d) any Person who is or was a member, partner, officer, director, fiduciary or trustee of any Group Member, the General Partner or any Departing General Partner or any Affiliate of any Group Member, the General Partner or any Departing General Partner, (e) the Partnership Representative and the Designated Individual, (f) any Person who is or was serving at the request of the General Partner or any Departing General Partner or any Affiliate of the General Partner or any Departing General Partner as an officer, director, employee, member, partner, agent, fiduciary or trustee of another Person;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that a Person shall not be an Indemnitee by reason of providing, on a fee-for-services basis, trustee, fiduciary or custodial services and (g) any Person the General Partner designates as an “</w:t>
      </w:r>
      <w:r>
        <w:rPr>
          <w:rFonts w:ascii="Times New Roman" w:hAnsi="Times New Roman"/>
          <w:i/>
          <w:sz w:val="20"/>
        </w:rPr>
        <w:t>Indemnitee</w:t>
      </w:r>
      <w:r>
        <w:rPr>
          <w:rFonts w:ascii="Times New Roman" w:hAnsi="Times New Roman"/>
          <w:sz w:val="20"/>
        </w:rPr>
        <w:t xml:space="preserve">” for purposes of this Agreement. </w:t>
      </w:r>
    </w:p>
    <w:p>
      <w:pPr>
        <w:pStyle w:val="TextBody"/>
        <w:bidi w:val="0"/>
        <w:spacing w:before="240" w:after="0"/>
        <w:jc w:val="left"/>
        <w:rPr/>
      </w:pPr>
      <w:r>
        <w:rPr/>
        <w:t>“</w:t>
      </w:r>
      <w:r>
        <w:rPr>
          <w:rFonts w:ascii="Times New Roman" w:hAnsi="Times New Roman"/>
          <w:i/>
          <w:sz w:val="20"/>
        </w:rPr>
        <w:t>Ineligible Assignee</w:t>
      </w:r>
      <w:r>
        <w:rPr>
          <w:rFonts w:ascii="Times New Roman" w:hAnsi="Times New Roman"/>
          <w:sz w:val="20"/>
        </w:rPr>
        <w:t xml:space="preserve">” means a Person whom the General Partner has determined is not an Eligible Holder following a FERC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Initial Common Units</w:t>
      </w:r>
      <w:r>
        <w:rPr>
          <w:rFonts w:ascii="Times New Roman" w:hAnsi="Times New Roman"/>
          <w:sz w:val="20"/>
        </w:rPr>
        <w:t xml:space="preserve">” means the Common Units sold in the Initial Offering. </w:t>
      </w:r>
    </w:p>
    <w:p>
      <w:pPr>
        <w:pStyle w:val="TextBody"/>
        <w:bidi w:val="0"/>
        <w:spacing w:before="240" w:after="0"/>
        <w:jc w:val="left"/>
        <w:rPr/>
      </w:pPr>
      <w:r>
        <w:rPr/>
        <w:t>“</w:t>
      </w:r>
      <w:r>
        <w:rPr>
          <w:rFonts w:ascii="Times New Roman" w:hAnsi="Times New Roman"/>
          <w:i/>
          <w:sz w:val="20"/>
        </w:rPr>
        <w:t>Initial Limited Partners</w:t>
      </w:r>
      <w:r>
        <w:rPr>
          <w:rFonts w:ascii="Times New Roman" w:hAnsi="Times New Roman"/>
          <w:sz w:val="20"/>
        </w:rPr>
        <w:t xml:space="preserve">” means the Persons listed on </w:t>
      </w:r>
      <w:r>
        <w:rPr>
          <w:rFonts w:ascii="Times New Roman" w:hAnsi="Times New Roman"/>
          <w:sz w:val="20"/>
          <w:u w:val="single"/>
        </w:rPr>
        <w:t>Exhibit B</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i/>
          <w:sz w:val="20"/>
        </w:rPr>
        <w:t>Initial Offering</w:t>
      </w:r>
      <w:r>
        <w:rPr>
          <w:rFonts w:ascii="Times New Roman" w:hAnsi="Times New Roman"/>
          <w:sz w:val="20"/>
        </w:rPr>
        <w:t xml:space="preserve">” means the initial public offering and sale of Common Units to the public in February 2006. </w:t>
      </w:r>
    </w:p>
    <w:p>
      <w:pPr>
        <w:pStyle w:val="TextBody"/>
        <w:bidi w:val="0"/>
        <w:spacing w:before="240" w:after="0"/>
        <w:jc w:val="left"/>
        <w:rPr/>
      </w:pPr>
      <w:r>
        <w:rPr/>
        <w:t>“</w:t>
      </w:r>
      <w:r>
        <w:rPr>
          <w:rFonts w:ascii="Times New Roman" w:hAnsi="Times New Roman"/>
          <w:i/>
          <w:sz w:val="20"/>
        </w:rPr>
        <w:t>IPCH</w:t>
      </w:r>
      <w:r>
        <w:rPr>
          <w:rFonts w:ascii="Times New Roman" w:hAnsi="Times New Roman"/>
          <w:sz w:val="20"/>
        </w:rPr>
        <w:t xml:space="preserve">” means IPCH Acquisition Corp., a Delaware corporation. </w:t>
      </w:r>
    </w:p>
    <w:p>
      <w:pPr>
        <w:pStyle w:val="TextBody"/>
        <w:bidi w:val="0"/>
        <w:spacing w:before="240" w:after="0"/>
        <w:jc w:val="left"/>
        <w:rPr/>
      </w:pPr>
      <w:r>
        <w:rPr/>
        <w:t>“</w:t>
      </w:r>
      <w:r>
        <w:rPr>
          <w:rFonts w:ascii="Times New Roman" w:hAnsi="Times New Roman"/>
          <w:i/>
          <w:sz w:val="20"/>
        </w:rPr>
        <w:t>Issue Price</w:t>
      </w:r>
      <w:r>
        <w:rPr>
          <w:rFonts w:ascii="Times New Roman" w:hAnsi="Times New Roman"/>
          <w:sz w:val="20"/>
        </w:rPr>
        <w:t xml:space="preserve">” means the price at which a Unit is purchased from the Partnership, after taking into account any sales commission or underwriting discount charged to the Partnership and after taking into account any other form of discount with respect to the price at which a Unit is purchased from the Partnership. </w:t>
      </w:r>
    </w:p>
    <w:p>
      <w:pPr>
        <w:pStyle w:val="TextBody"/>
        <w:bidi w:val="0"/>
        <w:spacing w:before="240" w:after="0"/>
        <w:jc w:val="left"/>
        <w:rPr/>
      </w:pPr>
      <w:r>
        <w:rPr/>
        <w:t>“</w:t>
      </w:r>
      <w:r>
        <w:rPr>
          <w:rFonts w:ascii="Times New Roman" w:hAnsi="Times New Roman"/>
          <w:i/>
          <w:sz w:val="20"/>
        </w:rPr>
        <w:t>Liability</w:t>
      </w:r>
      <w:r>
        <w:rPr>
          <w:rFonts w:ascii="Times New Roman" w:hAnsi="Times New Roman"/>
          <w:sz w:val="20"/>
        </w:rPr>
        <w:t xml:space="preserve">” means any liability or obligation of any nature, whether accrued, contingent or otherwise. </w:t>
      </w:r>
    </w:p>
    <w:p>
      <w:pPr>
        <w:pStyle w:val="TextBody"/>
        <w:bidi w:val="0"/>
        <w:spacing w:before="240" w:after="0"/>
        <w:jc w:val="left"/>
        <w:rPr/>
      </w:pPr>
      <w:r>
        <w:rPr/>
        <w:t>“</w:t>
      </w:r>
      <w:r>
        <w:rPr>
          <w:rFonts w:ascii="Times New Roman" w:hAnsi="Times New Roman"/>
          <w:i/>
          <w:sz w:val="20"/>
        </w:rPr>
        <w:t>Limited Partner</w:t>
      </w:r>
      <w:r>
        <w:rPr>
          <w:rFonts w:ascii="Times New Roman" w:hAnsi="Times New Roman"/>
          <w:sz w:val="20"/>
        </w:rPr>
        <w:t xml:space="preserve">” means, unless the context otherwise requires, (a) each Initial Limited Partner, each Limited Partner, each Substituted Limited Partner, each Additional Limited Partner and any Departing General Partner upon the change of its status from General Partner to Limited Partner pursuant to </w:t>
      </w:r>
      <w:r>
        <w:rPr>
          <w:rFonts w:ascii="Times New Roman" w:hAnsi="Times New Roman"/>
          <w:sz w:val="20"/>
          <w:u w:val="single"/>
        </w:rPr>
        <w:t>Section 11.3</w:t>
      </w:r>
      <w:r>
        <w:rPr>
          <w:rFonts w:ascii="Times New Roman" w:hAnsi="Times New Roman"/>
          <w:sz w:val="20"/>
        </w:rPr>
        <w:t xml:space="preserve">, in each case, in such Person’s capacity as a limited partner of the Partnership or (b) solely for purposes of </w:t>
      </w:r>
      <w:r>
        <w:rPr>
          <w:rFonts w:ascii="Times New Roman" w:hAnsi="Times New Roman"/>
          <w:sz w:val="20"/>
          <w:u w:val="single"/>
        </w:rPr>
        <w:t>Articles V</w:t>
      </w:r>
      <w:r>
        <w:rPr>
          <w:rFonts w:ascii="Times New Roman" w:hAnsi="Times New Roman"/>
          <w:sz w:val="20"/>
        </w:rPr>
        <w:t xml:space="preserve">, </w:t>
      </w:r>
      <w:r>
        <w:rPr>
          <w:rFonts w:ascii="Times New Roman" w:hAnsi="Times New Roman"/>
          <w:sz w:val="20"/>
          <w:u w:val="single"/>
        </w:rPr>
        <w:t>VI</w:t>
      </w:r>
      <w:r>
        <w:rPr>
          <w:rFonts w:ascii="Times New Roman" w:hAnsi="Times New Roman"/>
          <w:sz w:val="20"/>
        </w:rPr>
        <w:t xml:space="preserve">, </w:t>
      </w:r>
      <w:r>
        <w:rPr>
          <w:rFonts w:ascii="Times New Roman" w:hAnsi="Times New Roman"/>
          <w:sz w:val="20"/>
          <w:u w:val="single"/>
        </w:rPr>
        <w:t>VII</w:t>
      </w:r>
      <w:r>
        <w:rPr>
          <w:rFonts w:ascii="Times New Roman" w:hAnsi="Times New Roman"/>
          <w:sz w:val="20"/>
        </w:rPr>
        <w:t xml:space="preserve">, </w:t>
      </w:r>
      <w:r>
        <w:rPr>
          <w:rFonts w:ascii="Times New Roman" w:hAnsi="Times New Roman"/>
          <w:sz w:val="20"/>
          <w:u w:val="single"/>
        </w:rPr>
        <w:t>IX</w:t>
      </w:r>
      <w:r>
        <w:rPr>
          <w:rFonts w:ascii="Times New Roman" w:hAnsi="Times New Roman"/>
          <w:sz w:val="20"/>
        </w:rPr>
        <w:t xml:space="preserve"> and </w:t>
      </w:r>
      <w:r>
        <w:rPr>
          <w:rFonts w:ascii="Times New Roman" w:hAnsi="Times New Roman"/>
          <w:sz w:val="20"/>
          <w:u w:val="single"/>
        </w:rPr>
        <w:t>XII</w:t>
      </w:r>
      <w:r>
        <w:rPr>
          <w:rFonts w:ascii="Times New Roman" w:hAnsi="Times New Roman"/>
          <w:sz w:val="20"/>
        </w:rPr>
        <w:t xml:space="preserve">, each Assignee. </w:t>
      </w:r>
    </w:p>
    <w:p>
      <w:pPr>
        <w:pStyle w:val="TextBody"/>
        <w:bidi w:val="0"/>
        <w:spacing w:before="240" w:after="0"/>
        <w:jc w:val="left"/>
        <w:rPr/>
      </w:pPr>
      <w:r>
        <w:rPr/>
        <w:t>“</w:t>
      </w:r>
      <w:r>
        <w:rPr>
          <w:rFonts w:ascii="Times New Roman" w:hAnsi="Times New Roman"/>
          <w:i/>
          <w:sz w:val="20"/>
        </w:rPr>
        <w:t>Limited Partner Interest</w:t>
      </w:r>
      <w:r>
        <w:rPr>
          <w:rFonts w:ascii="Times New Roman" w:hAnsi="Times New Roman"/>
          <w:sz w:val="20"/>
        </w:rPr>
        <w:t xml:space="preserve">” means the ownership interest of a Limited Partner or Assignee in the Partnership, which may be evidenced by Common Units, Class A Units, Series B Preferred Units, Series G Preferred Units, Series H Preferred Units, Series I Preferred Units and Class B Units or other Partnership Securities or a combination thereof or interest therein, and includes any and all benefits to which such Limited Partner or Assignee is entitled as provided in this Agreement, together with all obligations of such Limited Partner or Assignee to comply with the terms and provisions of this Agreement. </w:t>
      </w:r>
    </w:p>
    <w:p>
      <w:pPr>
        <w:pStyle w:val="TextBody"/>
        <w:bidi w:val="0"/>
        <w:spacing w:before="240" w:after="0"/>
        <w:jc w:val="left"/>
        <w:rPr/>
      </w:pPr>
      <w:r>
        <w:rPr/>
        <w:t>“</w:t>
      </w:r>
      <w:r>
        <w:rPr>
          <w:rFonts w:ascii="Times New Roman" w:hAnsi="Times New Roman"/>
          <w:i/>
          <w:sz w:val="20"/>
        </w:rPr>
        <w:t>Liquidation Date</w:t>
      </w:r>
      <w:r>
        <w:rPr>
          <w:rFonts w:ascii="Times New Roman" w:hAnsi="Times New Roman"/>
          <w:sz w:val="20"/>
        </w:rPr>
        <w:t xml:space="preserve">” means (a) in the case of an event giving rise to the dissolution of the Partnership of the type described in clauses (a) and (b) of the first sentence of </w:t>
      </w:r>
      <w:r>
        <w:rPr>
          <w:rFonts w:ascii="Times New Roman" w:hAnsi="Times New Roman"/>
          <w:sz w:val="20"/>
          <w:u w:val="single"/>
        </w:rPr>
        <w:t>Section 12.2</w:t>
      </w:r>
      <w:r>
        <w:rPr>
          <w:rFonts w:ascii="Times New Roman" w:hAnsi="Times New Roman"/>
          <w:sz w:val="20"/>
        </w:rPr>
        <w:t xml:space="preserve">, the date on which the applicable time period during which the holders of Outstanding Units have the right to elect to continue the business of the Partnership has expired without such an election being made, and (b) in the case of any other event giving rise to the dissolution of the Partnership, the date on which such event occurs. </w:t>
      </w:r>
    </w:p>
    <w:p>
      <w:pPr>
        <w:pStyle w:val="TextBody"/>
        <w:bidi w:val="0"/>
        <w:spacing w:before="240" w:after="0"/>
        <w:jc w:val="left"/>
        <w:rPr/>
      </w:pPr>
      <w:r>
        <w:rPr/>
        <w:t>“</w:t>
      </w:r>
      <w:r>
        <w:rPr>
          <w:rFonts w:ascii="Times New Roman" w:hAnsi="Times New Roman"/>
          <w:i/>
          <w:sz w:val="20"/>
        </w:rPr>
        <w:t>Liquidator</w:t>
      </w:r>
      <w:r>
        <w:rPr>
          <w:rFonts w:ascii="Times New Roman" w:hAnsi="Times New Roman"/>
          <w:sz w:val="20"/>
        </w:rPr>
        <w:t xml:space="preserve">” means one or more Persons selected by the General Partner to perform the functions described in </w:t>
      </w:r>
      <w:r>
        <w:rPr>
          <w:rFonts w:ascii="Times New Roman" w:hAnsi="Times New Roman"/>
          <w:sz w:val="20"/>
          <w:u w:val="single"/>
        </w:rPr>
        <w:t>Section 12.3</w:t>
      </w:r>
      <w:r>
        <w:rPr>
          <w:rFonts w:ascii="Times New Roman" w:hAnsi="Times New Roman"/>
          <w:sz w:val="20"/>
        </w:rPr>
        <w:t xml:space="preserve"> as liquidating trustee of the Partnership. </w:t>
      </w:r>
    </w:p>
    <w:p>
      <w:pPr>
        <w:pStyle w:val="TextBody"/>
        <w:bidi w:val="0"/>
        <w:spacing w:before="240" w:after="0"/>
        <w:jc w:val="left"/>
        <w:rPr/>
      </w:pPr>
      <w:r>
        <w:rPr/>
        <w:t>“</w:t>
      </w:r>
      <w:r>
        <w:rPr>
          <w:rFonts w:ascii="Times New Roman" w:hAnsi="Times New Roman"/>
          <w:i/>
          <w:sz w:val="20"/>
        </w:rPr>
        <w:t>Merger Agreement</w:t>
      </w:r>
      <w:r>
        <w:rPr>
          <w:rFonts w:ascii="Times New Roman" w:hAnsi="Times New Roman"/>
          <w:sz w:val="20"/>
        </w:rPr>
        <w:t xml:space="preserve">” has the meaning assigned to such term in </w:t>
      </w:r>
      <w:r>
        <w:rPr>
          <w:rFonts w:ascii="Times New Roman" w:hAnsi="Times New Roman"/>
          <w:sz w:val="20"/>
          <w:u w:val="single"/>
        </w:rPr>
        <w:t>Section 14.1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Minimum Conversion Amount</w:t>
      </w:r>
      <w:r>
        <w:rPr>
          <w:rFonts w:ascii="Times New Roman" w:hAnsi="Times New Roman"/>
          <w:sz w:val="20"/>
        </w:rPr>
        <w:t xml:space="preserve">” means (i) a number of Series I Preferred Units having an aggregate value of $20.0 million, which value is calculated by multiplying the number of Series I Preferred Units to be converted by the Series I Preferred Unit Price or (ii) if the value of the Series I Preferred Units (calculated in accordance with clause (i) above) to be converted by the Series I Holder requesting conversion does not equal or exceed $20.0 million, then all of the Series I Preferred Units held by such Series I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most recent H.15</w:t>
      </w:r>
      <w:r>
        <w:rPr>
          <w:rFonts w:ascii="Times New Roman" w:hAnsi="Times New Roman"/>
          <w:sz w:val="20"/>
        </w:rPr>
        <w:t xml:space="preserve">” means the H.15 published closest in time but prior to the close of business on the applicable Series H Reset Distribution Determination Date. </w:t>
      </w:r>
    </w:p>
    <w:p>
      <w:pPr>
        <w:pStyle w:val="TextBody"/>
        <w:bidi w:val="0"/>
        <w:spacing w:before="240" w:after="0"/>
        <w:jc w:val="left"/>
        <w:rPr/>
      </w:pPr>
      <w:r>
        <w:rPr/>
        <w:t>“</w:t>
      </w:r>
      <w:r>
        <w:rPr>
          <w:rFonts w:ascii="Times New Roman" w:hAnsi="Times New Roman"/>
          <w:i/>
          <w:sz w:val="20"/>
        </w:rPr>
        <w:t>most recent H.15(519)</w:t>
      </w:r>
      <w:r>
        <w:rPr>
          <w:rFonts w:ascii="Times New Roman" w:hAnsi="Times New Roman"/>
          <w:sz w:val="20"/>
        </w:rPr>
        <w:t xml:space="preserve">” means the H.15(519) published closest in time but prior to the close of business on the second Business Day prior to the Series G Reset Date. </w:t>
      </w:r>
    </w:p>
    <w:p>
      <w:pPr>
        <w:pStyle w:val="TextBody"/>
        <w:bidi w:val="0"/>
        <w:spacing w:before="240" w:after="0"/>
        <w:jc w:val="left"/>
        <w:rPr/>
      </w:pPr>
      <w:r>
        <w:rPr/>
        <w:t>“</w:t>
      </w:r>
      <w:r>
        <w:rPr>
          <w:rFonts w:ascii="Times New Roman" w:hAnsi="Times New Roman"/>
          <w:i/>
          <w:sz w:val="20"/>
        </w:rPr>
        <w:t>National Securities Exchange</w:t>
      </w:r>
      <w:r>
        <w:rPr>
          <w:rFonts w:ascii="Times New Roman" w:hAnsi="Times New Roman"/>
          <w:sz w:val="20"/>
        </w:rPr>
        <w:t xml:space="preserve">” means an exchange registered with the Commission under Section 6(a) of the Securities Exchange Act, and any successor to such statute, or the Nasdaq National Market or any successor thereto. </w:t>
      </w:r>
    </w:p>
    <w:p>
      <w:pPr>
        <w:pStyle w:val="TextBody"/>
        <w:bidi w:val="0"/>
        <w:spacing w:before="240" w:after="0"/>
        <w:jc w:val="left"/>
        <w:rPr/>
      </w:pPr>
      <w:r>
        <w:rPr/>
        <w:t>“</w:t>
      </w:r>
      <w:r>
        <w:rPr>
          <w:rFonts w:ascii="Times New Roman" w:hAnsi="Times New Roman"/>
          <w:i/>
          <w:sz w:val="20"/>
        </w:rPr>
        <w:t>Net Agreed Value</w:t>
      </w:r>
      <w:r>
        <w:rPr>
          <w:rFonts w:ascii="Times New Roman" w:hAnsi="Times New Roman"/>
          <w:sz w:val="20"/>
        </w:rPr>
        <w:t xml:space="preserve">” means, (a) in the case of any Contributed Property, the Agreed Value of such property reduced by any liabilities either assumed by the Partnership upon such contribution or to which such property is subject when contributed, and (b) in the case of any property distributed to a Partner or Assignee by the Partnership, the Partnership’s Carrying Value of such property (as adjusted pursuant to </w:t>
      </w:r>
      <w:r>
        <w:rPr>
          <w:rFonts w:ascii="Times New Roman" w:hAnsi="Times New Roman"/>
          <w:sz w:val="20"/>
          <w:u w:val="single"/>
        </w:rPr>
        <w:t>Section 5.5(d)(ii)</w:t>
      </w:r>
      <w:r>
        <w:rPr>
          <w:rFonts w:ascii="Times New Roman" w:hAnsi="Times New Roman"/>
          <w:sz w:val="20"/>
        </w:rPr>
        <w:t xml:space="preserve">) at the time such property is distributed, reduced by any indebtedness either assumed by such Partner upon such distribution or to which such property is subject at the time of distribution, in either case, as determined under Section 752 of the Code. </w:t>
      </w:r>
    </w:p>
    <w:p>
      <w:pPr>
        <w:pStyle w:val="TextBody"/>
        <w:bidi w:val="0"/>
        <w:spacing w:before="240" w:after="0"/>
        <w:jc w:val="left"/>
        <w:rPr/>
      </w:pPr>
      <w:r>
        <w:rPr/>
        <w:t>“</w:t>
      </w:r>
      <w:r>
        <w:rPr>
          <w:rFonts w:ascii="Times New Roman" w:hAnsi="Times New Roman"/>
          <w:i/>
          <w:sz w:val="20"/>
        </w:rPr>
        <w:t>Net Income</w:t>
      </w:r>
      <w:r>
        <w:rPr>
          <w:rFonts w:ascii="Times New Roman" w:hAnsi="Times New Roman"/>
          <w:sz w:val="20"/>
        </w:rPr>
        <w:t xml:space="preserve">” means, for any taxable year, the excess, if any, of the Partnership’s items of income and gain (other than those items taken into account in the computation of Net Termination Gain or Net Termination Loss) for such taxable year over the Partnership’s items of loss and deduction (other than those items taken into account in the computation of Net Termination Gain or Net Termination Loss) for such taxable year. The items included in the calculation of Net Income shall be determined in accordance with </w:t>
      </w:r>
      <w:r>
        <w:rPr>
          <w:rFonts w:ascii="Times New Roman" w:hAnsi="Times New Roman"/>
          <w:sz w:val="20"/>
          <w:u w:val="single"/>
        </w:rPr>
        <w:t>Section 5.5(b)</w:t>
      </w:r>
      <w:r>
        <w:rPr>
          <w:rFonts w:ascii="Times New Roman" w:hAnsi="Times New Roman"/>
          <w:sz w:val="20"/>
        </w:rPr>
        <w:t xml:space="preserve"> and shall not include any items specially allocated under </w:t>
      </w:r>
      <w:r>
        <w:rPr>
          <w:rFonts w:ascii="Times New Roman" w:hAnsi="Times New Roman"/>
          <w:sz w:val="20"/>
          <w:u w:val="single"/>
        </w:rPr>
        <w:t>Section 6.1(d)</w:t>
      </w:r>
      <w:r>
        <w:rPr>
          <w:rFonts w:ascii="Times New Roman" w:hAnsi="Times New Roman"/>
          <w:sz w:val="20"/>
        </w:rPr>
        <w:t xml:space="preserve">; </w:t>
      </w:r>
      <w:r>
        <w:rPr>
          <w:rFonts w:ascii="Times New Roman" w:hAnsi="Times New Roman"/>
          <w:sz w:val="20"/>
          <w:u w:val="single"/>
        </w:rPr>
        <w:t xml:space="preserve">provided </w:t>
      </w:r>
      <w:r>
        <w:rPr>
          <w:rFonts w:ascii="Times New Roman" w:hAnsi="Times New Roman"/>
          <w:sz w:val="20"/>
        </w:rPr>
        <w:t xml:space="preserve">that the determination of the items that have been specially allocated under </w:t>
      </w:r>
      <w:r>
        <w:rPr>
          <w:rFonts w:ascii="Times New Roman" w:hAnsi="Times New Roman"/>
          <w:sz w:val="20"/>
          <w:u w:val="single"/>
        </w:rPr>
        <w:t>Section 6.1(d)</w:t>
      </w:r>
      <w:r>
        <w:rPr>
          <w:rFonts w:ascii="Times New Roman" w:hAnsi="Times New Roman"/>
          <w:sz w:val="20"/>
        </w:rPr>
        <w:t xml:space="preserve"> shall be made without regard to any reversal of such items under </w:t>
      </w:r>
      <w:r>
        <w:rPr>
          <w:rFonts w:ascii="Times New Roman" w:hAnsi="Times New Roman"/>
          <w:sz w:val="20"/>
          <w:u w:val="single"/>
        </w:rPr>
        <w:t>Section 6.1(d)(x)</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Net Loss</w:t>
      </w:r>
      <w:r>
        <w:rPr>
          <w:rFonts w:ascii="Times New Roman" w:hAnsi="Times New Roman"/>
          <w:sz w:val="20"/>
        </w:rPr>
        <w:t xml:space="preserve">” means, for any taxable year, the excess, if any, of the Partnership’s items of loss and deduction (other than those items taken into account in the computation of Net Termination Gain or Net Termination Loss) for such taxable year over the Partnership’s items of income and gain (other than those items taken into account in the computation of Net Termination Gain or Net Termination Loss) for such taxable year. The items included in the calculation of Net Loss shall be determined in accordance with </w:t>
      </w:r>
      <w:r>
        <w:rPr>
          <w:rFonts w:ascii="Times New Roman" w:hAnsi="Times New Roman"/>
          <w:sz w:val="20"/>
          <w:u w:val="single"/>
        </w:rPr>
        <w:t>Section 5.5(b)</w:t>
      </w:r>
      <w:r>
        <w:rPr>
          <w:rFonts w:ascii="Times New Roman" w:hAnsi="Times New Roman"/>
          <w:sz w:val="20"/>
        </w:rPr>
        <w:t xml:space="preserve"> and shall not include any items specially allocated under </w:t>
      </w:r>
      <w:r>
        <w:rPr>
          <w:rFonts w:ascii="Times New Roman" w:hAnsi="Times New Roman"/>
          <w:sz w:val="20"/>
          <w:u w:val="single"/>
        </w:rPr>
        <w:t>Section 6.1(d)</w:t>
      </w:r>
      <w:r>
        <w:rPr>
          <w:rFonts w:ascii="Times New Roman" w:hAnsi="Times New Roman"/>
          <w:sz w:val="20"/>
        </w:rPr>
        <w:t xml:space="preserve">; </w:t>
      </w:r>
      <w:r>
        <w:rPr>
          <w:rFonts w:ascii="Times New Roman" w:hAnsi="Times New Roman"/>
          <w:sz w:val="20"/>
          <w:u w:val="single"/>
        </w:rPr>
        <w:t xml:space="preserve">provided </w:t>
      </w:r>
      <w:r>
        <w:rPr>
          <w:rFonts w:ascii="Times New Roman" w:hAnsi="Times New Roman"/>
          <w:sz w:val="20"/>
        </w:rPr>
        <w:t xml:space="preserve">that the determination of the items that have been specially allocated under </w:t>
      </w:r>
      <w:r>
        <w:rPr>
          <w:rFonts w:ascii="Times New Roman" w:hAnsi="Times New Roman"/>
          <w:sz w:val="20"/>
          <w:u w:val="single"/>
        </w:rPr>
        <w:t>Section 6.1(d)</w:t>
      </w:r>
      <w:r>
        <w:rPr>
          <w:rFonts w:ascii="Times New Roman" w:hAnsi="Times New Roman"/>
          <w:sz w:val="20"/>
        </w:rPr>
        <w:t xml:space="preserve"> shall be made without regard to any reversal of such items under </w:t>
      </w:r>
      <w:r>
        <w:rPr>
          <w:rFonts w:ascii="Times New Roman" w:hAnsi="Times New Roman"/>
          <w:sz w:val="20"/>
          <w:u w:val="single"/>
        </w:rPr>
        <w:t>Section 6.1(d)(x)</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Net Positive Adjustments</w:t>
      </w:r>
      <w:r>
        <w:rPr>
          <w:rFonts w:ascii="Times New Roman" w:hAnsi="Times New Roman"/>
          <w:sz w:val="20"/>
        </w:rPr>
        <w:t xml:space="preserve">” means, with respect to any Partner, the excess, if any, of the total positive adjustments over the total negative adjustments made to the Capital Account of such Partner pursuant to Book-Up Events and Book-Down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Net Termination Gain</w:t>
      </w:r>
      <w:r>
        <w:rPr>
          <w:rFonts w:ascii="Times New Roman" w:hAnsi="Times New Roman"/>
          <w:sz w:val="20"/>
        </w:rPr>
        <w:t xml:space="preserve">” means, for any taxable period, (a) the sum, if positive, of all items of income, gain, loss or deduction (determined in accordance with </w:t>
      </w:r>
      <w:r>
        <w:rPr>
          <w:rFonts w:ascii="Times New Roman" w:hAnsi="Times New Roman"/>
          <w:sz w:val="20"/>
          <w:u w:val="single"/>
        </w:rPr>
        <w:t>Section 5.5(b)</w:t>
      </w:r>
      <w:r>
        <w:rPr>
          <w:rFonts w:ascii="Times New Roman" w:hAnsi="Times New Roman"/>
          <w:sz w:val="20"/>
        </w:rPr>
        <w:t xml:space="preserve">) that are recognized (i) after the Liquidation Date or (ii) upon the sale, exchange or other disposition of all or substantially all of the assets of the Partnership Group, taken as a whole, in a single transaction or a series of related transactions (excluding any disposition to a member of the Partnership Group), or (b) the excess, if any, of the aggregate amount of Unrealized Gain over the aggregate amount of Unrealized Loss deemed recognized by the Partnership pursuant to </w:t>
      </w:r>
      <w:r>
        <w:rPr>
          <w:rFonts w:ascii="Times New Roman" w:hAnsi="Times New Roman"/>
          <w:sz w:val="20"/>
          <w:u w:val="single"/>
        </w:rPr>
        <w:t>Section 5.5(d)</w:t>
      </w:r>
      <w:r>
        <w:rPr>
          <w:rFonts w:ascii="Times New Roman" w:hAnsi="Times New Roman"/>
          <w:sz w:val="20"/>
        </w:rPr>
        <w:t xml:space="preserve"> on the date of a Revaluation Event;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the items included in the determination of Net Termination Gain shall not include any items of income, gain, loss or deduction specially allocated under </w:t>
      </w:r>
      <w:r>
        <w:rPr>
          <w:rFonts w:ascii="Times New Roman" w:hAnsi="Times New Roman"/>
          <w:sz w:val="20"/>
          <w:u w:val="single"/>
        </w:rPr>
        <w:t>Section 6.1(d)(i)</w:t>
      </w:r>
      <w:r>
        <w:rPr>
          <w:rFonts w:ascii="Times New Roman" w:hAnsi="Times New Roman"/>
          <w:sz w:val="20"/>
        </w:rPr>
        <w:t xml:space="preserve"> through </w:t>
      </w:r>
      <w:r>
        <w:rPr>
          <w:rFonts w:ascii="Times New Roman" w:hAnsi="Times New Roman"/>
          <w:sz w:val="20"/>
          <w:u w:val="single"/>
        </w:rPr>
        <w:t>Section 6.1(d)(ix)</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Net Termination Loss</w:t>
      </w:r>
      <w:r>
        <w:rPr>
          <w:rFonts w:ascii="Times New Roman" w:hAnsi="Times New Roman"/>
          <w:sz w:val="20"/>
        </w:rPr>
        <w:t xml:space="preserve">” means, for any taxable period, (a) the sum, if negative, of all items of income, gain, loss or deduction (determined in accordance with </w:t>
      </w:r>
      <w:r>
        <w:rPr>
          <w:rFonts w:ascii="Times New Roman" w:hAnsi="Times New Roman"/>
          <w:sz w:val="20"/>
          <w:u w:val="single"/>
        </w:rPr>
        <w:t>Section 5.5(b)</w:t>
      </w:r>
      <w:r>
        <w:rPr>
          <w:rFonts w:ascii="Times New Roman" w:hAnsi="Times New Roman"/>
          <w:sz w:val="20"/>
        </w:rPr>
        <w:t xml:space="preserve">) that are recognized by the Partnership (i) after the Liquidation Date or (ii) upon the sale, exchange or other disposition of all or substantially all of the assets of the Partnership Group, taken as a whole, in a single transaction or a series of related transactions (excluding any disposition to a member of the Partnership Group) or (b) the excess, if any, of the aggregate amount of Unrealized Loss over the aggregate amount of Unrealized Gain deemed recognized by the Partnership pursuant to </w:t>
      </w:r>
      <w:r>
        <w:rPr>
          <w:rFonts w:ascii="Times New Roman" w:hAnsi="Times New Roman"/>
          <w:sz w:val="20"/>
          <w:u w:val="single"/>
        </w:rPr>
        <w:t>Section 5.5(d)</w:t>
      </w:r>
      <w:r>
        <w:rPr>
          <w:rFonts w:ascii="Times New Roman" w:hAnsi="Times New Roman"/>
          <w:sz w:val="20"/>
        </w:rPr>
        <w:t xml:space="preserve"> on the date of a Revaluation Event;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the items included in the determination of Net Termination Loss shall not include any items of income, gain or loss specially allocated under </w:t>
      </w:r>
      <w:r>
        <w:rPr>
          <w:rFonts w:ascii="Times New Roman" w:hAnsi="Times New Roman"/>
          <w:sz w:val="20"/>
          <w:u w:val="single"/>
        </w:rPr>
        <w:t>Section 6.1(d)(i)</w:t>
      </w:r>
      <w:r>
        <w:rPr>
          <w:rFonts w:ascii="Times New Roman" w:hAnsi="Times New Roman"/>
          <w:sz w:val="20"/>
        </w:rPr>
        <w:t xml:space="preserve"> through </w:t>
      </w:r>
      <w:r>
        <w:rPr>
          <w:rFonts w:ascii="Times New Roman" w:hAnsi="Times New Roman"/>
          <w:sz w:val="20"/>
          <w:u w:val="single"/>
        </w:rPr>
        <w:t>Section 6.1(d)(ix)</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Nonrecourse Built-in Gain</w:t>
      </w:r>
      <w:r>
        <w:rPr>
          <w:rFonts w:ascii="Times New Roman" w:hAnsi="Times New Roman"/>
          <w:sz w:val="20"/>
        </w:rPr>
        <w:t xml:space="preserve">” means with respect to any Contributed Properties or Adjusted Properties that are subject to a mortgage or pledge securing a Nonrecourse Liability, the amount of any taxable gain that would be allocated to the Partners pursuant to </w:t>
      </w:r>
      <w:r>
        <w:rPr>
          <w:rFonts w:ascii="Times New Roman" w:hAnsi="Times New Roman"/>
          <w:sz w:val="20"/>
          <w:u w:val="single"/>
        </w:rPr>
        <w:t>Sections 6.2(b)(i)</w:t>
      </w:r>
      <w:r>
        <w:rPr>
          <w:rFonts w:ascii="Times New Roman" w:hAnsi="Times New Roman"/>
          <w:sz w:val="20"/>
        </w:rPr>
        <w:t xml:space="preserve">, </w:t>
      </w:r>
      <w:r>
        <w:rPr>
          <w:rFonts w:ascii="Times New Roman" w:hAnsi="Times New Roman"/>
          <w:sz w:val="20"/>
          <w:u w:val="single"/>
        </w:rPr>
        <w:t>6.2(b)(ii)</w:t>
      </w:r>
      <w:r>
        <w:rPr>
          <w:rFonts w:ascii="Times New Roman" w:hAnsi="Times New Roman"/>
          <w:sz w:val="20"/>
        </w:rPr>
        <w:t xml:space="preserve"> and </w:t>
      </w:r>
      <w:r>
        <w:rPr>
          <w:rFonts w:ascii="Times New Roman" w:hAnsi="Times New Roman"/>
          <w:sz w:val="20"/>
          <w:u w:val="single"/>
        </w:rPr>
        <w:t>6.2(b)(iii)</w:t>
      </w:r>
      <w:r>
        <w:rPr>
          <w:rFonts w:ascii="Times New Roman" w:hAnsi="Times New Roman"/>
          <w:sz w:val="20"/>
        </w:rPr>
        <w:t xml:space="preserve"> if such properties were disposed of in a taxable transaction in full satisfaction of such liabilities and for no other consideration. </w:t>
      </w:r>
    </w:p>
    <w:p>
      <w:pPr>
        <w:pStyle w:val="TextBody"/>
        <w:bidi w:val="0"/>
        <w:spacing w:before="240" w:after="0"/>
        <w:jc w:val="left"/>
        <w:rPr/>
      </w:pPr>
      <w:r>
        <w:rPr/>
        <w:t>“</w:t>
      </w:r>
      <w:r>
        <w:rPr>
          <w:rFonts w:ascii="Times New Roman" w:hAnsi="Times New Roman"/>
          <w:i/>
          <w:sz w:val="20"/>
        </w:rPr>
        <w:t>Nonrecourse Deductions</w:t>
      </w:r>
      <w:r>
        <w:rPr>
          <w:rFonts w:ascii="Times New Roman" w:hAnsi="Times New Roman"/>
          <w:sz w:val="20"/>
        </w:rPr>
        <w:t xml:space="preserve">” means any and all items of loss, deduction or expenditure (including, without limitation, any expenditure described in Section 705(a)(2)(B) of the Code) that, in accordance with the principles of Treasury Regulation Section 1.704-2(b), are attributable to a Nonrecourse Liability. </w:t>
      </w:r>
    </w:p>
    <w:p>
      <w:pPr>
        <w:pStyle w:val="TextBody"/>
        <w:bidi w:val="0"/>
        <w:spacing w:before="240" w:after="0"/>
        <w:jc w:val="left"/>
        <w:rPr/>
      </w:pPr>
      <w:r>
        <w:rPr/>
        <w:t>“</w:t>
      </w:r>
      <w:r>
        <w:rPr>
          <w:rFonts w:ascii="Times New Roman" w:hAnsi="Times New Roman"/>
          <w:i/>
          <w:sz w:val="20"/>
        </w:rPr>
        <w:t>Nonrecourse Liability</w:t>
      </w:r>
      <w:r>
        <w:rPr>
          <w:rFonts w:ascii="Times New Roman" w:hAnsi="Times New Roman"/>
          <w:sz w:val="20"/>
        </w:rPr>
        <w:t xml:space="preserve">” has the meaning set forth in Treasury Regulation Section 1.752-1(a)(2). </w:t>
      </w:r>
    </w:p>
    <w:p>
      <w:pPr>
        <w:pStyle w:val="TextBody"/>
        <w:bidi w:val="0"/>
        <w:spacing w:before="240" w:after="0"/>
        <w:jc w:val="left"/>
        <w:rPr/>
      </w:pPr>
      <w:r>
        <w:rPr/>
        <w:t>“</w:t>
      </w:r>
      <w:r>
        <w:rPr>
          <w:rFonts w:ascii="Times New Roman" w:hAnsi="Times New Roman"/>
          <w:i/>
          <w:sz w:val="20"/>
        </w:rPr>
        <w:t>Notice of Election to Purchase</w:t>
      </w:r>
      <w:r>
        <w:rPr>
          <w:rFonts w:ascii="Times New Roman" w:hAnsi="Times New Roman"/>
          <w:sz w:val="20"/>
        </w:rPr>
        <w:t xml:space="preserve">” has the meaning assigned to such term in </w:t>
      </w:r>
      <w:r>
        <w:rPr>
          <w:rFonts w:ascii="Times New Roman" w:hAnsi="Times New Roman"/>
          <w:sz w:val="20"/>
          <w:u w:val="single"/>
        </w:rPr>
        <w:t>Section 15.1(b)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Opinion of Counsel</w:t>
      </w:r>
      <w:r>
        <w:rPr>
          <w:rFonts w:ascii="Times New Roman" w:hAnsi="Times New Roman"/>
          <w:sz w:val="20"/>
        </w:rPr>
        <w:t xml:space="preserve">” means a written opinion of counsel (who may be regular counsel to the Partnership or the General Partner or any of its Affiliates) in a form acceptable to the General Partner. </w:t>
      </w:r>
    </w:p>
    <w:p>
      <w:pPr>
        <w:pStyle w:val="TextBody"/>
        <w:bidi w:val="0"/>
        <w:spacing w:before="240" w:after="0"/>
        <w:jc w:val="left"/>
        <w:rPr/>
      </w:pPr>
      <w:r>
        <w:rPr/>
        <w:t>“</w:t>
      </w:r>
      <w:r>
        <w:rPr>
          <w:rFonts w:ascii="Times New Roman" w:hAnsi="Times New Roman"/>
          <w:i/>
          <w:sz w:val="20"/>
        </w:rPr>
        <w:t>Option Closing Date</w:t>
      </w:r>
      <w:r>
        <w:rPr>
          <w:rFonts w:ascii="Times New Roman" w:hAnsi="Times New Roman"/>
          <w:sz w:val="20"/>
        </w:rPr>
        <w:t xml:space="preserve">” means the date or dates on which any Common Units are sold by the Partnership to the Underwriters upon exercise of the Over-Allotment Option. </w:t>
      </w:r>
    </w:p>
    <w:p>
      <w:pPr>
        <w:pStyle w:val="TextBody"/>
        <w:bidi w:val="0"/>
        <w:spacing w:before="240" w:after="0"/>
        <w:jc w:val="left"/>
        <w:rPr/>
      </w:pPr>
      <w:r>
        <w:rPr/>
        <w:t>“</w:t>
      </w:r>
      <w:r>
        <w:rPr>
          <w:rFonts w:ascii="Times New Roman" w:hAnsi="Times New Roman"/>
          <w:i/>
          <w:sz w:val="20"/>
        </w:rPr>
        <w:t>Outstanding</w:t>
      </w:r>
      <w:r>
        <w:rPr>
          <w:rFonts w:ascii="Times New Roman" w:hAnsi="Times New Roman"/>
          <w:sz w:val="20"/>
        </w:rPr>
        <w:t xml:space="preserve">” means, with respect to Partnership Securities, all Partnership Securities that are issued by the Partnership and reflected as outstanding on the Partnership’s books and records as of the date of determination;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if at any time any Person or Group (other than the General Partner or its Affiliates) beneficially owns 20% or more of any Outstanding Partnership Securities of any class then Outstanding, all Partnership Securities owned by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Person or Group shall not be voted on any matter and shall not be considered to be Outstanding when sending notices of a meeting of Limited Partners to vote on any matter (unless otherwise required by law), calculating required votes, determining the presence of a quorum or for other similar purposes under this Agreement, except that Common Units so owned shall be considered to be Outstanding for purposes of </w:t>
      </w:r>
      <w:r>
        <w:rPr>
          <w:rFonts w:ascii="Times New Roman" w:hAnsi="Times New Roman"/>
          <w:sz w:val="20"/>
          <w:u w:val="single"/>
        </w:rPr>
        <w:t>Section 11.1(b)(iii)</w:t>
      </w:r>
      <w:r>
        <w:rPr>
          <w:rFonts w:ascii="Times New Roman" w:hAnsi="Times New Roman"/>
          <w:sz w:val="20"/>
        </w:rPr>
        <w:t xml:space="preserve"> (such Common Units shall not, however, be treated as a separate class of Partnership Securities for purposes of this Agreement);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the limitation in the foregoing proviso shall not apply (i) to any Person or Group who acquired 20% or more of any Outstanding Partnership Securities of any class then Outstanding directly from the General Partner or its Affiliates, (ii) to any Person or Group who acquired 20% or more of any Outstanding Partnership Securities of any class then Outstanding directly or indirectly from a Person or Group described in clause (i) if the General Partner shall have notified such Person or Group in writing that such limitation shall not apply to such Person or Group, (iii) to any Person or Group who acquired 20% or more of any Partnership Securities issued by the Partnership with the prior approval of the Board of Directors of the General Partner, (iv) to any Series B Holder in connection with any vote, consent or approval of the Series B Holders pursuant to </w:t>
      </w:r>
      <w:r>
        <w:rPr>
          <w:rFonts w:ascii="Times New Roman" w:hAnsi="Times New Roman"/>
          <w:sz w:val="20"/>
          <w:u w:val="single"/>
        </w:rPr>
        <w:t>Section 5.11(b)(iii)</w:t>
      </w:r>
      <w:r>
        <w:rPr>
          <w:rFonts w:ascii="Times New Roman" w:hAnsi="Times New Roman"/>
          <w:sz w:val="20"/>
        </w:rPr>
        <w:t xml:space="preserve">, (v) to any Series G Holder in connection with any vote, consent or approval of the Series G Holders pursuant to </w:t>
      </w:r>
      <w:r>
        <w:rPr>
          <w:rFonts w:ascii="Times New Roman" w:hAnsi="Times New Roman"/>
          <w:sz w:val="20"/>
          <w:u w:val="single"/>
        </w:rPr>
        <w:t>Section 5.12(b)(iii)</w:t>
      </w:r>
      <w:r>
        <w:rPr>
          <w:rFonts w:ascii="Times New Roman" w:hAnsi="Times New Roman"/>
          <w:sz w:val="20"/>
        </w:rPr>
        <w:t xml:space="preserve">, (vi) to any Series H Holder in connection with any vote, consent or approval of the Series H Holders pursuant to </w:t>
      </w:r>
      <w:r>
        <w:rPr>
          <w:rFonts w:ascii="Times New Roman" w:hAnsi="Times New Roman"/>
          <w:sz w:val="20"/>
          <w:u w:val="single"/>
        </w:rPr>
        <w:t>Section 5.14(b)(iii)</w:t>
      </w:r>
      <w:r>
        <w:rPr>
          <w:rFonts w:ascii="Times New Roman" w:hAnsi="Times New Roman"/>
          <w:sz w:val="20"/>
        </w:rPr>
        <w:t xml:space="preserve"> or (vii) to any Series I Holder in connection with any vote, consent or approval of the Series I Holders pursuant to </w:t>
      </w:r>
      <w:r>
        <w:rPr>
          <w:rFonts w:ascii="Times New Roman" w:hAnsi="Times New Roman"/>
          <w:sz w:val="20"/>
          <w:u w:val="single"/>
        </w:rPr>
        <w:t>Section 5.15(d)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Over-Allotment Option</w:t>
      </w:r>
      <w:r>
        <w:rPr>
          <w:rFonts w:ascii="Times New Roman" w:hAnsi="Times New Roman"/>
          <w:sz w:val="20"/>
        </w:rPr>
        <w:t xml:space="preserve">” means the over-allotment option granted to the Underwriters by the Partnership pursuant to the Underwriting Agreement. </w:t>
      </w:r>
    </w:p>
    <w:p>
      <w:pPr>
        <w:pStyle w:val="TextBody"/>
        <w:bidi w:val="0"/>
        <w:spacing w:before="240" w:after="0"/>
        <w:jc w:val="left"/>
        <w:rPr/>
      </w:pPr>
      <w:r>
        <w:rPr/>
        <w:t>“</w:t>
      </w:r>
      <w:r>
        <w:rPr>
          <w:rFonts w:ascii="Times New Roman" w:hAnsi="Times New Roman"/>
          <w:i/>
          <w:sz w:val="20"/>
        </w:rPr>
        <w:t>Partner Nonrecourse Debt</w:t>
      </w:r>
      <w:r>
        <w:rPr>
          <w:rFonts w:ascii="Times New Roman" w:hAnsi="Times New Roman"/>
          <w:sz w:val="20"/>
        </w:rPr>
        <w:t xml:space="preserve">” has the meaning set forth in Treasury Regulation Section 1.704-2(b)(4). </w:t>
      </w:r>
    </w:p>
    <w:p>
      <w:pPr>
        <w:pStyle w:val="TextBody"/>
        <w:bidi w:val="0"/>
        <w:spacing w:before="240" w:after="0"/>
        <w:jc w:val="left"/>
        <w:rPr/>
      </w:pPr>
      <w:r>
        <w:rPr/>
        <w:t>“</w:t>
      </w:r>
      <w:r>
        <w:rPr>
          <w:rFonts w:ascii="Times New Roman" w:hAnsi="Times New Roman"/>
          <w:i/>
          <w:sz w:val="20"/>
        </w:rPr>
        <w:t>Partner Nonrecourse Debt Minimum Gain</w:t>
      </w:r>
      <w:r>
        <w:rPr>
          <w:rFonts w:ascii="Times New Roman" w:hAnsi="Times New Roman"/>
          <w:sz w:val="20"/>
        </w:rPr>
        <w:t xml:space="preserve">” has the meaning set forth in Treasury Regulation Section 1.704-2(i)(2). </w:t>
      </w:r>
    </w:p>
    <w:p>
      <w:pPr>
        <w:pStyle w:val="TextBody"/>
        <w:bidi w:val="0"/>
        <w:spacing w:before="240" w:after="0"/>
        <w:jc w:val="left"/>
        <w:rPr/>
      </w:pPr>
      <w:r>
        <w:rPr/>
        <w:t>“</w:t>
      </w:r>
      <w:r>
        <w:rPr>
          <w:rFonts w:ascii="Times New Roman" w:hAnsi="Times New Roman"/>
          <w:i/>
          <w:sz w:val="20"/>
        </w:rPr>
        <w:t>Partner Nonrecourse Deductions</w:t>
      </w:r>
      <w:r>
        <w:rPr>
          <w:rFonts w:ascii="Times New Roman" w:hAnsi="Times New Roman"/>
          <w:sz w:val="20"/>
        </w:rPr>
        <w:t xml:space="preserve">” means any and all items of loss, deduction or expenditure (including, without limitation, any expenditure described in Section 705(a)(2)(B) of the Code) that, in accordance with the principles of Treasury Regulation Section 1.704-2(i), are attributable to a Partner Nonrecourse Debt. </w:t>
      </w:r>
    </w:p>
    <w:p>
      <w:pPr>
        <w:pStyle w:val="TextBody"/>
        <w:bidi w:val="0"/>
        <w:spacing w:before="240" w:after="0"/>
        <w:jc w:val="left"/>
        <w:rPr/>
      </w:pPr>
      <w:r>
        <w:rPr/>
        <w:t>“</w:t>
      </w:r>
      <w:r>
        <w:rPr>
          <w:rFonts w:ascii="Times New Roman" w:hAnsi="Times New Roman"/>
          <w:i/>
          <w:sz w:val="20"/>
        </w:rPr>
        <w:t>Partners</w:t>
      </w:r>
      <w:r>
        <w:rPr>
          <w:rFonts w:ascii="Times New Roman" w:hAnsi="Times New Roman"/>
          <w:sz w:val="20"/>
        </w:rPr>
        <w:t xml:space="preserve">” means the General Partner and the Limited Partners. </w:t>
      </w:r>
    </w:p>
    <w:p>
      <w:pPr>
        <w:pStyle w:val="TextBody"/>
        <w:bidi w:val="0"/>
        <w:spacing w:before="240" w:after="0"/>
        <w:jc w:val="left"/>
        <w:rPr/>
      </w:pPr>
      <w:r>
        <w:rPr/>
        <w:t>“</w:t>
      </w:r>
      <w:r>
        <w:rPr>
          <w:rFonts w:ascii="Times New Roman" w:hAnsi="Times New Roman"/>
          <w:i/>
          <w:sz w:val="20"/>
        </w:rPr>
        <w:t>Partnership</w:t>
      </w:r>
      <w:r>
        <w:rPr>
          <w:rFonts w:ascii="Times New Roman" w:hAnsi="Times New Roman"/>
          <w:sz w:val="20"/>
        </w:rPr>
        <w:t xml:space="preserve">” means Energy Transfer LP, a Texas limited partnership. </w:t>
      </w:r>
    </w:p>
    <w:p>
      <w:pPr>
        <w:pStyle w:val="TextBody"/>
        <w:bidi w:val="0"/>
        <w:spacing w:before="240" w:after="0"/>
        <w:jc w:val="left"/>
        <w:rPr/>
      </w:pPr>
      <w:r>
        <w:rPr/>
        <w:t>“</w:t>
      </w:r>
      <w:r>
        <w:rPr>
          <w:rFonts w:ascii="Times New Roman" w:hAnsi="Times New Roman"/>
          <w:i/>
          <w:sz w:val="20"/>
        </w:rPr>
        <w:t>Partnership Group</w:t>
      </w:r>
      <w:r>
        <w:rPr>
          <w:rFonts w:ascii="Times New Roman" w:hAnsi="Times New Roman"/>
          <w:sz w:val="20"/>
        </w:rPr>
        <w:t xml:space="preserve">” means the Partnership and its Subsidiaries treated as a single consolidated entity. </w:t>
      </w:r>
    </w:p>
    <w:p>
      <w:pPr>
        <w:pStyle w:val="TextBody"/>
        <w:bidi w:val="0"/>
        <w:spacing w:before="240" w:after="0"/>
        <w:jc w:val="left"/>
        <w:rPr/>
      </w:pPr>
      <w:r>
        <w:rPr/>
        <w:t>“</w:t>
      </w:r>
      <w:r>
        <w:rPr>
          <w:rFonts w:ascii="Times New Roman" w:hAnsi="Times New Roman"/>
          <w:i/>
          <w:sz w:val="20"/>
        </w:rPr>
        <w:t>Partnership Interest</w:t>
      </w:r>
      <w:r>
        <w:rPr>
          <w:rFonts w:ascii="Times New Roman" w:hAnsi="Times New Roman"/>
          <w:sz w:val="20"/>
        </w:rPr>
        <w:t xml:space="preserve">” means an interest in the Partnership, which shall include the General Partner Interests and Limited Partner Interests. </w:t>
      </w:r>
    </w:p>
    <w:p>
      <w:pPr>
        <w:pStyle w:val="TextBody"/>
        <w:bidi w:val="0"/>
        <w:spacing w:before="240" w:after="0"/>
        <w:jc w:val="left"/>
        <w:rPr/>
      </w:pPr>
      <w:r>
        <w:rPr/>
        <w:t>“</w:t>
      </w:r>
      <w:r>
        <w:rPr>
          <w:rFonts w:ascii="Times New Roman" w:hAnsi="Times New Roman"/>
          <w:i/>
          <w:sz w:val="20"/>
        </w:rPr>
        <w:t>Partnership Minimum Gain</w:t>
      </w:r>
      <w:r>
        <w:rPr>
          <w:rFonts w:ascii="Times New Roman" w:hAnsi="Times New Roman"/>
          <w:sz w:val="20"/>
        </w:rPr>
        <w:t xml:space="preserve">” means that amount determined in accordance with the principles of Treasury Regulation Section 1.704-2(d).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Partnership Representative</w:t>
      </w:r>
      <w:r>
        <w:rPr>
          <w:rFonts w:ascii="Times New Roman" w:hAnsi="Times New Roman"/>
          <w:sz w:val="20"/>
        </w:rPr>
        <w:t xml:space="preserve">” has the meaning assigned to such term in </w:t>
      </w:r>
      <w:r>
        <w:rPr>
          <w:rFonts w:ascii="Times New Roman" w:hAnsi="Times New Roman"/>
          <w:sz w:val="20"/>
          <w:u w:val="single"/>
        </w:rPr>
        <w:t>Section 9.3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Partnership Security</w:t>
      </w:r>
      <w:r>
        <w:rPr>
          <w:rFonts w:ascii="Times New Roman" w:hAnsi="Times New Roman"/>
          <w:sz w:val="20"/>
        </w:rPr>
        <w:t xml:space="preserve">” means any class or series of equity interest in the Partnership (but excluding any options, rights, warrants and appreciation rights relating to an equity interest in the Partnership) and General Partner Units and any General Partner Interest represented thereby, including without limitation, Common Units, Class A Units, Series B Preferred Units, Series G Preferred Units, Series H Preferred Units, Series I Preferred Units and Class B Units. </w:t>
      </w:r>
    </w:p>
    <w:p>
      <w:pPr>
        <w:pStyle w:val="TextBody"/>
        <w:bidi w:val="0"/>
        <w:spacing w:before="240" w:after="0"/>
        <w:jc w:val="left"/>
        <w:rPr/>
      </w:pPr>
      <w:r>
        <w:rPr/>
        <w:t>“</w:t>
      </w:r>
      <w:r>
        <w:rPr>
          <w:rFonts w:ascii="Times New Roman" w:hAnsi="Times New Roman"/>
          <w:i/>
          <w:sz w:val="20"/>
        </w:rPr>
        <w:t>Paying Agent</w:t>
      </w:r>
      <w:r>
        <w:rPr>
          <w:rFonts w:ascii="Times New Roman" w:hAnsi="Times New Roman"/>
          <w:sz w:val="20"/>
        </w:rPr>
        <w:t xml:space="preserve">” means the Transfer Agent, acting in its capacity as paying agent for the Series B Preferred Units, the Series G Preferred Units, the Series H Preferred Units and the Series I Preferred Units, and its respective successors and assigns or any other paying agent appointed by the General Partner;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if no Paying Agent is specifically designated for the Series B Preferred Units, the Series G Preferred Units, the Series H Preferred Units or the Series I Preferred Units, the General Partner shall act in such capacity. </w:t>
      </w:r>
    </w:p>
    <w:p>
      <w:pPr>
        <w:pStyle w:val="TextBody"/>
        <w:bidi w:val="0"/>
        <w:spacing w:before="240" w:after="0"/>
        <w:jc w:val="left"/>
        <w:rPr/>
      </w:pPr>
      <w:r>
        <w:rPr/>
        <w:t>“</w:t>
      </w:r>
      <w:r>
        <w:rPr>
          <w:rFonts w:ascii="Times New Roman" w:hAnsi="Times New Roman"/>
          <w:i/>
          <w:sz w:val="20"/>
        </w:rPr>
        <w:t>Percentage Interest</w:t>
      </w:r>
      <w:r>
        <w:rPr>
          <w:rFonts w:ascii="Times New Roman" w:hAnsi="Times New Roman"/>
          <w:sz w:val="20"/>
        </w:rPr>
        <w:t xml:space="preserve">” means as of any date of determination (a) as to the General Partner, the amount of its aggregate Capital Contributions to the Partnership divided by the aggregate Capital Contributions made to the Partnership by all Partners (other than Capital Contributions made to the Partnership by a Partner with respect to a Class A Unit, a Class B Unit, a Series B Preferred Unit, a Series G Preferred Unit, a Series H Preferred Unit or a Series I Preferred Unit), (b) as to any Unitholder or Assignee holding Common Units, the product obtained by multiplying (i) 100% less the percentage applicable to paragraphs (a) and (c) hereof by (ii) the quotient obtained by dividing (A) the number of Common Units held by such Unitholder or Assignee by (B) the total number of all Outstanding Common Units, and (c) as to the holders of other Partnership Securities issued by the Partnership in accordance with </w:t>
      </w:r>
      <w:r>
        <w:rPr>
          <w:rFonts w:ascii="Times New Roman" w:hAnsi="Times New Roman"/>
          <w:sz w:val="20"/>
          <w:u w:val="single"/>
        </w:rPr>
        <w:t>Section 5.6</w:t>
      </w:r>
      <w:r>
        <w:rPr>
          <w:rFonts w:ascii="Times New Roman" w:hAnsi="Times New Roman"/>
          <w:sz w:val="20"/>
        </w:rPr>
        <w:t xml:space="preserve">, the percentage established as a part of such issuance. The Percentage Interest with respect to a Class A Unit, Class B Unit, Series B Preferred Unit, Series G Preferred Unit, Series H Preferred Unit and Series I Preferred Unit shall at all times be zero. </w:t>
      </w:r>
    </w:p>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means an individual or a corporation, limited liability company, partnership, joint venture, trust, unincorporated organization, association, government agency or political subdivision thereof or other entity. </w:t>
      </w:r>
    </w:p>
    <w:p>
      <w:pPr>
        <w:pStyle w:val="TextBody"/>
        <w:bidi w:val="0"/>
        <w:spacing w:before="240" w:after="0"/>
        <w:jc w:val="left"/>
        <w:rPr/>
      </w:pPr>
      <w:r>
        <w:rPr/>
        <w:t>“</w:t>
      </w:r>
      <w:r>
        <w:rPr>
          <w:rFonts w:ascii="Times New Roman" w:hAnsi="Times New Roman"/>
          <w:i/>
          <w:sz w:val="20"/>
        </w:rPr>
        <w:t>Plan of Conversion</w:t>
      </w:r>
      <w:r>
        <w:rPr>
          <w:rFonts w:ascii="Times New Roman" w:hAnsi="Times New Roman"/>
          <w:sz w:val="20"/>
        </w:rPr>
        <w:t xml:space="preserve">” means the Plan of Conversion of the Partnership as referenced in </w:t>
      </w:r>
      <w:r>
        <w:rPr>
          <w:rFonts w:ascii="Times New Roman" w:hAnsi="Times New Roman"/>
          <w:sz w:val="20"/>
          <w:u w:val="single"/>
        </w:rPr>
        <w:t>Section 2.1</w:t>
      </w:r>
      <w:r>
        <w:rPr>
          <w:rFonts w:ascii="Times New Roman" w:hAnsi="Times New Roman"/>
          <w:sz w:val="20"/>
        </w:rPr>
        <w:t xml:space="preserve">, as such Plan of Conversion may be amended, supplemented or restated from time to time. </w:t>
      </w:r>
    </w:p>
    <w:p>
      <w:pPr>
        <w:pStyle w:val="TextBody"/>
        <w:bidi w:val="0"/>
        <w:spacing w:before="240" w:after="0"/>
        <w:jc w:val="left"/>
        <w:rPr/>
      </w:pPr>
      <w:r>
        <w:rPr/>
        <w:t>“</w:t>
      </w:r>
      <w:r>
        <w:rPr>
          <w:rFonts w:ascii="Times New Roman" w:hAnsi="Times New Roman"/>
          <w:i/>
          <w:sz w:val="20"/>
        </w:rPr>
        <w:t>Pro Rata</w:t>
      </w:r>
      <w:r>
        <w:rPr>
          <w:rFonts w:ascii="Times New Roman" w:hAnsi="Times New Roman"/>
          <w:sz w:val="20"/>
        </w:rPr>
        <w:t xml:space="preserve">” means (a) when modifying Units or any class thereof, apportioned equally among all such designated Units in accordance with their relative Percentage Interests, (b) when modifying Partners and Assignees, apportioned among all Partners and Assignees in accordance with their relative Percentage Interests, (c) solely when modifying Series B Holders, apportioned equally among all Series B Holders in accordance with the relative number or percentage of Series B Preferred Units held by each such Series B Holder, (d) solely when modifying Series G Holders, apportioned equally among all Series G Holders in accordance with the relative number or percentage of Series G Preferred Units held by each such Series G Holder, (e) solely when modifying Series H Holders, apportioned equally among all Series H Holders in accordance with the relative number or percentage of Series H Preferred Units held by each such Series 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solely when modifying Series I Holders, apportioned equally among all Series I Holders in accordance with the relative number or percentage of Series I Preferred Units held by each such Series I Holder and (g) solely when modifying holders of Class B Units, apportioned equally among all holders of Class B Units in accordance with the relative number or percentage of Class B Units held by each such holder. </w:t>
      </w:r>
    </w:p>
    <w:p>
      <w:pPr>
        <w:pStyle w:val="TextBody"/>
        <w:bidi w:val="0"/>
        <w:spacing w:before="240" w:after="0"/>
        <w:jc w:val="left"/>
        <w:rPr/>
      </w:pPr>
      <w:r>
        <w:rPr/>
        <w:t>“</w:t>
      </w:r>
      <w:r>
        <w:rPr>
          <w:rFonts w:ascii="Times New Roman" w:hAnsi="Times New Roman"/>
          <w:i/>
          <w:sz w:val="20"/>
        </w:rPr>
        <w:t>Purchase Date</w:t>
      </w:r>
      <w:r>
        <w:rPr>
          <w:rFonts w:ascii="Times New Roman" w:hAnsi="Times New Roman"/>
          <w:sz w:val="20"/>
        </w:rPr>
        <w:t xml:space="preserve">” means the date determined by the General Partner as the date for purchase of all Outstanding Units of a certain class (other than Units owned by the General Partner and its Affiliates) pursuant to </w:t>
      </w:r>
      <w:r>
        <w:rPr>
          <w:rFonts w:ascii="Times New Roman" w:hAnsi="Times New Roman"/>
          <w:sz w:val="20"/>
          <w:u w:val="single"/>
        </w:rPr>
        <w:t>Article XV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Quarter</w:t>
      </w:r>
      <w:r>
        <w:rPr>
          <w:rFonts w:ascii="Times New Roman" w:hAnsi="Times New Roman"/>
          <w:sz w:val="20"/>
        </w:rPr>
        <w:t xml:space="preserve">” means, unless the context otherwise requires, a fiscal quarter of the Partnership;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that, notwithstanding the foregoing, the period from September 1, 2007 through and including December 31, 2007 shall be deemed to be a “</w:t>
      </w:r>
      <w:r>
        <w:rPr>
          <w:rFonts w:ascii="Times New Roman" w:hAnsi="Times New Roman"/>
          <w:i/>
          <w:sz w:val="20"/>
        </w:rPr>
        <w:t>Quarter</w:t>
      </w:r>
      <w:r>
        <w:rPr>
          <w:rFonts w:ascii="Times New Roman" w:hAnsi="Times New Roman"/>
          <w:sz w:val="20"/>
        </w:rPr>
        <w:t>” and no partial period during the period from September 1, 2007 to December 31, 2007 shall be considered to be a “</w:t>
      </w:r>
      <w:r>
        <w:rPr>
          <w:rFonts w:ascii="Times New Roman" w:hAnsi="Times New Roman"/>
          <w:i/>
          <w:sz w:val="20"/>
        </w:rPr>
        <w:t>Quarter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Quarterly Distribution</w:t>
      </w:r>
      <w:r>
        <w:rPr>
          <w:rFonts w:ascii="Times New Roman" w:hAnsi="Times New Roman"/>
          <w:sz w:val="20"/>
        </w:rPr>
        <w:t xml:space="preserve">” has the meaning set forth in </w:t>
      </w:r>
      <w:r>
        <w:rPr>
          <w:rFonts w:ascii="Times New Roman" w:hAnsi="Times New Roman"/>
          <w:sz w:val="20"/>
          <w:u w:val="single"/>
        </w:rPr>
        <w:t>Section 5.15(c)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Rating Agency</w:t>
      </w:r>
      <w:r>
        <w:rPr>
          <w:rFonts w:ascii="Times New Roman" w:hAnsi="Times New Roman"/>
          <w:sz w:val="20"/>
        </w:rPr>
        <w:t xml:space="preserve">” means any nationally recognized statistical rating organization (within the meaning of Section 3(a)(62) of the Securities Exchange Act) that publishes a rating for the Partnership. </w:t>
      </w:r>
    </w:p>
    <w:p>
      <w:pPr>
        <w:pStyle w:val="TextBody"/>
        <w:bidi w:val="0"/>
        <w:spacing w:before="240" w:after="0"/>
        <w:jc w:val="left"/>
        <w:rPr/>
      </w:pPr>
      <w:r>
        <w:rPr/>
        <w:t>“</w:t>
      </w:r>
      <w:r>
        <w:rPr>
          <w:rFonts w:ascii="Times New Roman" w:hAnsi="Times New Roman"/>
          <w:i/>
          <w:sz w:val="20"/>
        </w:rPr>
        <w:t>Recapture Income</w:t>
      </w:r>
      <w:r>
        <w:rPr>
          <w:rFonts w:ascii="Times New Roman" w:hAnsi="Times New Roman"/>
          <w:sz w:val="20"/>
        </w:rPr>
        <w:t xml:space="preserve">” means any gain recognized by the Partnership (computed without regard to any adjustment required by Section 734 or Section 743 of the Code) upon the disposition of any property or asset of the Partnership, which gain is characterized as ordinary income because it represents the recapture of deductions previously taken with respect to such property or asset. </w:t>
      </w:r>
    </w:p>
    <w:p>
      <w:pPr>
        <w:pStyle w:val="TextBody"/>
        <w:bidi w:val="0"/>
        <w:spacing w:before="240" w:after="0"/>
        <w:jc w:val="left"/>
        <w:rPr/>
      </w:pPr>
      <w:r>
        <w:rPr/>
        <w:t>“</w:t>
      </w:r>
      <w:r>
        <w:rPr>
          <w:rFonts w:ascii="Times New Roman" w:hAnsi="Times New Roman"/>
          <w:i/>
          <w:sz w:val="20"/>
        </w:rPr>
        <w:t>Record Date</w:t>
      </w:r>
      <w:r>
        <w:rPr>
          <w:rFonts w:ascii="Times New Roman" w:hAnsi="Times New Roman"/>
          <w:sz w:val="20"/>
        </w:rPr>
        <w:t xml:space="preserve">” means the date established by the General Partner for determining (a) the identity of the Record Holders entitled to notice of, or to vote at, any meeting of Limited Partners or entitled to vote by ballot or give approval of Partnership action in writing without a meeting or entitled to exercise rights in respect of any lawful action of Limited Partners or (b) the identity of Record Holders entitled to receive any report or distribution or to participate in any offer. </w:t>
      </w:r>
    </w:p>
    <w:p>
      <w:pPr>
        <w:pStyle w:val="TextBody"/>
        <w:bidi w:val="0"/>
        <w:spacing w:before="240" w:after="0"/>
        <w:jc w:val="left"/>
        <w:rPr/>
      </w:pPr>
      <w:r>
        <w:rPr/>
        <w:t>“</w:t>
      </w:r>
      <w:r>
        <w:rPr>
          <w:rFonts w:ascii="Times New Roman" w:hAnsi="Times New Roman"/>
          <w:i/>
          <w:sz w:val="20"/>
        </w:rPr>
        <w:t>Record Holder</w:t>
      </w:r>
      <w:r>
        <w:rPr>
          <w:rFonts w:ascii="Times New Roman" w:hAnsi="Times New Roman"/>
          <w:sz w:val="20"/>
        </w:rPr>
        <w:t xml:space="preserve">” means the Person in whose name a Common Unit is registered on the books of the Transfer Agent as of the opening of business on a particular Business Day, or with respect to other Partnership Interests, the Person in whose name any such other Partnership Interest is registered on the books of the Transfer Agent or the books that the General Partner has caused to be kept, as the case may be, as of the opening of business on such Business Day. </w:t>
      </w:r>
    </w:p>
    <w:p>
      <w:pPr>
        <w:pStyle w:val="TextBody"/>
        <w:bidi w:val="0"/>
        <w:spacing w:before="240" w:after="0"/>
        <w:jc w:val="left"/>
        <w:rPr/>
      </w:pPr>
      <w:r>
        <w:rPr/>
        <w:t>“</w:t>
      </w:r>
      <w:r>
        <w:rPr>
          <w:rFonts w:ascii="Times New Roman" w:hAnsi="Times New Roman"/>
          <w:i/>
          <w:sz w:val="20"/>
        </w:rPr>
        <w:t>Redeemable Interests</w:t>
      </w:r>
      <w:r>
        <w:rPr>
          <w:rFonts w:ascii="Times New Roman" w:hAnsi="Times New Roman"/>
          <w:sz w:val="20"/>
        </w:rPr>
        <w:t xml:space="preserve">” means any Partnership Interests for which a redemption notice has been given, and has not been withdrawn, pursuant to </w:t>
      </w:r>
      <w:r>
        <w:rPr>
          <w:rFonts w:ascii="Times New Roman" w:hAnsi="Times New Roman"/>
          <w:sz w:val="20"/>
          <w:u w:val="single"/>
        </w:rPr>
        <w:t>Section 4.9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Registration Statement</w:t>
      </w:r>
      <w:r>
        <w:rPr>
          <w:rFonts w:ascii="Times New Roman" w:hAnsi="Times New Roman"/>
          <w:sz w:val="20"/>
        </w:rPr>
        <w:t xml:space="preserve">” means the Registration Statement on Form S-1 (Registration No. 333-128097) as it has been or as it may be amended or supplemented from time to time, filed by the Partnership with the Commission under the Securities Act to register the offering and sale of the Common Units in the Initial Offering. </w:t>
      </w:r>
    </w:p>
    <w:p>
      <w:pPr>
        <w:pStyle w:val="TextBody"/>
        <w:bidi w:val="0"/>
        <w:spacing w:before="240" w:after="0"/>
        <w:jc w:val="left"/>
        <w:rPr/>
      </w:pPr>
      <w:r>
        <w:rPr/>
        <w:t>“</w:t>
      </w:r>
      <w:r>
        <w:rPr>
          <w:rFonts w:ascii="Times New Roman" w:hAnsi="Times New Roman"/>
          <w:i/>
          <w:sz w:val="20"/>
        </w:rPr>
        <w:t>Related Arrangements</w:t>
      </w:r>
      <w:r>
        <w:rPr>
          <w:rFonts w:ascii="Times New Roman" w:hAnsi="Times New Roman"/>
          <w:sz w:val="20"/>
        </w:rPr>
        <w:t xml:space="preserve">” has the meaning assigned to such term in the recitals.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Remaining Net Positive Adjustments</w:t>
      </w:r>
      <w:r>
        <w:rPr>
          <w:rFonts w:ascii="Times New Roman" w:hAnsi="Times New Roman"/>
          <w:sz w:val="20"/>
        </w:rPr>
        <w:t xml:space="preserve">” means, as of the end of any taxable period, (i) with respect to the Unitholders holding Common Units, the excess of (a) the Net Positive Adjustments of the Unitholders holding Common Units as of the end of such period over (b) the sum of those Partners’ Share of Additional Book Basis Derivative Items for each prior taxable period and (ii) with respect to the General Partner (as holder of the General Partner Interest), the excess of (a) the Net Positive Adjustments of the General Partner as of the end of such period over (b) the sum of the General Partner’s Share of Additional Book Basis Derivative Items with respect to the General Partner Interest for each prior taxable period. </w:t>
      </w:r>
    </w:p>
    <w:p>
      <w:pPr>
        <w:pStyle w:val="TextBody"/>
        <w:bidi w:val="0"/>
        <w:spacing w:before="240" w:after="0"/>
        <w:jc w:val="left"/>
        <w:rPr/>
      </w:pPr>
      <w:r>
        <w:rPr/>
        <w:t>“</w:t>
      </w:r>
      <w:r>
        <w:rPr>
          <w:rFonts w:ascii="Times New Roman" w:hAnsi="Times New Roman"/>
          <w:i/>
          <w:sz w:val="20"/>
        </w:rPr>
        <w:t>Required Allocations</w:t>
      </w:r>
      <w:r>
        <w:rPr>
          <w:rFonts w:ascii="Times New Roman" w:hAnsi="Times New Roman"/>
          <w:sz w:val="20"/>
        </w:rPr>
        <w:t xml:space="preserve">” means (a) any limitation imposed on any allocation of Net Losses or Net Termination Losses under </w:t>
      </w:r>
      <w:r>
        <w:rPr>
          <w:rFonts w:ascii="Times New Roman" w:hAnsi="Times New Roman"/>
          <w:sz w:val="20"/>
          <w:u w:val="single"/>
        </w:rPr>
        <w:t>Section 6.1(b)</w:t>
      </w:r>
      <w:r>
        <w:rPr>
          <w:rFonts w:ascii="Times New Roman" w:hAnsi="Times New Roman"/>
          <w:sz w:val="20"/>
        </w:rPr>
        <w:t xml:space="preserve"> or </w:t>
      </w:r>
      <w:r>
        <w:rPr>
          <w:rFonts w:ascii="Times New Roman" w:hAnsi="Times New Roman"/>
          <w:sz w:val="20"/>
          <w:u w:val="single"/>
        </w:rPr>
        <w:t>Section 6.1(c)(ii)</w:t>
      </w:r>
      <w:r>
        <w:rPr>
          <w:rFonts w:ascii="Times New Roman" w:hAnsi="Times New Roman"/>
          <w:sz w:val="20"/>
        </w:rPr>
        <w:t xml:space="preserve"> and (b) any allocation of an item of income, gain, loss or deduction pursuant to </w:t>
      </w:r>
      <w:r>
        <w:rPr>
          <w:rFonts w:ascii="Times New Roman" w:hAnsi="Times New Roman"/>
          <w:sz w:val="20"/>
          <w:u w:val="single"/>
        </w:rPr>
        <w:t>Section 6.1(d)(i)</w:t>
      </w:r>
      <w:r>
        <w:rPr>
          <w:rFonts w:ascii="Times New Roman" w:hAnsi="Times New Roman"/>
          <w:sz w:val="20"/>
        </w:rPr>
        <w:t xml:space="preserve">, </w:t>
      </w:r>
      <w:r>
        <w:rPr>
          <w:rFonts w:ascii="Times New Roman" w:hAnsi="Times New Roman"/>
          <w:sz w:val="20"/>
          <w:u w:val="single"/>
        </w:rPr>
        <w:t>Section 6.1(d)(ii)</w:t>
      </w:r>
      <w:r>
        <w:rPr>
          <w:rFonts w:ascii="Times New Roman" w:hAnsi="Times New Roman"/>
          <w:sz w:val="20"/>
        </w:rPr>
        <w:t xml:space="preserve">, </w:t>
      </w:r>
      <w:r>
        <w:rPr>
          <w:rFonts w:ascii="Times New Roman" w:hAnsi="Times New Roman"/>
          <w:sz w:val="20"/>
          <w:u w:val="single"/>
        </w:rPr>
        <w:t>Section 6.1(d)(iv)</w:t>
      </w:r>
      <w:r>
        <w:rPr>
          <w:rFonts w:ascii="Times New Roman" w:hAnsi="Times New Roman"/>
          <w:sz w:val="20"/>
        </w:rPr>
        <w:t xml:space="preserve"> or </w:t>
      </w:r>
      <w:r>
        <w:rPr>
          <w:rFonts w:ascii="Times New Roman" w:hAnsi="Times New Roman"/>
          <w:sz w:val="20"/>
          <w:u w:val="single"/>
        </w:rPr>
        <w:t>Section 6.1(d)(vii)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Residual Gain</w:t>
      </w:r>
      <w:r>
        <w:rPr>
          <w:rFonts w:ascii="Times New Roman" w:hAnsi="Times New Roman"/>
          <w:sz w:val="20"/>
        </w:rPr>
        <w:t>” or “</w:t>
      </w:r>
      <w:r>
        <w:rPr>
          <w:rFonts w:ascii="Times New Roman" w:hAnsi="Times New Roman"/>
          <w:i/>
          <w:sz w:val="20"/>
        </w:rPr>
        <w:t>Residual Loss</w:t>
      </w:r>
      <w:r>
        <w:rPr>
          <w:rFonts w:ascii="Times New Roman" w:hAnsi="Times New Roman"/>
          <w:sz w:val="20"/>
        </w:rPr>
        <w:t xml:space="preserve">” means any item of gain or loss, as the case may be, of the Partnership recognized for federal income tax purposes resulting from a sale, exchange or other disposition of a Contributed Property or Adjusted Property, to the extent such item of gain or loss is not allocated pursuant to </w:t>
      </w:r>
      <w:r>
        <w:rPr>
          <w:rFonts w:ascii="Times New Roman" w:hAnsi="Times New Roman"/>
          <w:sz w:val="20"/>
          <w:u w:val="single"/>
        </w:rPr>
        <w:t>Section 6.2(b)(i)(A)</w:t>
      </w:r>
      <w:r>
        <w:rPr>
          <w:rFonts w:ascii="Times New Roman" w:hAnsi="Times New Roman"/>
          <w:sz w:val="20"/>
        </w:rPr>
        <w:t xml:space="preserve"> or </w:t>
      </w:r>
      <w:r>
        <w:rPr>
          <w:rFonts w:ascii="Times New Roman" w:hAnsi="Times New Roman"/>
          <w:sz w:val="20"/>
          <w:u w:val="single"/>
        </w:rPr>
        <w:t>Section 6.2(b)(ii)(A)</w:t>
      </w:r>
      <w:r>
        <w:rPr>
          <w:rFonts w:ascii="Times New Roman" w:hAnsi="Times New Roman"/>
          <w:sz w:val="20"/>
        </w:rPr>
        <w:t xml:space="preserve">, respectively, to eliminate Book-Tax Disparities. </w:t>
      </w:r>
    </w:p>
    <w:p>
      <w:pPr>
        <w:pStyle w:val="TextBody"/>
        <w:bidi w:val="0"/>
        <w:spacing w:before="240" w:after="0"/>
        <w:jc w:val="left"/>
        <w:rPr/>
      </w:pPr>
      <w:r>
        <w:rPr/>
        <w:t>“</w:t>
      </w:r>
      <w:r>
        <w:rPr>
          <w:rFonts w:ascii="Times New Roman" w:hAnsi="Times New Roman"/>
          <w:i/>
          <w:sz w:val="20"/>
        </w:rPr>
        <w:t>Revaluation Event</w:t>
      </w:r>
      <w:r>
        <w:rPr>
          <w:rFonts w:ascii="Times New Roman" w:hAnsi="Times New Roman"/>
          <w:sz w:val="20"/>
        </w:rPr>
        <w:t xml:space="preserve">” means an event that results in an adjustment of the Carrying Value of each Partnership property pursuant to </w:t>
      </w:r>
      <w:r>
        <w:rPr>
          <w:rFonts w:ascii="Times New Roman" w:hAnsi="Times New Roman"/>
          <w:sz w:val="20"/>
          <w:u w:val="single"/>
        </w:rPr>
        <w:t>Section 5.5(d)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Securities Act</w:t>
      </w:r>
      <w:r>
        <w:rPr>
          <w:rFonts w:ascii="Times New Roman" w:hAnsi="Times New Roman"/>
          <w:sz w:val="20"/>
        </w:rPr>
        <w:t xml:space="preserve">” means the Securities Act of 1933, as amended, supplemented or restated from time to time and any successor to such statute. </w:t>
      </w:r>
    </w:p>
    <w:p>
      <w:pPr>
        <w:pStyle w:val="TextBody"/>
        <w:bidi w:val="0"/>
        <w:spacing w:before="240" w:after="0"/>
        <w:jc w:val="left"/>
        <w:rPr/>
      </w:pPr>
      <w:r>
        <w:rPr/>
        <w:t>“</w:t>
      </w:r>
      <w:r>
        <w:rPr>
          <w:rFonts w:ascii="Times New Roman" w:hAnsi="Times New Roman"/>
          <w:i/>
          <w:sz w:val="20"/>
        </w:rPr>
        <w:t>Securities Exchange Act</w:t>
      </w:r>
      <w:r>
        <w:rPr>
          <w:rFonts w:ascii="Times New Roman" w:hAnsi="Times New Roman"/>
          <w:sz w:val="20"/>
        </w:rPr>
        <w:t xml:space="preserve">” means the Securities Exchange Act of 1934, as amended, supplemented or restated from time to time and any successor to such statute. </w:t>
      </w:r>
    </w:p>
    <w:p>
      <w:pPr>
        <w:pStyle w:val="TextBody"/>
        <w:bidi w:val="0"/>
        <w:spacing w:before="240" w:after="0"/>
        <w:jc w:val="left"/>
        <w:rPr/>
      </w:pPr>
      <w:r>
        <w:rPr/>
        <w:t>“</w:t>
      </w:r>
      <w:r>
        <w:rPr>
          <w:rFonts w:ascii="Times New Roman" w:hAnsi="Times New Roman"/>
          <w:i/>
          <w:sz w:val="20"/>
        </w:rPr>
        <w:t>Series B Base Liquidation Preference</w:t>
      </w:r>
      <w:r>
        <w:rPr>
          <w:rFonts w:ascii="Times New Roman" w:hAnsi="Times New Roman"/>
          <w:sz w:val="20"/>
        </w:rPr>
        <w:t xml:space="preserve">” means a liquidation preference for each Series B Preferred Unit initially equal to $1,000 per unit. </w:t>
      </w:r>
    </w:p>
    <w:p>
      <w:pPr>
        <w:pStyle w:val="TextBody"/>
        <w:bidi w:val="0"/>
        <w:spacing w:before="240" w:after="0"/>
        <w:jc w:val="left"/>
        <w:rPr/>
      </w:pPr>
      <w:r>
        <w:rPr/>
        <w:t>“</w:t>
      </w:r>
      <w:r>
        <w:rPr>
          <w:rFonts w:ascii="Times New Roman" w:hAnsi="Times New Roman"/>
          <w:i/>
          <w:sz w:val="20"/>
        </w:rPr>
        <w:t>Series B Current Criteria</w:t>
      </w:r>
      <w:r>
        <w:rPr>
          <w:rFonts w:ascii="Times New Roman" w:hAnsi="Times New Roman"/>
          <w:sz w:val="20"/>
        </w:rPr>
        <w:t xml:space="preserve">” means the Equity Credit criteria of a Rating Agency for securities such as the Series B Preferred Units, as such criteria were in effect as of the Series B Original Issue Date. </w:t>
      </w:r>
    </w:p>
    <w:p>
      <w:pPr>
        <w:pStyle w:val="TextBody"/>
        <w:bidi w:val="0"/>
        <w:spacing w:before="240" w:after="0"/>
        <w:jc w:val="left"/>
        <w:rPr/>
      </w:pPr>
      <w:r>
        <w:rPr/>
        <w:t>“</w:t>
      </w:r>
      <w:r>
        <w:rPr>
          <w:rFonts w:ascii="Times New Roman" w:hAnsi="Times New Roman"/>
          <w:i/>
          <w:sz w:val="20"/>
        </w:rPr>
        <w:t>Series B Distribution Payment Date</w:t>
      </w:r>
      <w:r>
        <w:rPr>
          <w:rFonts w:ascii="Times New Roman" w:hAnsi="Times New Roman"/>
          <w:sz w:val="20"/>
        </w:rPr>
        <w:t xml:space="preserve">” means (a) during the Series B Fixed Rate Period, the 15th day of each February and August of each year and (b) during the Series B Floating Rate Period, the 15th day of each February, May, August and November of each year;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if any Series B Distribution Payment Date would otherwise occur on a day that is not a Business Day, such Series B Distribution Payment Date shall instead be on the immediately succeeding Business Day. </w:t>
      </w:r>
    </w:p>
    <w:p>
      <w:pPr>
        <w:pStyle w:val="TextBody"/>
        <w:bidi w:val="0"/>
        <w:spacing w:before="240" w:after="0"/>
        <w:jc w:val="left"/>
        <w:rPr/>
      </w:pPr>
      <w:r>
        <w:rPr/>
        <w:t>“</w:t>
      </w:r>
      <w:r>
        <w:rPr>
          <w:rFonts w:ascii="Times New Roman" w:hAnsi="Times New Roman"/>
          <w:i/>
          <w:sz w:val="20"/>
        </w:rPr>
        <w:t>Series B Distribution Period</w:t>
      </w:r>
      <w:r>
        <w:rPr>
          <w:rFonts w:ascii="Times New Roman" w:hAnsi="Times New Roman"/>
          <w:sz w:val="20"/>
        </w:rPr>
        <w:t xml:space="preserve">” means a period of time from and including the preceding Series B Distribution Payment Date, to, but excluding, the next Series B Distribution Payment Date for such Series B Distribution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Series B Distribution Rate</w:t>
      </w:r>
      <w:r>
        <w:rPr>
          <w:rFonts w:ascii="Times New Roman" w:hAnsi="Times New Roman"/>
          <w:sz w:val="20"/>
        </w:rPr>
        <w:t xml:space="preserve">” means an annual rate equal to (a) during the Series B Fixed Rate Period, 6.625% of the Series B Liquidation Preference and (b) during the Series B Floating Rate Period, a percentage of the Series B Liquidation Preference equal to the sum of (i) the Three-Month LIBOR, as calculated on each applicable Series B LIBOR Determination Date, and (ii) 4.155%. </w:t>
      </w:r>
    </w:p>
    <w:p>
      <w:pPr>
        <w:pStyle w:val="TextBody"/>
        <w:bidi w:val="0"/>
        <w:spacing w:before="240" w:after="0"/>
        <w:jc w:val="left"/>
        <w:rPr/>
      </w:pPr>
      <w:r>
        <w:rPr/>
        <w:t>“</w:t>
      </w:r>
      <w:r>
        <w:rPr>
          <w:rFonts w:ascii="Times New Roman" w:hAnsi="Times New Roman"/>
          <w:i/>
          <w:sz w:val="20"/>
        </w:rPr>
        <w:t>Series B Distribution Record Date</w:t>
      </w:r>
      <w:r>
        <w:rPr>
          <w:rFonts w:ascii="Times New Roman" w:hAnsi="Times New Roman"/>
          <w:sz w:val="20"/>
        </w:rPr>
        <w:t xml:space="preserve">” has the meaning given such term in </w:t>
      </w:r>
      <w:r>
        <w:rPr>
          <w:rFonts w:ascii="Times New Roman" w:hAnsi="Times New Roman"/>
          <w:sz w:val="20"/>
          <w:u w:val="single"/>
        </w:rPr>
        <w:t>Section 5.11(b)(ii)(B)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B Distributions</w:t>
      </w:r>
      <w:r>
        <w:rPr>
          <w:rFonts w:ascii="Times New Roman" w:hAnsi="Times New Roman"/>
          <w:sz w:val="20"/>
        </w:rPr>
        <w:t xml:space="preserve">” means distributions with respect to Series B Preferred Units pursuant to </w:t>
      </w:r>
      <w:r>
        <w:rPr>
          <w:rFonts w:ascii="Times New Roman" w:hAnsi="Times New Roman"/>
          <w:sz w:val="20"/>
          <w:u w:val="single"/>
        </w:rPr>
        <w:t>Section 5.11(b)(ii)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B Fixed Rate Period</w:t>
      </w:r>
      <w:r>
        <w:rPr>
          <w:rFonts w:ascii="Times New Roman" w:hAnsi="Times New Roman"/>
          <w:sz w:val="20"/>
        </w:rPr>
        <w:t xml:space="preserve">” means the period from and including April 1, 2021 to, but excluding, February 15, 2028. </w:t>
      </w:r>
    </w:p>
    <w:p>
      <w:pPr>
        <w:pStyle w:val="TextBody"/>
        <w:bidi w:val="0"/>
        <w:spacing w:before="240" w:after="0"/>
        <w:jc w:val="left"/>
        <w:rPr/>
      </w:pPr>
      <w:r>
        <w:rPr/>
        <w:t>“</w:t>
      </w:r>
      <w:r>
        <w:rPr>
          <w:rFonts w:ascii="Times New Roman" w:hAnsi="Times New Roman"/>
          <w:i/>
          <w:sz w:val="20"/>
        </w:rPr>
        <w:t>Series B Floating Rate Period</w:t>
      </w:r>
      <w:r>
        <w:rPr>
          <w:rFonts w:ascii="Times New Roman" w:hAnsi="Times New Roman"/>
          <w:sz w:val="20"/>
        </w:rPr>
        <w:t xml:space="preserve">” means the period from and including February 15, 2028 and thereafter until such time as all of the Outstanding Series B Preferred Units are redeemed in accordance with </w:t>
      </w:r>
      <w:r>
        <w:rPr>
          <w:rFonts w:ascii="Times New Roman" w:hAnsi="Times New Roman"/>
          <w:sz w:val="20"/>
          <w:u w:val="single"/>
        </w:rPr>
        <w:t>Section 5.11(b)(iv)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B Holder</w:t>
      </w:r>
      <w:r>
        <w:rPr>
          <w:rFonts w:ascii="Times New Roman" w:hAnsi="Times New Roman"/>
          <w:sz w:val="20"/>
        </w:rPr>
        <w:t xml:space="preserve">” means a Record Holder of Series B Preferred Units. </w:t>
      </w:r>
    </w:p>
    <w:p>
      <w:pPr>
        <w:pStyle w:val="TextBody"/>
        <w:bidi w:val="0"/>
        <w:spacing w:before="240" w:after="0"/>
        <w:jc w:val="left"/>
        <w:rPr/>
      </w:pPr>
      <w:r>
        <w:rPr/>
        <w:t>“</w:t>
      </w:r>
      <w:r>
        <w:rPr>
          <w:rFonts w:ascii="Times New Roman" w:hAnsi="Times New Roman"/>
          <w:i/>
          <w:sz w:val="20"/>
        </w:rPr>
        <w:t>Series B Junior Securities</w:t>
      </w:r>
      <w:r>
        <w:rPr>
          <w:rFonts w:ascii="Times New Roman" w:hAnsi="Times New Roman"/>
          <w:sz w:val="20"/>
        </w:rPr>
        <w:t xml:space="preserve">” means any class or series of Partnership Securities that, with respect to distributions on such Partnership Securities and distributions upon liquidation of the Partnership, ranks junior to the Series B Preferred Units, including but not limited to Common Units, Class A Units, Class B Units and the General Partner Interest, but excluding any Series B Parity Securities and Series B Senior Securities. </w:t>
      </w:r>
    </w:p>
    <w:p>
      <w:pPr>
        <w:pStyle w:val="TextBody"/>
        <w:bidi w:val="0"/>
        <w:spacing w:before="240" w:after="0"/>
        <w:jc w:val="left"/>
        <w:rPr/>
      </w:pPr>
      <w:r>
        <w:rPr/>
        <w:t>“</w:t>
      </w:r>
      <w:r>
        <w:rPr>
          <w:rFonts w:ascii="Times New Roman" w:hAnsi="Times New Roman"/>
          <w:i/>
          <w:sz w:val="20"/>
        </w:rPr>
        <w:t>Series B LIBOR Determination Date</w:t>
      </w:r>
      <w:r>
        <w:rPr>
          <w:rFonts w:ascii="Times New Roman" w:hAnsi="Times New Roman"/>
          <w:sz w:val="20"/>
        </w:rPr>
        <w:t xml:space="preserve">” means the London Business Day immediately preceding the first day in each relevant Series B Distribution Period. </w:t>
      </w:r>
    </w:p>
    <w:p>
      <w:pPr>
        <w:pStyle w:val="TextBody"/>
        <w:bidi w:val="0"/>
        <w:spacing w:before="240" w:after="0"/>
        <w:jc w:val="left"/>
        <w:rPr/>
      </w:pPr>
      <w:r>
        <w:rPr/>
        <w:t>“</w:t>
      </w:r>
      <w:r>
        <w:rPr>
          <w:rFonts w:ascii="Times New Roman" w:hAnsi="Times New Roman"/>
          <w:i/>
          <w:sz w:val="20"/>
        </w:rPr>
        <w:t>Series B Liquidation Preference</w:t>
      </w:r>
      <w:r>
        <w:rPr>
          <w:rFonts w:ascii="Times New Roman" w:hAnsi="Times New Roman"/>
          <w:sz w:val="20"/>
        </w:rPr>
        <w:t xml:space="preserve">” means a liquidation preference for each Series B Preferred Unit initially equal to $1,000 per unit (subject to adjustment for any splits, combinations or similar adjustments to the Series B Preferred Units), which liquidation preference shall be subject to increase by the per Series B Preferred Unit amount of any accumulated and unpaid Series B Distributions (whether or not such distributions shall have been declared). </w:t>
      </w:r>
    </w:p>
    <w:p>
      <w:pPr>
        <w:pStyle w:val="TextBody"/>
        <w:bidi w:val="0"/>
        <w:spacing w:before="240" w:after="0"/>
        <w:jc w:val="left"/>
        <w:rPr/>
      </w:pPr>
      <w:r>
        <w:rPr/>
        <w:t>“</w:t>
      </w:r>
      <w:r>
        <w:rPr>
          <w:rFonts w:ascii="Times New Roman" w:hAnsi="Times New Roman"/>
          <w:i/>
          <w:sz w:val="20"/>
        </w:rPr>
        <w:t>Series B Original Issue Date</w:t>
      </w:r>
      <w:r>
        <w:rPr>
          <w:rFonts w:ascii="Times New Roman" w:hAnsi="Times New Roman"/>
          <w:sz w:val="20"/>
        </w:rPr>
        <w:t xml:space="preserve">” means November 16, 2017. </w:t>
      </w:r>
    </w:p>
    <w:p>
      <w:pPr>
        <w:pStyle w:val="TextBody"/>
        <w:bidi w:val="0"/>
        <w:spacing w:before="240" w:after="0"/>
        <w:jc w:val="left"/>
        <w:rPr/>
      </w:pPr>
      <w:r>
        <w:rPr/>
        <w:t>“</w:t>
      </w:r>
      <w:r>
        <w:rPr>
          <w:rFonts w:ascii="Times New Roman" w:hAnsi="Times New Roman"/>
          <w:i/>
          <w:sz w:val="20"/>
        </w:rPr>
        <w:t>Series B Parity Securities</w:t>
      </w:r>
      <w:r>
        <w:rPr>
          <w:rFonts w:ascii="Times New Roman" w:hAnsi="Times New Roman"/>
          <w:sz w:val="20"/>
        </w:rPr>
        <w:t xml:space="preserve">” means the Series G Preferred Units, Series H Preferred Units, Series I Preferred Units and any other class or series of Partnership Interests established after April 1, 2021 by the General Partner, the terms of which class or series expressly provide that it ranks on parity with the Series B Preferred Units as to distributions and amounts payable upon a dissolution or liquidation pursuant to </w:t>
      </w:r>
      <w:r>
        <w:rPr>
          <w:rFonts w:ascii="Times New Roman" w:hAnsi="Times New Roman"/>
          <w:sz w:val="20"/>
          <w:u w:val="single"/>
        </w:rPr>
        <w:t>Article XII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B Preferred Units</w:t>
      </w:r>
      <w:r>
        <w:rPr>
          <w:rFonts w:ascii="Times New Roman" w:hAnsi="Times New Roman"/>
          <w:sz w:val="20"/>
        </w:rPr>
        <w:t xml:space="preserve">” has the meaning given such term in </w:t>
      </w:r>
      <w:r>
        <w:rPr>
          <w:rFonts w:ascii="Times New Roman" w:hAnsi="Times New Roman"/>
          <w:sz w:val="20"/>
          <w:u w:val="single"/>
        </w:rPr>
        <w:t>Section 5.11(a)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Series B Rating Event</w:t>
      </w:r>
      <w:r>
        <w:rPr>
          <w:rFonts w:ascii="Times New Roman" w:hAnsi="Times New Roman"/>
          <w:sz w:val="20"/>
        </w:rPr>
        <w:t xml:space="preserve">” means a change by any Rating Agency to the Series B Current Criteria, which change results in (a) any shortening of the length of time for which the Series B Current Criteria are scheduled to be in effect with respect to the Series B Preferred Units or (b) a lower Equity Credit being given to the Series B Preferred Units than the Equity Credit that would have been assigned to the Series B Preferred Units by such Rating Agency pursuant to its Series B Current Criteria. </w:t>
      </w:r>
    </w:p>
    <w:p>
      <w:pPr>
        <w:pStyle w:val="TextBody"/>
        <w:bidi w:val="0"/>
        <w:spacing w:before="240" w:after="0"/>
        <w:jc w:val="left"/>
        <w:rPr/>
      </w:pPr>
      <w:r>
        <w:rPr/>
        <w:t>“</w:t>
      </w:r>
      <w:r>
        <w:rPr>
          <w:rFonts w:ascii="Times New Roman" w:hAnsi="Times New Roman"/>
          <w:i/>
          <w:sz w:val="20"/>
        </w:rPr>
        <w:t>Series B Redemption Date</w:t>
      </w:r>
      <w:r>
        <w:rPr>
          <w:rFonts w:ascii="Times New Roman" w:hAnsi="Times New Roman"/>
          <w:sz w:val="20"/>
        </w:rPr>
        <w:t xml:space="preserve">” has the meaning given such term in </w:t>
      </w:r>
      <w:r>
        <w:rPr>
          <w:rFonts w:ascii="Times New Roman" w:hAnsi="Times New Roman"/>
          <w:sz w:val="20"/>
          <w:u w:val="single"/>
        </w:rPr>
        <w:t>Section 5.11(b)(iv)(A)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B Redemption Notice</w:t>
      </w:r>
      <w:r>
        <w:rPr>
          <w:rFonts w:ascii="Times New Roman" w:hAnsi="Times New Roman"/>
          <w:sz w:val="20"/>
        </w:rPr>
        <w:t xml:space="preserve">” has the meaning given such term in </w:t>
      </w:r>
      <w:r>
        <w:rPr>
          <w:rFonts w:ascii="Times New Roman" w:hAnsi="Times New Roman"/>
          <w:sz w:val="20"/>
          <w:u w:val="single"/>
        </w:rPr>
        <w:t>Section 5.11(b)(iv)(B)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B Redemption Price</w:t>
      </w:r>
      <w:r>
        <w:rPr>
          <w:rFonts w:ascii="Times New Roman" w:hAnsi="Times New Roman"/>
          <w:sz w:val="20"/>
        </w:rPr>
        <w:t xml:space="preserve">” has the meaning given such term in </w:t>
      </w:r>
      <w:r>
        <w:rPr>
          <w:rFonts w:ascii="Times New Roman" w:hAnsi="Times New Roman"/>
          <w:sz w:val="20"/>
          <w:u w:val="single"/>
        </w:rPr>
        <w:t>Section 5.11(b)(iv)(A)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B Senior Securities</w:t>
      </w:r>
      <w:r>
        <w:rPr>
          <w:rFonts w:ascii="Times New Roman" w:hAnsi="Times New Roman"/>
          <w:sz w:val="20"/>
        </w:rPr>
        <w:t xml:space="preserve">” means any class or series of Partnership Interests established after April 1, 2021 by the General Partner, the terms of which class or series expressly provide that it ranks senior to the Series B Preferred Units as to distributions and amounts payable upon a dissolution or liquidation pursuant to </w:t>
      </w:r>
      <w:r>
        <w:rPr>
          <w:rFonts w:ascii="Times New Roman" w:hAnsi="Times New Roman"/>
          <w:sz w:val="20"/>
          <w:u w:val="single"/>
        </w:rPr>
        <w:t>Article XII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G Base Liquidation Preference</w:t>
      </w:r>
      <w:r>
        <w:rPr>
          <w:rFonts w:ascii="Times New Roman" w:hAnsi="Times New Roman"/>
          <w:sz w:val="20"/>
        </w:rPr>
        <w:t xml:space="preserve">” means a liquidation preference for each Series G Preferred Unit initially equal to $1,000.00 per Series G Preferred Unit. </w:t>
      </w:r>
    </w:p>
    <w:p>
      <w:pPr>
        <w:pStyle w:val="TextBody"/>
        <w:bidi w:val="0"/>
        <w:spacing w:before="240" w:after="0"/>
        <w:jc w:val="left"/>
        <w:rPr/>
      </w:pPr>
      <w:r>
        <w:rPr/>
        <w:t>“</w:t>
      </w:r>
      <w:r>
        <w:rPr>
          <w:rFonts w:ascii="Times New Roman" w:hAnsi="Times New Roman"/>
          <w:i/>
          <w:sz w:val="20"/>
        </w:rPr>
        <w:t>Series G Current Criteria</w:t>
      </w:r>
      <w:r>
        <w:rPr>
          <w:rFonts w:ascii="Times New Roman" w:hAnsi="Times New Roman"/>
          <w:sz w:val="20"/>
        </w:rPr>
        <w:t xml:space="preserve">” means the Equity Credit criteria of a Rating Agency for securities such as the Series G Preferred Units, as such criteria were in effect as of the Series G Original Issue Date. </w:t>
      </w:r>
    </w:p>
    <w:p>
      <w:pPr>
        <w:pStyle w:val="TextBody"/>
        <w:bidi w:val="0"/>
        <w:spacing w:before="240" w:after="0"/>
        <w:jc w:val="left"/>
        <w:rPr/>
      </w:pPr>
      <w:r>
        <w:rPr/>
        <w:t>“</w:t>
      </w:r>
      <w:r>
        <w:rPr>
          <w:rFonts w:ascii="Times New Roman" w:hAnsi="Times New Roman"/>
          <w:i/>
          <w:sz w:val="20"/>
        </w:rPr>
        <w:t>Series G Distribution Payment Date</w:t>
      </w:r>
      <w:r>
        <w:rPr>
          <w:rFonts w:ascii="Times New Roman" w:hAnsi="Times New Roman"/>
          <w:sz w:val="20"/>
        </w:rPr>
        <w:t xml:space="preserve">” means the 15th day of each May and November of each year;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if any Series G Distribution Payment Date would otherwise occur on a day that is not a Business Day, such Series G Distribution Payment Date shall instead be on the immediately succeeding Business Day. </w:t>
      </w:r>
    </w:p>
    <w:p>
      <w:pPr>
        <w:pStyle w:val="TextBody"/>
        <w:bidi w:val="0"/>
        <w:spacing w:before="240" w:after="0"/>
        <w:jc w:val="left"/>
        <w:rPr/>
      </w:pPr>
      <w:r>
        <w:rPr/>
        <w:t>“</w:t>
      </w:r>
      <w:r>
        <w:rPr>
          <w:rFonts w:ascii="Times New Roman" w:hAnsi="Times New Roman"/>
          <w:i/>
          <w:sz w:val="20"/>
        </w:rPr>
        <w:t>Series G Distribution Period</w:t>
      </w:r>
      <w:r>
        <w:rPr>
          <w:rFonts w:ascii="Times New Roman" w:hAnsi="Times New Roman"/>
          <w:sz w:val="20"/>
        </w:rPr>
        <w:t xml:space="preserve">” means a period of time from and including the preceding Series G Distribution Payment Date, to, but excluding, the next Series G Distribution Payment Date for such Series G Distribution Period. </w:t>
      </w:r>
    </w:p>
    <w:p>
      <w:pPr>
        <w:pStyle w:val="TextBody"/>
        <w:bidi w:val="0"/>
        <w:spacing w:before="240" w:after="0"/>
        <w:jc w:val="left"/>
        <w:rPr/>
      </w:pPr>
      <w:r>
        <w:rPr/>
        <w:t>“</w:t>
      </w:r>
      <w:r>
        <w:rPr>
          <w:rFonts w:ascii="Times New Roman" w:hAnsi="Times New Roman"/>
          <w:i/>
          <w:sz w:val="20"/>
        </w:rPr>
        <w:t>Series G Distribution Rate</w:t>
      </w:r>
      <w:r>
        <w:rPr>
          <w:rFonts w:ascii="Times New Roman" w:hAnsi="Times New Roman"/>
          <w:sz w:val="20"/>
        </w:rPr>
        <w:t xml:space="preserve">” means an initial distribution rate for the Series G Preferred Units from and including the Series G Original Issue Date to, but excluding, the Series G First Call Date equal to 7.125% per annum of the $1,000.00 liquidation preference per Series G Preferred Unit (equal to $71.25 per Series G Preferred Unit per annum). On and after the Series G First Call Date, the distribution rate on the Series G Preferred Units for each Series G Reset Period will equal for each Series G Preferred Unit a percentage of the $1,000.00 liquidation preference for such Series G Preferred Unit equal to the Series G Five-year U.S. Treasury Rate as of the most recent Series G Reset Distribution Determination Date plus a spread of 5.306% per annum. </w:t>
      </w:r>
    </w:p>
    <w:p>
      <w:pPr>
        <w:pStyle w:val="TextBody"/>
        <w:bidi w:val="0"/>
        <w:spacing w:before="240" w:after="0"/>
        <w:jc w:val="left"/>
        <w:rPr/>
      </w:pPr>
      <w:r>
        <w:rPr/>
        <w:t>“</w:t>
      </w:r>
      <w:r>
        <w:rPr>
          <w:rFonts w:ascii="Times New Roman" w:hAnsi="Times New Roman"/>
          <w:i/>
          <w:sz w:val="20"/>
        </w:rPr>
        <w:t>Series G Distribution Record Date</w:t>
      </w:r>
      <w:r>
        <w:rPr>
          <w:rFonts w:ascii="Times New Roman" w:hAnsi="Times New Roman"/>
          <w:sz w:val="20"/>
        </w:rPr>
        <w:t xml:space="preserve">” has the meaning given such term in </w:t>
      </w:r>
      <w:r>
        <w:rPr>
          <w:rFonts w:ascii="Times New Roman" w:hAnsi="Times New Roman"/>
          <w:sz w:val="20"/>
          <w:u w:val="single"/>
        </w:rPr>
        <w:t>Section 5.12(b)(ii)(B)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G Distributions</w:t>
      </w:r>
      <w:r>
        <w:rPr>
          <w:rFonts w:ascii="Times New Roman" w:hAnsi="Times New Roman"/>
          <w:sz w:val="20"/>
        </w:rPr>
        <w:t xml:space="preserve">” means distributions with respect to Series G Preferred Units pursuant to </w:t>
      </w:r>
      <w:r>
        <w:rPr>
          <w:rFonts w:ascii="Times New Roman" w:hAnsi="Times New Roman"/>
          <w:sz w:val="20"/>
          <w:u w:val="single"/>
        </w:rPr>
        <w:t>Section 5.12(b)(ii)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G First Call Date</w:t>
      </w:r>
      <w:r>
        <w:rPr>
          <w:rFonts w:ascii="Times New Roman" w:hAnsi="Times New Roman"/>
          <w:sz w:val="20"/>
        </w:rPr>
        <w:t xml:space="preserve">” means May 15, 2030.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Series G Five-year U.S. Treasury Rate</w:t>
      </w:r>
      <w:r>
        <w:rPr>
          <w:rFonts w:ascii="Times New Roman" w:hAnsi="Times New Roman"/>
          <w:sz w:val="20"/>
        </w:rPr>
        <w:t>” means, as of any Series G Reset Distribution Determination Date, as applicable, (i) an interest rate (expressed as a decimal) determined to be the per annum rate equal to the arithmetic mean, for the immediately preceding week, of the daily yields to maturity for U.S. Treasury securities with a maturity of five years from the next Series G Reset Date and trading in the public securities markets or (ii) if the H.15(519) is not published during the week preceding the Series G Reset Distribution Determination Date, or does not contain such yields, then the rate will be determined by interpolation between the arithmetic mean, for the immediately preceding week, of the daily yields to maturity for each of the two series of U.S. Treasury securities trading in the public securities markets, (A) one maturing as close as possible to, but earlier than, the Series G Reset Date following the next succeeding Series G Reset Distribution Determination Date, and (B) the other maturity as close as possible to, but later than, the Series G Reset Date following the next succeeding Series G Reset Distribution Determination Date, in each case as published in the most recent H.15(519) under the caption “</w:t>
      </w:r>
      <w:r>
        <w:rPr>
          <w:rFonts w:ascii="Times New Roman" w:hAnsi="Times New Roman"/>
          <w:i/>
          <w:sz w:val="20"/>
        </w:rPr>
        <w:t>Treasury Constant Maturities</w:t>
      </w:r>
      <w:r>
        <w:rPr>
          <w:rFonts w:ascii="Times New Roman" w:hAnsi="Times New Roman"/>
          <w:sz w:val="20"/>
        </w:rPr>
        <w:t xml:space="preserve">” as the yield on actively traded U.S. Treasury securities adjusted to constant maturity. If the Series G Five-year U.S. Treasury Rate cannot be determined pursuant to the methods described in clauses (i) or (ii) above, then the Series G Five-year U.S. Treasury Rate will be the same interest rate determined for the immediately preceding Series G Reset Distribution Determination Date, or if this sentence is applicable with respect to the first Series G Reset Distribution Determination Date, 7.125%. </w:t>
      </w:r>
    </w:p>
    <w:p>
      <w:pPr>
        <w:pStyle w:val="TextBody"/>
        <w:bidi w:val="0"/>
        <w:spacing w:before="240" w:after="0"/>
        <w:jc w:val="left"/>
        <w:rPr/>
      </w:pPr>
      <w:r>
        <w:rPr/>
        <w:t>“</w:t>
      </w:r>
      <w:r>
        <w:rPr>
          <w:rFonts w:ascii="Times New Roman" w:hAnsi="Times New Roman"/>
          <w:i/>
          <w:sz w:val="20"/>
        </w:rPr>
        <w:t>Series G Holder</w:t>
      </w:r>
      <w:r>
        <w:rPr>
          <w:rFonts w:ascii="Times New Roman" w:hAnsi="Times New Roman"/>
          <w:sz w:val="20"/>
        </w:rPr>
        <w:t xml:space="preserve">” means a Record Holder of Series G Preferred Units. </w:t>
      </w:r>
    </w:p>
    <w:p>
      <w:pPr>
        <w:pStyle w:val="TextBody"/>
        <w:bidi w:val="0"/>
        <w:spacing w:before="240" w:after="0"/>
        <w:jc w:val="left"/>
        <w:rPr/>
      </w:pPr>
      <w:r>
        <w:rPr/>
        <w:t>“</w:t>
      </w:r>
      <w:r>
        <w:rPr>
          <w:rFonts w:ascii="Times New Roman" w:hAnsi="Times New Roman"/>
          <w:i/>
          <w:sz w:val="20"/>
        </w:rPr>
        <w:t>Series G Junior Securities</w:t>
      </w:r>
      <w:r>
        <w:rPr>
          <w:rFonts w:ascii="Times New Roman" w:hAnsi="Times New Roman"/>
          <w:sz w:val="20"/>
        </w:rPr>
        <w:t xml:space="preserve">” means any class or series of Partnership Securities that, with respect to distributions on such Partnership Securities and distributions upon liquidation of the Partnership, ranks junior to the Series G Preferred Units, including but not limited to Common Units, Class A Units, Class B Units and the General Partner Interest, but excluding any Series G Parity Securities and Series G Senior Securities. </w:t>
      </w:r>
    </w:p>
    <w:p>
      <w:pPr>
        <w:pStyle w:val="TextBody"/>
        <w:bidi w:val="0"/>
        <w:spacing w:before="240" w:after="0"/>
        <w:jc w:val="left"/>
        <w:rPr/>
      </w:pPr>
      <w:r>
        <w:rPr/>
        <w:t>“</w:t>
      </w:r>
      <w:r>
        <w:rPr>
          <w:rFonts w:ascii="Times New Roman" w:hAnsi="Times New Roman"/>
          <w:i/>
          <w:sz w:val="20"/>
        </w:rPr>
        <w:t>Series G Liquidation Preference</w:t>
      </w:r>
      <w:r>
        <w:rPr>
          <w:rFonts w:ascii="Times New Roman" w:hAnsi="Times New Roman"/>
          <w:sz w:val="20"/>
        </w:rPr>
        <w:t xml:space="preserve">” means a liquidation preference for each Series G Preferred Unit initially equal to $1,000.00 per Series G Preferred Unit (subject to adjustment for any splits, combinations or similar adjustments to the Series G Preferred Units), which liquidation preference shall be subject to increase by the per Series G Preferred Unit amount of any accumulated and unpaid Series G Distributions (whether or not such distributions shall have been declared). </w:t>
      </w:r>
    </w:p>
    <w:p>
      <w:pPr>
        <w:pStyle w:val="TextBody"/>
        <w:bidi w:val="0"/>
        <w:spacing w:before="240" w:after="0"/>
        <w:jc w:val="left"/>
        <w:rPr/>
      </w:pPr>
      <w:r>
        <w:rPr/>
        <w:t>“</w:t>
      </w:r>
      <w:r>
        <w:rPr>
          <w:rFonts w:ascii="Times New Roman" w:hAnsi="Times New Roman"/>
          <w:i/>
          <w:sz w:val="20"/>
        </w:rPr>
        <w:t>Series G Original Issue Date</w:t>
      </w:r>
      <w:r>
        <w:rPr>
          <w:rFonts w:ascii="Times New Roman" w:hAnsi="Times New Roman"/>
          <w:sz w:val="20"/>
        </w:rPr>
        <w:t xml:space="preserve">” means January 22, 2020. </w:t>
      </w:r>
    </w:p>
    <w:p>
      <w:pPr>
        <w:pStyle w:val="TextBody"/>
        <w:bidi w:val="0"/>
        <w:spacing w:before="240" w:after="0"/>
        <w:jc w:val="left"/>
        <w:rPr/>
      </w:pPr>
      <w:r>
        <w:rPr/>
        <w:t>“</w:t>
      </w:r>
      <w:r>
        <w:rPr>
          <w:rFonts w:ascii="Times New Roman" w:hAnsi="Times New Roman"/>
          <w:i/>
          <w:sz w:val="20"/>
        </w:rPr>
        <w:t>Series G Parity Securities</w:t>
      </w:r>
      <w:r>
        <w:rPr>
          <w:rFonts w:ascii="Times New Roman" w:hAnsi="Times New Roman"/>
          <w:sz w:val="20"/>
        </w:rPr>
        <w:t xml:space="preserve">” means the Series B Preferred Units, Series H Preferred Units, Series I Preferred Units and any other class or series of Partnership Interests established after April 1, 2021 by the General Partner, the terms of which class or series expressly provide that it ranks on parity with the Series G Preferred Units as to distributions and amounts payable upon a dissolution or liquidation pursuant to </w:t>
      </w:r>
      <w:r>
        <w:rPr>
          <w:rFonts w:ascii="Times New Roman" w:hAnsi="Times New Roman"/>
          <w:sz w:val="20"/>
          <w:u w:val="single"/>
        </w:rPr>
        <w:t>Article XII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G Preferred Units</w:t>
      </w:r>
      <w:r>
        <w:rPr>
          <w:rFonts w:ascii="Times New Roman" w:hAnsi="Times New Roman"/>
          <w:sz w:val="20"/>
        </w:rPr>
        <w:t xml:space="preserve">” has the meaning given such term in </w:t>
      </w:r>
      <w:r>
        <w:rPr>
          <w:rFonts w:ascii="Times New Roman" w:hAnsi="Times New Roman"/>
          <w:sz w:val="20"/>
          <w:u w:val="single"/>
        </w:rPr>
        <w:t>Section 5.12(a)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Series G Rating Event</w:t>
      </w:r>
      <w:r>
        <w:rPr>
          <w:rFonts w:ascii="Times New Roman" w:hAnsi="Times New Roman"/>
          <w:sz w:val="20"/>
        </w:rPr>
        <w:t xml:space="preserve">” means a change by any Rating Agency to the Series G Current Criteria, which change results in (a) any shortening of the length of time for which the Series G Current Criteria are scheduled to be in effect with respect to the Series G Preferred Units or (b) a lower Equity Credit being given to the Series G Preferred Units than the Equity Credit that would have been assigned to the Series G Preferred Units by such Rating Agency pursuant to its Series G Current Criteria. </w:t>
      </w:r>
    </w:p>
    <w:p>
      <w:pPr>
        <w:pStyle w:val="TextBody"/>
        <w:bidi w:val="0"/>
        <w:spacing w:before="240" w:after="0"/>
        <w:jc w:val="left"/>
        <w:rPr/>
      </w:pPr>
      <w:r>
        <w:rPr/>
        <w:t>“</w:t>
      </w:r>
      <w:r>
        <w:rPr>
          <w:rFonts w:ascii="Times New Roman" w:hAnsi="Times New Roman"/>
          <w:i/>
          <w:sz w:val="20"/>
        </w:rPr>
        <w:t>Series G Redemption Date</w:t>
      </w:r>
      <w:r>
        <w:rPr>
          <w:rFonts w:ascii="Times New Roman" w:hAnsi="Times New Roman"/>
          <w:sz w:val="20"/>
        </w:rPr>
        <w:t xml:space="preserve">” has the meaning given such term in </w:t>
      </w:r>
      <w:r>
        <w:rPr>
          <w:rFonts w:ascii="Times New Roman" w:hAnsi="Times New Roman"/>
          <w:sz w:val="20"/>
          <w:u w:val="single"/>
        </w:rPr>
        <w:t>Section 5.12(b)(iv)(A)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G Redemption Notice</w:t>
      </w:r>
      <w:r>
        <w:rPr>
          <w:rFonts w:ascii="Times New Roman" w:hAnsi="Times New Roman"/>
          <w:sz w:val="20"/>
        </w:rPr>
        <w:t xml:space="preserve">” has the meaning given such term in </w:t>
      </w:r>
      <w:r>
        <w:rPr>
          <w:rFonts w:ascii="Times New Roman" w:hAnsi="Times New Roman"/>
          <w:sz w:val="20"/>
          <w:u w:val="single"/>
        </w:rPr>
        <w:t>Section 5.12(b)(iv)(B)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G Redemption Price</w:t>
      </w:r>
      <w:r>
        <w:rPr>
          <w:rFonts w:ascii="Times New Roman" w:hAnsi="Times New Roman"/>
          <w:sz w:val="20"/>
        </w:rPr>
        <w:t xml:space="preserve">” has the meaning given such term in </w:t>
      </w:r>
      <w:r>
        <w:rPr>
          <w:rFonts w:ascii="Times New Roman" w:hAnsi="Times New Roman"/>
          <w:sz w:val="20"/>
          <w:u w:val="single"/>
        </w:rPr>
        <w:t>Section 5.12(b)(iv)(A)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G Reset Date</w:t>
      </w:r>
      <w:r>
        <w:rPr>
          <w:rFonts w:ascii="Times New Roman" w:hAnsi="Times New Roman"/>
          <w:sz w:val="20"/>
        </w:rPr>
        <w:t xml:space="preserve">” means the Series G First Call Date and each date falling on the fifth anniversary of the preceding Series G Reset Date. </w:t>
      </w:r>
    </w:p>
    <w:p>
      <w:pPr>
        <w:pStyle w:val="TextBody"/>
        <w:bidi w:val="0"/>
        <w:spacing w:before="240" w:after="0"/>
        <w:jc w:val="left"/>
        <w:rPr/>
      </w:pPr>
      <w:r>
        <w:rPr/>
        <w:t>“</w:t>
      </w:r>
      <w:r>
        <w:rPr>
          <w:rFonts w:ascii="Times New Roman" w:hAnsi="Times New Roman"/>
          <w:i/>
          <w:sz w:val="20"/>
        </w:rPr>
        <w:t>Series G Reset Distribution Determination Date</w:t>
      </w:r>
      <w:r>
        <w:rPr>
          <w:rFonts w:ascii="Times New Roman" w:hAnsi="Times New Roman"/>
          <w:sz w:val="20"/>
        </w:rPr>
        <w:t xml:space="preserve">” means, in respect of any Series G Reset Period, the day falling two Business Days prior to the beginning of such Series G Reset Period. </w:t>
      </w:r>
    </w:p>
    <w:p>
      <w:pPr>
        <w:pStyle w:val="TextBody"/>
        <w:bidi w:val="0"/>
        <w:spacing w:before="240" w:after="0"/>
        <w:jc w:val="left"/>
        <w:rPr/>
      </w:pPr>
      <w:r>
        <w:rPr/>
        <w:t>“</w:t>
      </w:r>
      <w:r>
        <w:rPr>
          <w:rFonts w:ascii="Times New Roman" w:hAnsi="Times New Roman"/>
          <w:i/>
          <w:sz w:val="20"/>
        </w:rPr>
        <w:t>Series G Reset Period</w:t>
      </w:r>
      <w:r>
        <w:rPr>
          <w:rFonts w:ascii="Times New Roman" w:hAnsi="Times New Roman"/>
          <w:sz w:val="20"/>
        </w:rPr>
        <w:t xml:space="preserve">” means the period from and including the Series G First Call Date to, but excluding, the next following Series G Reset Date and thereafter each period from and including each Series G Reset Date to, but excluding, the next following Series G Reset Date, until such time as all of the Outstanding Series G Preferred Units are redeemed in accordance with </w:t>
      </w:r>
      <w:r>
        <w:rPr>
          <w:rFonts w:ascii="Times New Roman" w:hAnsi="Times New Roman"/>
          <w:sz w:val="20"/>
          <w:u w:val="single"/>
        </w:rPr>
        <w:t>Section 5.12(b)(iv)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G Senior Securities</w:t>
      </w:r>
      <w:r>
        <w:rPr>
          <w:rFonts w:ascii="Times New Roman" w:hAnsi="Times New Roman"/>
          <w:sz w:val="20"/>
        </w:rPr>
        <w:t xml:space="preserve">” means any class or series of Partnership Interests established after April 1, 2021 by the General Partner, the terms of which class or series expressly provide that it ranks senior to the Series G Preferred Units as to distributions and amounts payable upon a dissolution or liquidation pursuant to </w:t>
      </w:r>
      <w:r>
        <w:rPr>
          <w:rFonts w:ascii="Times New Roman" w:hAnsi="Times New Roman"/>
          <w:sz w:val="20"/>
          <w:u w:val="single"/>
        </w:rPr>
        <w:t>Article XII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H Base Liquidation Preference</w:t>
      </w:r>
      <w:r>
        <w:rPr>
          <w:rFonts w:ascii="Times New Roman" w:hAnsi="Times New Roman"/>
          <w:sz w:val="20"/>
        </w:rPr>
        <w:t xml:space="preserve">” means a liquidation preference for each Series H Preferred Unit initially equal to $1,000.00 per Series H Preferred Unit. </w:t>
      </w:r>
    </w:p>
    <w:p>
      <w:pPr>
        <w:pStyle w:val="TextBody"/>
        <w:bidi w:val="0"/>
        <w:spacing w:before="240" w:after="0"/>
        <w:jc w:val="left"/>
        <w:rPr/>
      </w:pPr>
      <w:r>
        <w:rPr/>
        <w:t>“</w:t>
      </w:r>
      <w:r>
        <w:rPr>
          <w:rFonts w:ascii="Times New Roman" w:hAnsi="Times New Roman"/>
          <w:i/>
          <w:sz w:val="20"/>
        </w:rPr>
        <w:t>Series H Current Criteria</w:t>
      </w:r>
      <w:r>
        <w:rPr>
          <w:rFonts w:ascii="Times New Roman" w:hAnsi="Times New Roman"/>
          <w:sz w:val="20"/>
        </w:rPr>
        <w:t xml:space="preserve">” means the Equity Credit criteria of a Rating Agency for securities such as the Series H Preferred Units, as such criteria were in effect as of the Series H Original Issue Date. </w:t>
      </w:r>
    </w:p>
    <w:p>
      <w:pPr>
        <w:pStyle w:val="TextBody"/>
        <w:bidi w:val="0"/>
        <w:spacing w:before="240" w:after="0"/>
        <w:jc w:val="left"/>
        <w:rPr/>
      </w:pPr>
      <w:r>
        <w:rPr/>
        <w:t>“</w:t>
      </w:r>
      <w:r>
        <w:rPr>
          <w:rFonts w:ascii="Times New Roman" w:hAnsi="Times New Roman"/>
          <w:i/>
          <w:sz w:val="20"/>
        </w:rPr>
        <w:t>Series H Distribution Payment Date</w:t>
      </w:r>
      <w:r>
        <w:rPr>
          <w:rFonts w:ascii="Times New Roman" w:hAnsi="Times New Roman"/>
          <w:sz w:val="20"/>
        </w:rPr>
        <w:t xml:space="preserve">” means the 15th day of each May and November of each year (except that the Series H Distribution Payment Date for the initial Series H Distribution Period shall be November 15, 2021);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if any Series H Distribution Payment Date would otherwise occur on a day that is not a Business Day, such Series H Distribution Payment Date shall instead be on the immediately succeeding Business Day. </w:t>
      </w:r>
    </w:p>
    <w:p>
      <w:pPr>
        <w:pStyle w:val="TextBody"/>
        <w:bidi w:val="0"/>
        <w:spacing w:before="240" w:after="0"/>
        <w:jc w:val="left"/>
        <w:rPr/>
      </w:pPr>
      <w:r>
        <w:rPr/>
        <w:t>“</w:t>
      </w:r>
      <w:r>
        <w:rPr>
          <w:rFonts w:ascii="Times New Roman" w:hAnsi="Times New Roman"/>
          <w:i/>
          <w:sz w:val="20"/>
        </w:rPr>
        <w:t>Series H Distribution Period</w:t>
      </w:r>
      <w:r>
        <w:rPr>
          <w:rFonts w:ascii="Times New Roman" w:hAnsi="Times New Roman"/>
          <w:sz w:val="20"/>
        </w:rPr>
        <w:t xml:space="preserve">” means a period of time from and including the preceding Series H Distribution Payment Date (other than the initial Series H Distribution Period, which shall commence on and include the Series H Original Issue Date), to, but excluding, the next Series H Distribution Payment Date for such Series H Distribution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Series H Distribution Rate</w:t>
      </w:r>
      <w:r>
        <w:rPr>
          <w:rFonts w:ascii="Times New Roman" w:hAnsi="Times New Roman"/>
          <w:sz w:val="20"/>
        </w:rPr>
        <w:t xml:space="preserve">” means an initial distribution rate for the Series H Preferred Units from and including the Series H Original Issue Date to, but excluding, the Series H First Reset Date equal to 6.500% per annum of the $1,000.00 liquidation preference per Series H Preferred Unit (equal to $65.00 per Series H Preferred Unit per annum). On and after the Series H First Reset Date, the distribution rate on the Series H Preferred Units for each Series H Reset Period will equal for each Series H Preferred Unit a percentage of the $1,000.00 liquidation preference for such Series H Preferred Unit equal to the Series H Five-year U.S. Treasury Rate as of the most recent Series H Reset Distribution Determination Date plus a spread of 5.694% per annum. </w:t>
      </w:r>
    </w:p>
    <w:p>
      <w:pPr>
        <w:pStyle w:val="TextBody"/>
        <w:bidi w:val="0"/>
        <w:spacing w:before="240" w:after="0"/>
        <w:jc w:val="left"/>
        <w:rPr/>
      </w:pPr>
      <w:r>
        <w:rPr/>
        <w:t>“</w:t>
      </w:r>
      <w:r>
        <w:rPr>
          <w:rFonts w:ascii="Times New Roman" w:hAnsi="Times New Roman"/>
          <w:i/>
          <w:sz w:val="20"/>
        </w:rPr>
        <w:t>Series H Distribution Record Date</w:t>
      </w:r>
      <w:r>
        <w:rPr>
          <w:rFonts w:ascii="Times New Roman" w:hAnsi="Times New Roman"/>
          <w:sz w:val="20"/>
        </w:rPr>
        <w:t xml:space="preserve">” has the meaning given such term in </w:t>
      </w:r>
      <w:r>
        <w:rPr>
          <w:rFonts w:ascii="Times New Roman" w:hAnsi="Times New Roman"/>
          <w:sz w:val="20"/>
          <w:u w:val="single"/>
        </w:rPr>
        <w:t>Section 5.14(b)(ii)(B)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H Distributions</w:t>
      </w:r>
      <w:r>
        <w:rPr>
          <w:rFonts w:ascii="Times New Roman" w:hAnsi="Times New Roman"/>
          <w:sz w:val="20"/>
        </w:rPr>
        <w:t xml:space="preserve">” means distributions with respect to Series H Preferred Units pursuant to </w:t>
      </w:r>
      <w:r>
        <w:rPr>
          <w:rFonts w:ascii="Times New Roman" w:hAnsi="Times New Roman"/>
          <w:sz w:val="20"/>
          <w:u w:val="single"/>
        </w:rPr>
        <w:t>Section 5.14(b)(ii)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H First Reset Date</w:t>
      </w:r>
      <w:r>
        <w:rPr>
          <w:rFonts w:ascii="Times New Roman" w:hAnsi="Times New Roman"/>
          <w:sz w:val="20"/>
        </w:rPr>
        <w:t xml:space="preserve">” means November 15, 2026. </w:t>
      </w:r>
    </w:p>
    <w:p>
      <w:pPr>
        <w:pStyle w:val="TextBody"/>
        <w:bidi w:val="0"/>
        <w:spacing w:before="240" w:after="0"/>
        <w:jc w:val="left"/>
        <w:rPr/>
      </w:pPr>
      <w:r>
        <w:rPr/>
        <w:t>“</w:t>
      </w:r>
      <w:r>
        <w:rPr>
          <w:rFonts w:ascii="Times New Roman" w:hAnsi="Times New Roman"/>
          <w:i/>
          <w:sz w:val="20"/>
        </w:rPr>
        <w:t>Series H Five-year U.S. Treasury Rate</w:t>
      </w:r>
      <w:r>
        <w:rPr>
          <w:rFonts w:ascii="Times New Roman" w:hAnsi="Times New Roman"/>
          <w:sz w:val="20"/>
        </w:rPr>
        <w:t>” means, as of any Series H Reset Distribution Determination Date, the average of the yields on actively traded United States Treasury securities adjusted to constant maturity, for five-year maturities, for the most recent five business days appearing under the caption “</w:t>
      </w:r>
      <w:r>
        <w:rPr>
          <w:rFonts w:ascii="Times New Roman" w:hAnsi="Times New Roman"/>
          <w:i/>
          <w:sz w:val="20"/>
        </w:rPr>
        <w:t>Treasury Constant Maturities</w:t>
      </w:r>
      <w:r>
        <w:rPr>
          <w:rFonts w:ascii="Times New Roman" w:hAnsi="Times New Roman"/>
          <w:sz w:val="20"/>
        </w:rPr>
        <w:t xml:space="preserve">” in the most recent H.15. If the Series H Five-year U.S. Treasury Rate cannot be determined pursuant to the method described above, the Calculation Agent, after consulting such sources as it deems comparable to any of the foregoing calculations, or any such source as it deems reasonable from which to estimate the Series H Five-year U.S. Treasury Rate, will determine the Series H Five-year U.S. Treasury Rate in its sole discretion, </w:t>
      </w:r>
      <w:r>
        <w:rPr>
          <w:rFonts w:ascii="Times New Roman" w:hAnsi="Times New Roman"/>
          <w:sz w:val="20"/>
          <w:u w:val="single"/>
        </w:rPr>
        <w:t xml:space="preserve">provided </w:t>
      </w:r>
      <w:r>
        <w:rPr>
          <w:rFonts w:ascii="Times New Roman" w:hAnsi="Times New Roman"/>
          <w:sz w:val="20"/>
        </w:rPr>
        <w:t xml:space="preserve">that if the Calculation Agent determines there is an industry-accepted successor Series H Five-year U.S. Treasury Rate, then the Calculation Agent will use such successor rate. If the Calculation Agent has determined a substitute or successor base rate in accordance with the foregoing, the Calculation Agent in its sole discretion may determine the business day convention and the Series H Reset Distribution Determination Date to be used and any other relevant methodology for calculating such substitute or successor base rate, including any adjustment factor needed to make such substitute or successor base rate comparable to the Series H Five-year U.S. Treasury Rate, in a manner that is consistent with industry-accepted practices for such substitute or successor base rate. </w:t>
      </w:r>
    </w:p>
    <w:p>
      <w:pPr>
        <w:pStyle w:val="TextBody"/>
        <w:bidi w:val="0"/>
        <w:spacing w:before="240" w:after="0"/>
        <w:jc w:val="left"/>
        <w:rPr/>
      </w:pPr>
      <w:r>
        <w:rPr/>
        <w:t>“</w:t>
      </w:r>
      <w:r>
        <w:rPr>
          <w:rFonts w:ascii="Times New Roman" w:hAnsi="Times New Roman"/>
          <w:i/>
          <w:sz w:val="20"/>
        </w:rPr>
        <w:t>Series H Holder</w:t>
      </w:r>
      <w:r>
        <w:rPr>
          <w:rFonts w:ascii="Times New Roman" w:hAnsi="Times New Roman"/>
          <w:sz w:val="20"/>
        </w:rPr>
        <w:t xml:space="preserve">” means a Record Holder of Series H Preferred Units. </w:t>
      </w:r>
    </w:p>
    <w:p>
      <w:pPr>
        <w:pStyle w:val="TextBody"/>
        <w:bidi w:val="0"/>
        <w:spacing w:before="240" w:after="0"/>
        <w:jc w:val="left"/>
        <w:rPr/>
      </w:pPr>
      <w:r>
        <w:rPr/>
        <w:t>“</w:t>
      </w:r>
      <w:r>
        <w:rPr>
          <w:rFonts w:ascii="Times New Roman" w:hAnsi="Times New Roman"/>
          <w:i/>
          <w:sz w:val="20"/>
        </w:rPr>
        <w:t>Series H Junior Securities</w:t>
      </w:r>
      <w:r>
        <w:rPr>
          <w:rFonts w:ascii="Times New Roman" w:hAnsi="Times New Roman"/>
          <w:sz w:val="20"/>
        </w:rPr>
        <w:t xml:space="preserve">” means any class or series of Partnership Securities that, with respect to distributions on such Partnership Securities and distributions upon liquidation of the Partnership, ranks junior to the Series H Preferred Units, including but not limited to Common Units, Class A Units, Class B Units and the General Partner Interest, but excluding any Series H Parity Securities and Series H Senior Securities. </w:t>
      </w:r>
    </w:p>
    <w:p>
      <w:pPr>
        <w:pStyle w:val="TextBody"/>
        <w:bidi w:val="0"/>
        <w:spacing w:before="240" w:after="0"/>
        <w:jc w:val="left"/>
        <w:rPr/>
      </w:pPr>
      <w:r>
        <w:rPr/>
        <w:t>“</w:t>
      </w:r>
      <w:r>
        <w:rPr>
          <w:rFonts w:ascii="Times New Roman" w:hAnsi="Times New Roman"/>
          <w:i/>
          <w:sz w:val="20"/>
        </w:rPr>
        <w:t>Series H Liquidation Preference</w:t>
      </w:r>
      <w:r>
        <w:rPr>
          <w:rFonts w:ascii="Times New Roman" w:hAnsi="Times New Roman"/>
          <w:sz w:val="20"/>
        </w:rPr>
        <w:t xml:space="preserve">” means a liquidation preference for each Series H Preferred Unit initially equal to $1,000.00 per Series H Preferred Unit (subject to adjustment for any splits, combinations or similar adjustments to the Series H Preferred Units), which liquidation preference shall be subject to increase by the per Series H Preferred Unit amount of any accumulated and unpaid Series H Distributions (whether or not such distributions shall have been declared).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Series H Original Issue Date</w:t>
      </w:r>
      <w:r>
        <w:rPr>
          <w:rFonts w:ascii="Times New Roman" w:hAnsi="Times New Roman"/>
          <w:sz w:val="20"/>
        </w:rPr>
        <w:t xml:space="preserve">” means June 15, 2021. </w:t>
      </w:r>
    </w:p>
    <w:p>
      <w:pPr>
        <w:pStyle w:val="TextBody"/>
        <w:bidi w:val="0"/>
        <w:spacing w:before="240" w:after="0"/>
        <w:jc w:val="left"/>
        <w:rPr/>
      </w:pPr>
      <w:r>
        <w:rPr/>
        <w:t>“</w:t>
      </w:r>
      <w:r>
        <w:rPr>
          <w:rFonts w:ascii="Times New Roman" w:hAnsi="Times New Roman"/>
          <w:i/>
          <w:sz w:val="20"/>
        </w:rPr>
        <w:t>Series H Parity Securities</w:t>
      </w:r>
      <w:r>
        <w:rPr>
          <w:rFonts w:ascii="Times New Roman" w:hAnsi="Times New Roman"/>
          <w:sz w:val="20"/>
        </w:rPr>
        <w:t xml:space="preserve">” means the Series B Preferred Units, Series G Preferred Units and any other class or series of Partnership Interests established after the Series H Original Issue Date by the General Partner, the terms of which class or series expressly provide that it ranks on parity with the Series H Preferred Units as to distributions and amounts payable upon a dissolution or liquidation pursuant to </w:t>
      </w:r>
      <w:r>
        <w:rPr>
          <w:rFonts w:ascii="Times New Roman" w:hAnsi="Times New Roman"/>
          <w:sz w:val="20"/>
          <w:u w:val="single"/>
        </w:rPr>
        <w:t>Article XII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H Preferred Units</w:t>
      </w:r>
      <w:r>
        <w:rPr>
          <w:rFonts w:ascii="Times New Roman" w:hAnsi="Times New Roman"/>
          <w:sz w:val="20"/>
        </w:rPr>
        <w:t xml:space="preserve">” has the meaning given such term in </w:t>
      </w:r>
      <w:r>
        <w:rPr>
          <w:rFonts w:ascii="Times New Roman" w:hAnsi="Times New Roman"/>
          <w:sz w:val="20"/>
          <w:u w:val="single"/>
        </w:rPr>
        <w:t>Section 5.14(a)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H Rating Event</w:t>
      </w:r>
      <w:r>
        <w:rPr>
          <w:rFonts w:ascii="Times New Roman" w:hAnsi="Times New Roman"/>
          <w:sz w:val="20"/>
        </w:rPr>
        <w:t xml:space="preserve">” means a change by any Rating Agency to the Series H Current Criteria, which change results in (a) any shortening of the length of time for which the Series H Current Criteria are scheduled to be in effect with respect to the Series H Preferred Units or (b) a lower Equity Credit being given to the Series H Preferred Units than the Equity Credit that would have been assigned to the Series H Preferred Units by such Rating Agency pursuant to its Series H Current Criteria. </w:t>
      </w:r>
    </w:p>
    <w:p>
      <w:pPr>
        <w:pStyle w:val="TextBody"/>
        <w:bidi w:val="0"/>
        <w:spacing w:before="240" w:after="0"/>
        <w:jc w:val="left"/>
        <w:rPr/>
      </w:pPr>
      <w:r>
        <w:rPr/>
        <w:t>“</w:t>
      </w:r>
      <w:r>
        <w:rPr>
          <w:rFonts w:ascii="Times New Roman" w:hAnsi="Times New Roman"/>
          <w:i/>
          <w:sz w:val="20"/>
        </w:rPr>
        <w:t>Series H Redemption Date</w:t>
      </w:r>
      <w:r>
        <w:rPr>
          <w:rFonts w:ascii="Times New Roman" w:hAnsi="Times New Roman"/>
          <w:sz w:val="20"/>
        </w:rPr>
        <w:t xml:space="preserve">” has the meaning given such term in </w:t>
      </w:r>
      <w:r>
        <w:rPr>
          <w:rFonts w:ascii="Times New Roman" w:hAnsi="Times New Roman"/>
          <w:sz w:val="20"/>
          <w:u w:val="single"/>
        </w:rPr>
        <w:t>Section 5.14(b)(iv)(A)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H Redemption Notice</w:t>
      </w:r>
      <w:r>
        <w:rPr>
          <w:rFonts w:ascii="Times New Roman" w:hAnsi="Times New Roman"/>
          <w:sz w:val="20"/>
        </w:rPr>
        <w:t xml:space="preserve">” has the meaning given such term in </w:t>
      </w:r>
      <w:r>
        <w:rPr>
          <w:rFonts w:ascii="Times New Roman" w:hAnsi="Times New Roman"/>
          <w:sz w:val="20"/>
          <w:u w:val="single"/>
        </w:rPr>
        <w:t>Section 5.14(b)(iv)(B)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H Redemption Period</w:t>
      </w:r>
      <w:r>
        <w:rPr>
          <w:rFonts w:ascii="Times New Roman" w:hAnsi="Times New Roman"/>
          <w:sz w:val="20"/>
        </w:rPr>
        <w:t xml:space="preserve">” means any period from and including the August 15 immediately preceding a Series H Reset Date through and including such Series H Reset Date. </w:t>
      </w:r>
    </w:p>
    <w:p>
      <w:pPr>
        <w:pStyle w:val="TextBody"/>
        <w:bidi w:val="0"/>
        <w:spacing w:before="240" w:after="0"/>
        <w:jc w:val="left"/>
        <w:rPr/>
      </w:pPr>
      <w:r>
        <w:rPr/>
        <w:t>“</w:t>
      </w:r>
      <w:r>
        <w:rPr>
          <w:rFonts w:ascii="Times New Roman" w:hAnsi="Times New Roman"/>
          <w:i/>
          <w:sz w:val="20"/>
        </w:rPr>
        <w:t>Series H Redemption Price</w:t>
      </w:r>
      <w:r>
        <w:rPr>
          <w:rFonts w:ascii="Times New Roman" w:hAnsi="Times New Roman"/>
          <w:sz w:val="20"/>
        </w:rPr>
        <w:t xml:space="preserve">” has the meaning given such term in </w:t>
      </w:r>
      <w:r>
        <w:rPr>
          <w:rFonts w:ascii="Times New Roman" w:hAnsi="Times New Roman"/>
          <w:sz w:val="20"/>
          <w:u w:val="single"/>
        </w:rPr>
        <w:t>Section 5.14(b)(iv)(A)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H Reset Date</w:t>
      </w:r>
      <w:r>
        <w:rPr>
          <w:rFonts w:ascii="Times New Roman" w:hAnsi="Times New Roman"/>
          <w:sz w:val="20"/>
        </w:rPr>
        <w:t xml:space="preserve">” means the Series H First Reset Date and each date falling on the fifth anniversary of the preceding Series H Reset Date. </w:t>
      </w:r>
    </w:p>
    <w:p>
      <w:pPr>
        <w:pStyle w:val="TextBody"/>
        <w:bidi w:val="0"/>
        <w:spacing w:before="240" w:after="0"/>
        <w:jc w:val="left"/>
        <w:rPr/>
      </w:pPr>
      <w:r>
        <w:rPr/>
        <w:t>“</w:t>
      </w:r>
      <w:r>
        <w:rPr>
          <w:rFonts w:ascii="Times New Roman" w:hAnsi="Times New Roman"/>
          <w:i/>
          <w:sz w:val="20"/>
        </w:rPr>
        <w:t>Series H Reset Distribution Determination Date</w:t>
      </w:r>
      <w:r>
        <w:rPr>
          <w:rFonts w:ascii="Times New Roman" w:hAnsi="Times New Roman"/>
          <w:sz w:val="20"/>
        </w:rPr>
        <w:t xml:space="preserve">” means, in respect of any Series H Reset Period, the day falling two Business Days prior to the beginning of such Series H Reset Period. </w:t>
      </w:r>
    </w:p>
    <w:p>
      <w:pPr>
        <w:pStyle w:val="TextBody"/>
        <w:bidi w:val="0"/>
        <w:spacing w:before="240" w:after="0"/>
        <w:jc w:val="left"/>
        <w:rPr/>
      </w:pPr>
      <w:r>
        <w:rPr/>
        <w:t>“</w:t>
      </w:r>
      <w:r>
        <w:rPr>
          <w:rFonts w:ascii="Times New Roman" w:hAnsi="Times New Roman"/>
          <w:i/>
          <w:sz w:val="20"/>
        </w:rPr>
        <w:t>Series H Reset Period</w:t>
      </w:r>
      <w:r>
        <w:rPr>
          <w:rFonts w:ascii="Times New Roman" w:hAnsi="Times New Roman"/>
          <w:sz w:val="20"/>
        </w:rPr>
        <w:t xml:space="preserve">” means the period from and including the Series H First Reset Date to, but excluding, the next following Series H Reset Date and thereafter each period from and including each Series H Reset Date to, but excluding, the next following Series H Reset Date, until such time as all of the Outstanding Series H Preferred Units are redeemed in accordance with </w:t>
      </w:r>
      <w:r>
        <w:rPr>
          <w:rFonts w:ascii="Times New Roman" w:hAnsi="Times New Roman"/>
          <w:sz w:val="20"/>
          <w:u w:val="single"/>
        </w:rPr>
        <w:t>Section 5.14(b)(iv)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H Senior Securities</w:t>
      </w:r>
      <w:r>
        <w:rPr>
          <w:rFonts w:ascii="Times New Roman" w:hAnsi="Times New Roman"/>
          <w:sz w:val="20"/>
        </w:rPr>
        <w:t xml:space="preserve">” means any class or series of Partnership Interests established after the Series H Original Issue Date by the General Partner, the terms of which class or series expressly provide that it ranks senior to the Series H Preferred Units as to distributions and amounts payable upon a dissolution or liquidation pursuant to </w:t>
      </w:r>
      <w:r>
        <w:rPr>
          <w:rFonts w:ascii="Times New Roman" w:hAnsi="Times New Roman"/>
          <w:sz w:val="20"/>
          <w:u w:val="single"/>
        </w:rPr>
        <w:t>Article XII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I Base Liquidation Preference</w:t>
      </w:r>
      <w:r>
        <w:rPr>
          <w:rFonts w:ascii="Times New Roman" w:hAnsi="Times New Roman"/>
          <w:sz w:val="20"/>
        </w:rPr>
        <w:t xml:space="preserve">” means a liquidation preference for each Series I Preferred Unit initially equal to $9.1273 per Series I Preferred Unit.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Series I Cash COC Conversion Premium</w:t>
      </w:r>
      <w:r>
        <w:rPr>
          <w:rFonts w:ascii="Times New Roman" w:hAnsi="Times New Roman"/>
          <w:sz w:val="20"/>
        </w:rPr>
        <w:t xml:space="preserve">” means 101%. </w:t>
      </w:r>
    </w:p>
    <w:p>
      <w:pPr>
        <w:pStyle w:val="TextBody"/>
        <w:bidi w:val="0"/>
        <w:spacing w:before="240" w:after="0"/>
        <w:jc w:val="left"/>
        <w:rPr/>
      </w:pPr>
      <w:r>
        <w:rPr/>
        <w:t>“</w:t>
      </w:r>
      <w:r>
        <w:rPr>
          <w:rFonts w:ascii="Times New Roman" w:hAnsi="Times New Roman"/>
          <w:i/>
          <w:sz w:val="20"/>
        </w:rPr>
        <w:t>Series I Cash COC Event</w:t>
      </w:r>
      <w:r>
        <w:rPr>
          <w:rFonts w:ascii="Times New Roman" w:hAnsi="Times New Roman"/>
          <w:sz w:val="20"/>
        </w:rPr>
        <w:t xml:space="preserve">” means any transaction pursuant to which (i) the General Partner or any Affiliate of the General Partner exercises its rights to purchase all of the Outstanding Common Units pursuant to </w:t>
      </w:r>
      <w:r>
        <w:rPr>
          <w:rFonts w:ascii="Times New Roman" w:hAnsi="Times New Roman"/>
          <w:sz w:val="20"/>
          <w:u w:val="single"/>
        </w:rPr>
        <w:t>Section 5.15(m)</w:t>
      </w:r>
      <w:r>
        <w:rPr>
          <w:rFonts w:ascii="Times New Roman" w:hAnsi="Times New Roman"/>
          <w:sz w:val="20"/>
        </w:rPr>
        <w:t xml:space="preserve"> of this Agreement or (ii) any Person or group of Persons acquires in one or more series of related transactions all of the Outstanding Common Units, in each case where the consideration received by the holders of Common Units is comprised of at least 90% cash. </w:t>
      </w:r>
    </w:p>
    <w:p>
      <w:pPr>
        <w:pStyle w:val="TextBody"/>
        <w:bidi w:val="0"/>
        <w:spacing w:before="240" w:after="0"/>
        <w:jc w:val="left"/>
        <w:rPr/>
      </w:pPr>
      <w:r>
        <w:rPr/>
        <w:t>“</w:t>
      </w:r>
      <w:r>
        <w:rPr>
          <w:rFonts w:ascii="Times New Roman" w:hAnsi="Times New Roman"/>
          <w:i/>
          <w:sz w:val="20"/>
        </w:rPr>
        <w:t>Series I Change of Control</w:t>
      </w:r>
      <w:r>
        <w:rPr>
          <w:rFonts w:ascii="Times New Roman" w:hAnsi="Times New Roman"/>
          <w:sz w:val="20"/>
        </w:rPr>
        <w:t xml:space="preserve">” means, with respect to the Series I Preferred Units only, the occurrence of any of the following events: (i) the Common Units are no longer listed or admitted for trading on a National Securities Exchange; (ii) a Series I Cash COC Event; (iii) any direct or indirect sale, lease, transfer, conveyance or other disposition, in one or more series of related transactions, of all or substantially all of the properties or assets of the Partnership to any Person; or (iv) any dissolution or liquidation of the Partnership (other than in connection with a bankruptcy proceeding or a statutory winding up). </w:t>
      </w:r>
    </w:p>
    <w:p>
      <w:pPr>
        <w:pStyle w:val="TextBody"/>
        <w:bidi w:val="0"/>
        <w:spacing w:before="240" w:after="0"/>
        <w:jc w:val="left"/>
        <w:rPr/>
      </w:pPr>
      <w:r>
        <w:rPr/>
        <w:t>“</w:t>
      </w:r>
      <w:r>
        <w:rPr>
          <w:rFonts w:ascii="Times New Roman" w:hAnsi="Times New Roman"/>
          <w:i/>
          <w:sz w:val="20"/>
        </w:rPr>
        <w:t>Series I COC Election</w:t>
      </w:r>
      <w:r>
        <w:rPr>
          <w:rFonts w:ascii="Times New Roman" w:hAnsi="Times New Roman"/>
          <w:sz w:val="20"/>
        </w:rPr>
        <w:t xml:space="preserve">” has the meaning set forth in </w:t>
      </w:r>
      <w:r>
        <w:rPr>
          <w:rFonts w:ascii="Times New Roman" w:hAnsi="Times New Roman"/>
          <w:sz w:val="20"/>
          <w:u w:val="single"/>
        </w:rPr>
        <w:t>Section 5.15(b)(i)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I Conversion Date</w:t>
      </w:r>
      <w:r>
        <w:rPr>
          <w:rFonts w:ascii="Times New Roman" w:hAnsi="Times New Roman"/>
          <w:sz w:val="20"/>
        </w:rPr>
        <w:t xml:space="preserve">” means, with respect to each Series I Preferred Unit, the date on which the Partnership has completed the conversion of such Series I Preferred Unit pursuant to </w:t>
      </w:r>
      <w:r>
        <w:rPr>
          <w:rFonts w:ascii="Times New Roman" w:hAnsi="Times New Roman"/>
          <w:sz w:val="20"/>
          <w:u w:val="single"/>
        </w:rPr>
        <w:t>Section 5.15(b)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I Conversion Ratio</w:t>
      </w:r>
      <w:r>
        <w:rPr>
          <w:rFonts w:ascii="Times New Roman" w:hAnsi="Times New Roman"/>
          <w:sz w:val="20"/>
        </w:rPr>
        <w:t xml:space="preserve">” means 2.07 Common Units for 10 Series I Preferred Units, as adjusted from time to time pursuant to </w:t>
      </w:r>
      <w:r>
        <w:rPr>
          <w:rFonts w:ascii="Times New Roman" w:hAnsi="Times New Roman"/>
          <w:sz w:val="20"/>
          <w:u w:val="single"/>
        </w:rPr>
        <w:t>Sections 5.15(b)(iv)</w:t>
      </w:r>
      <w:r>
        <w:rPr>
          <w:rFonts w:ascii="Times New Roman" w:hAnsi="Times New Roman"/>
          <w:sz w:val="20"/>
        </w:rPr>
        <w:t xml:space="preserve"> and </w:t>
      </w:r>
      <w:r>
        <w:rPr>
          <w:rFonts w:ascii="Times New Roman" w:hAnsi="Times New Roman"/>
          <w:sz w:val="20"/>
          <w:u w:val="single"/>
        </w:rPr>
        <w:t>(xi)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I Current Market Price</w:t>
      </w:r>
      <w:r>
        <w:rPr>
          <w:rFonts w:ascii="Times New Roman" w:hAnsi="Times New Roman"/>
          <w:sz w:val="20"/>
        </w:rPr>
        <w:t xml:space="preserve">” has the meaning set forth in </w:t>
      </w:r>
      <w:r>
        <w:rPr>
          <w:rFonts w:ascii="Times New Roman" w:hAnsi="Times New Roman"/>
          <w:sz w:val="20"/>
          <w:u w:val="single"/>
        </w:rPr>
        <w:t>Section 5.15(m)(i)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I Deficiency Rate</w:t>
      </w:r>
      <w:r>
        <w:rPr>
          <w:rFonts w:ascii="Times New Roman" w:hAnsi="Times New Roman"/>
          <w:sz w:val="20"/>
        </w:rPr>
        <w:t xml:space="preserve">” has the meaning ascribed to such term in </w:t>
      </w:r>
      <w:r>
        <w:rPr>
          <w:rFonts w:ascii="Times New Roman" w:hAnsi="Times New Roman"/>
          <w:sz w:val="20"/>
          <w:u w:val="single"/>
        </w:rPr>
        <w:t>Section 5.15(c)(i)(B)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I Distribution Payment Date</w:t>
      </w:r>
      <w:r>
        <w:rPr>
          <w:rFonts w:ascii="Times New Roman" w:hAnsi="Times New Roman"/>
          <w:sz w:val="20"/>
        </w:rPr>
        <w:t xml:space="preserve">” means the earlier of: (A) the date that distributions are made on the Common Units for such Quarter pursuant to </w:t>
      </w:r>
      <w:r>
        <w:rPr>
          <w:rFonts w:ascii="Times New Roman" w:hAnsi="Times New Roman"/>
          <w:sz w:val="20"/>
          <w:u w:val="single"/>
        </w:rPr>
        <w:t>Section 6.3</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the date that is forty-five (45) days after the end of such Quarter. </w:t>
      </w:r>
    </w:p>
    <w:p>
      <w:pPr>
        <w:pStyle w:val="TextBody"/>
        <w:bidi w:val="0"/>
        <w:spacing w:before="240" w:after="0"/>
        <w:jc w:val="left"/>
        <w:rPr/>
      </w:pPr>
      <w:r>
        <w:rPr/>
        <w:t>“</w:t>
      </w:r>
      <w:r>
        <w:rPr>
          <w:rFonts w:ascii="Times New Roman" w:hAnsi="Times New Roman"/>
          <w:i/>
          <w:sz w:val="20"/>
        </w:rPr>
        <w:t>Series I Distribution Record Date</w:t>
      </w:r>
      <w:r>
        <w:rPr>
          <w:rFonts w:ascii="Times New Roman" w:hAnsi="Times New Roman"/>
          <w:sz w:val="20"/>
        </w:rPr>
        <w:t xml:space="preserve">” has the meaning given such term in </w:t>
      </w:r>
      <w:r>
        <w:rPr>
          <w:rFonts w:ascii="Times New Roman" w:hAnsi="Times New Roman"/>
          <w:sz w:val="20"/>
          <w:u w:val="single"/>
        </w:rPr>
        <w:t>Section 5.15(c)(i)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I Distributions</w:t>
      </w:r>
      <w:r>
        <w:rPr>
          <w:rFonts w:ascii="Times New Roman" w:hAnsi="Times New Roman"/>
          <w:sz w:val="20"/>
        </w:rPr>
        <w:t>” or “</w:t>
      </w:r>
      <w:r>
        <w:rPr>
          <w:rFonts w:ascii="Times New Roman" w:hAnsi="Times New Roman"/>
          <w:i/>
          <w:sz w:val="20"/>
        </w:rPr>
        <w:t>Series I Distribution</w:t>
      </w:r>
      <w:r>
        <w:rPr>
          <w:rFonts w:ascii="Times New Roman" w:hAnsi="Times New Roman"/>
          <w:sz w:val="20"/>
        </w:rPr>
        <w:t xml:space="preserve">” means distributions with respect to Series I Preferred Units pursuant to </w:t>
      </w:r>
      <w:r>
        <w:rPr>
          <w:rFonts w:ascii="Times New Roman" w:hAnsi="Times New Roman"/>
          <w:sz w:val="20"/>
          <w:u w:val="single"/>
        </w:rPr>
        <w:t>Section 5.15(c)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I Holder</w:t>
      </w:r>
      <w:r>
        <w:rPr>
          <w:rFonts w:ascii="Times New Roman" w:hAnsi="Times New Roman"/>
          <w:sz w:val="20"/>
        </w:rPr>
        <w:t xml:space="preserve">” means a Record Holder of Series I Preferred Units. </w:t>
      </w:r>
    </w:p>
    <w:p>
      <w:pPr>
        <w:pStyle w:val="TextBody"/>
        <w:bidi w:val="0"/>
        <w:spacing w:before="240" w:after="0"/>
        <w:jc w:val="left"/>
        <w:rPr/>
      </w:pPr>
      <w:r>
        <w:rPr/>
        <w:t>“</w:t>
      </w:r>
      <w:r>
        <w:rPr>
          <w:rFonts w:ascii="Times New Roman" w:hAnsi="Times New Roman"/>
          <w:i/>
          <w:sz w:val="20"/>
        </w:rPr>
        <w:t>Series I Junior Securities</w:t>
      </w:r>
      <w:r>
        <w:rPr>
          <w:rFonts w:ascii="Times New Roman" w:hAnsi="Times New Roman"/>
          <w:sz w:val="20"/>
        </w:rPr>
        <w:t xml:space="preserve">” means any class or series of Partnership Securities that, with respect to distributions on such Partnership Securities and distributions upon liquidation of the Partnership, ranks junior to the Series I Preferred Units, including but not limited to Common Units, Class A Units, Class B Units and the General Partner Interest, but excluding any Series I Parity Securities and Series I Senior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Series I Liquidation Preference</w:t>
      </w:r>
      <w:r>
        <w:rPr>
          <w:rFonts w:ascii="Times New Roman" w:hAnsi="Times New Roman"/>
          <w:sz w:val="20"/>
        </w:rPr>
        <w:t xml:space="preserve">” means, with respect to each Series I Preferred Unit, the sum of the Series I Preferred Unit Price plus all accrued and unpaid distributions on such Series I Preferred Unit to the Liquidation Date. </w:t>
      </w:r>
    </w:p>
    <w:p>
      <w:pPr>
        <w:pStyle w:val="TextBody"/>
        <w:bidi w:val="0"/>
        <w:spacing w:before="240" w:after="0"/>
        <w:jc w:val="left"/>
        <w:rPr/>
      </w:pPr>
      <w:r>
        <w:rPr/>
        <w:t>“</w:t>
      </w:r>
      <w:r>
        <w:rPr>
          <w:rFonts w:ascii="Times New Roman" w:hAnsi="Times New Roman"/>
          <w:i/>
          <w:sz w:val="20"/>
        </w:rPr>
        <w:t>Series I Original Issue Date</w:t>
      </w:r>
      <w:r>
        <w:rPr>
          <w:rFonts w:ascii="Times New Roman" w:hAnsi="Times New Roman"/>
          <w:sz w:val="20"/>
        </w:rPr>
        <w:t xml:space="preserve">” means November 3, 2023. </w:t>
      </w:r>
    </w:p>
    <w:p>
      <w:pPr>
        <w:pStyle w:val="TextBody"/>
        <w:bidi w:val="0"/>
        <w:spacing w:before="240" w:after="0"/>
        <w:jc w:val="left"/>
        <w:rPr/>
      </w:pPr>
      <w:r>
        <w:rPr/>
        <w:t>“</w:t>
      </w:r>
      <w:r>
        <w:rPr>
          <w:rFonts w:ascii="Times New Roman" w:hAnsi="Times New Roman"/>
          <w:i/>
          <w:sz w:val="20"/>
        </w:rPr>
        <w:t>Series I Parity Securities</w:t>
      </w:r>
      <w:r>
        <w:rPr>
          <w:rFonts w:ascii="Times New Roman" w:hAnsi="Times New Roman"/>
          <w:sz w:val="20"/>
        </w:rPr>
        <w:t xml:space="preserve">” means the Series B Preferred Units, Series G Preferred Units, Series H Preferred Units and any other class or series of Partnership Interests established after the Series I Original Issue Date by the General Partner, the terms of which class or series expressly provide that it ranks on parity with the Series I Preferred Units as to distributions and amounts payable upon a dissolution or liquidation pursuant to </w:t>
      </w:r>
      <w:r>
        <w:rPr>
          <w:rFonts w:ascii="Times New Roman" w:hAnsi="Times New Roman"/>
          <w:sz w:val="20"/>
          <w:u w:val="single"/>
        </w:rPr>
        <w:t>Article XII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I PIK Unit</w:t>
      </w:r>
      <w:r>
        <w:rPr>
          <w:rFonts w:ascii="Times New Roman" w:hAnsi="Times New Roman"/>
          <w:sz w:val="20"/>
        </w:rPr>
        <w:t xml:space="preserve">” means a Series I Preferred Unit issued pursuant to a Series I Distribution in accordance with </w:t>
      </w:r>
      <w:r>
        <w:rPr>
          <w:rFonts w:ascii="Times New Roman" w:hAnsi="Times New Roman"/>
          <w:sz w:val="20"/>
          <w:u w:val="single"/>
        </w:rPr>
        <w:t>Section 5.15(c)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I Preferred Unit Distribution Rate</w:t>
      </w:r>
      <w:r>
        <w:rPr>
          <w:rFonts w:ascii="Times New Roman" w:hAnsi="Times New Roman"/>
          <w:sz w:val="20"/>
        </w:rPr>
        <w:t xml:space="preserve">” has the meaning set forth in </w:t>
      </w:r>
      <w:r>
        <w:rPr>
          <w:rFonts w:ascii="Times New Roman" w:hAnsi="Times New Roman"/>
          <w:sz w:val="20"/>
          <w:u w:val="single"/>
        </w:rPr>
        <w:t>Section 5.15(c)(i)(A)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I Preferred Unit Price</w:t>
      </w:r>
      <w:r>
        <w:rPr>
          <w:rFonts w:ascii="Times New Roman" w:hAnsi="Times New Roman"/>
          <w:sz w:val="20"/>
        </w:rPr>
        <w:t xml:space="preserve">” means $9.1273 per Series I Preferred Unit. </w:t>
      </w:r>
    </w:p>
    <w:p>
      <w:pPr>
        <w:pStyle w:val="TextBody"/>
        <w:bidi w:val="0"/>
        <w:spacing w:before="240" w:after="0"/>
        <w:jc w:val="left"/>
        <w:rPr/>
      </w:pPr>
      <w:r>
        <w:rPr/>
        <w:t>“</w:t>
      </w:r>
      <w:r>
        <w:rPr>
          <w:rFonts w:ascii="Times New Roman" w:hAnsi="Times New Roman"/>
          <w:i/>
          <w:sz w:val="20"/>
        </w:rPr>
        <w:t>Series I Preferred Units</w:t>
      </w:r>
      <w:r>
        <w:rPr>
          <w:rFonts w:ascii="Times New Roman" w:hAnsi="Times New Roman"/>
          <w:sz w:val="20"/>
        </w:rPr>
        <w:t xml:space="preserve">” has the meaning given such term in </w:t>
      </w:r>
      <w:r>
        <w:rPr>
          <w:rFonts w:ascii="Times New Roman" w:hAnsi="Times New Roman"/>
          <w:sz w:val="20"/>
          <w:u w:val="single"/>
        </w:rPr>
        <w:t>Section 5.15(a)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I Senior Securities</w:t>
      </w:r>
      <w:r>
        <w:rPr>
          <w:rFonts w:ascii="Times New Roman" w:hAnsi="Times New Roman"/>
          <w:sz w:val="20"/>
        </w:rPr>
        <w:t xml:space="preserve">” means any class or series of Partnership Interests established after the Series I Original Issue Date by the General Partner, the terms of which class or series expressly provide that it ranks senior to the Series I Preferred Units as to distributions and amounts payable upon a dissolution or liquidation pursuant to </w:t>
      </w:r>
      <w:r>
        <w:rPr>
          <w:rFonts w:ascii="Times New Roman" w:hAnsi="Times New Roman"/>
          <w:sz w:val="20"/>
          <w:u w:val="single"/>
        </w:rPr>
        <w:t>Article XII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I Specified Distribution Amount</w:t>
      </w:r>
      <w:r>
        <w:rPr>
          <w:rFonts w:ascii="Times New Roman" w:hAnsi="Times New Roman"/>
          <w:sz w:val="20"/>
        </w:rPr>
        <w:t xml:space="preserve">” has the meaning given such term in </w:t>
      </w:r>
      <w:r>
        <w:rPr>
          <w:rFonts w:ascii="Times New Roman" w:hAnsi="Times New Roman"/>
          <w:sz w:val="20"/>
          <w:u w:val="single"/>
        </w:rPr>
        <w:t>Section 5.15(c)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Series I Super-Majority Interest</w:t>
      </w:r>
      <w:r>
        <w:rPr>
          <w:rFonts w:ascii="Times New Roman" w:hAnsi="Times New Roman"/>
          <w:sz w:val="20"/>
        </w:rPr>
        <w:t xml:space="preserve">” means at least two-thirds (2/3) of the Outstanding Series I Preferred Units. </w:t>
      </w:r>
    </w:p>
    <w:p>
      <w:pPr>
        <w:pStyle w:val="TextBody"/>
        <w:bidi w:val="0"/>
        <w:spacing w:before="240" w:after="0"/>
        <w:jc w:val="left"/>
        <w:rPr/>
      </w:pPr>
      <w:r>
        <w:rPr/>
        <w:t>“</w:t>
      </w:r>
      <w:r>
        <w:rPr>
          <w:rFonts w:ascii="Times New Roman" w:hAnsi="Times New Roman"/>
          <w:i/>
          <w:sz w:val="20"/>
        </w:rPr>
        <w:t>Series I Voting Threshold</w:t>
      </w:r>
      <w:r>
        <w:rPr>
          <w:rFonts w:ascii="Times New Roman" w:hAnsi="Times New Roman"/>
          <w:sz w:val="20"/>
        </w:rPr>
        <w:t xml:space="preserve">” has the meaning ascribed to such term in </w:t>
      </w:r>
      <w:r>
        <w:rPr>
          <w:rFonts w:ascii="Times New Roman" w:hAnsi="Times New Roman"/>
          <w:sz w:val="20"/>
          <w:u w:val="single"/>
        </w:rPr>
        <w:t>Section 5.15(d)(i)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Share of Additional Book Basis Derivative Items</w:t>
      </w:r>
      <w:r>
        <w:rPr>
          <w:rFonts w:ascii="Times New Roman" w:hAnsi="Times New Roman"/>
          <w:sz w:val="20"/>
        </w:rPr>
        <w:t xml:space="preserve">” means, in connection with any allocation of Additional Book Basis Derivative Items for any taxable period, (i) with respect to the Unitholders holding Common Units, the amount that bears the same ratio to such Additional Book Basis Derivative Items as the Unitholders’ Remaining Net Positive Adjustments as of the end of such period bears to the Aggregate Remaining Net Positive Adjustments as of that time and (ii) with respect to the General Partner (as the holder of the General Partner Interest), the amount that bears the same ratio to such Additional Book Basis Derivative Items as the General Partner’s Remaining Net Positive Adjustments as of the end of such period bears to the Aggregate Remaining Net Positive Adjustment as of that time. </w:t>
      </w:r>
    </w:p>
    <w:p>
      <w:pPr>
        <w:pStyle w:val="TextBody"/>
        <w:bidi w:val="0"/>
        <w:spacing w:before="240" w:after="0"/>
        <w:jc w:val="left"/>
        <w:rPr/>
      </w:pPr>
      <w:r>
        <w:rPr/>
        <w:t>“</w:t>
      </w:r>
      <w:r>
        <w:rPr>
          <w:rFonts w:ascii="Times New Roman" w:hAnsi="Times New Roman"/>
          <w:i/>
          <w:sz w:val="20"/>
        </w:rPr>
        <w:t>Special Approval</w:t>
      </w:r>
      <w:r>
        <w:rPr>
          <w:rFonts w:ascii="Times New Roman" w:hAnsi="Times New Roman"/>
          <w:sz w:val="20"/>
        </w:rPr>
        <w:t xml:space="preserve">” means approval by the sole member or by a majority of the members of the Conflicts Committee,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Subsidiary</w:t>
      </w:r>
      <w:r>
        <w:rPr>
          <w:rFonts w:ascii="Times New Roman" w:hAnsi="Times New Roman"/>
          <w:sz w:val="20"/>
        </w:rPr>
        <w:t xml:space="preserve">”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or limited partner of such partnership, but only if more than 50% of the partnership interests of such partnership (considering all of the partnership interests of the partnership as a single class) is owned, directly or indirectly, at the date of determination, by such Person, by one or more Subsidiaries of such Person, or a combination thereof, or (c) any other Person (other than a corporation or a partnership)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 </w:t>
      </w:r>
    </w:p>
    <w:p>
      <w:pPr>
        <w:pStyle w:val="TextBody"/>
        <w:bidi w:val="0"/>
        <w:spacing w:before="240" w:after="0"/>
        <w:jc w:val="left"/>
        <w:rPr/>
      </w:pPr>
      <w:r>
        <w:rPr/>
        <w:t>“</w:t>
      </w:r>
      <w:r>
        <w:rPr>
          <w:rFonts w:ascii="Times New Roman" w:hAnsi="Times New Roman"/>
          <w:i/>
          <w:sz w:val="20"/>
        </w:rPr>
        <w:t>Substantially Equivalent Security</w:t>
      </w:r>
      <w:r>
        <w:rPr>
          <w:rFonts w:ascii="Times New Roman" w:hAnsi="Times New Roman"/>
          <w:sz w:val="20"/>
        </w:rPr>
        <w:t xml:space="preserve">” has the meaning set forth in </w:t>
      </w:r>
      <w:r>
        <w:rPr>
          <w:rFonts w:ascii="Times New Roman" w:hAnsi="Times New Roman"/>
          <w:sz w:val="20"/>
          <w:u w:val="single"/>
        </w:rPr>
        <w:t>Section 5.15(e)(ii)(B)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Substituted Limited Partner</w:t>
      </w:r>
      <w:r>
        <w:rPr>
          <w:rFonts w:ascii="Times New Roman" w:hAnsi="Times New Roman"/>
          <w:sz w:val="20"/>
        </w:rPr>
        <w:t xml:space="preserve">” means a Person who is admitted as a Limited Partner to the Partnership pursuant to </w:t>
      </w:r>
      <w:r>
        <w:rPr>
          <w:rFonts w:ascii="Times New Roman" w:hAnsi="Times New Roman"/>
          <w:sz w:val="20"/>
          <w:u w:val="single"/>
        </w:rPr>
        <w:t>Section 10.1</w:t>
      </w:r>
      <w:r>
        <w:rPr>
          <w:rFonts w:ascii="Times New Roman" w:hAnsi="Times New Roman"/>
          <w:sz w:val="20"/>
        </w:rPr>
        <w:t xml:space="preserve"> in place of and with all the rights of a Limited Partner and who is shown as a Limited Partner on the books and records of the Partnership. </w:t>
      </w:r>
    </w:p>
    <w:p>
      <w:pPr>
        <w:pStyle w:val="TextBody"/>
        <w:bidi w:val="0"/>
        <w:spacing w:before="240" w:after="0"/>
        <w:jc w:val="left"/>
        <w:rPr/>
      </w:pPr>
      <w:r>
        <w:rPr/>
        <w:t>“</w:t>
      </w:r>
      <w:r>
        <w:rPr>
          <w:rFonts w:ascii="Times New Roman" w:hAnsi="Times New Roman"/>
          <w:i/>
          <w:sz w:val="20"/>
        </w:rPr>
        <w:t>Surviving Business Entity</w:t>
      </w:r>
      <w:r>
        <w:rPr>
          <w:rFonts w:ascii="Times New Roman" w:hAnsi="Times New Roman"/>
          <w:sz w:val="20"/>
        </w:rPr>
        <w:t xml:space="preserve">” has the meaning assigned to such term in </w:t>
      </w:r>
      <w:r>
        <w:rPr>
          <w:rFonts w:ascii="Times New Roman" w:hAnsi="Times New Roman"/>
          <w:sz w:val="20"/>
          <w:u w:val="single"/>
        </w:rPr>
        <w:t>Section 14.2(b)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Taxation Certification</w:t>
      </w:r>
      <w:r>
        <w:rPr>
          <w:rFonts w:ascii="Times New Roman" w:hAnsi="Times New Roman"/>
          <w:sz w:val="20"/>
        </w:rPr>
        <w:t xml:space="preserve">” means a properly completed certificate in such form or forms as may be specified by the General Partner by which a Limited Partner certifies that he (and if he is a nominee holding for the account of another Person, that to the best of his knowledge such other Person) is an Eligible Holder. A certification in the form specified in </w:t>
      </w:r>
      <w:r>
        <w:rPr>
          <w:rFonts w:ascii="Times New Roman" w:hAnsi="Times New Roman"/>
          <w:sz w:val="20"/>
          <w:u w:val="single"/>
        </w:rPr>
        <w:t>Annex A</w:t>
      </w:r>
      <w:r>
        <w:rPr>
          <w:rFonts w:ascii="Times New Roman" w:hAnsi="Times New Roman"/>
          <w:sz w:val="20"/>
        </w:rPr>
        <w:t xml:space="preserve"> to the Transfer Application shall be considered a Taxation Certification unless the General Partner amends the form thereof pursuant to </w:t>
      </w:r>
      <w:r>
        <w:rPr>
          <w:rFonts w:ascii="Times New Roman" w:hAnsi="Times New Roman"/>
          <w:sz w:val="20"/>
          <w:u w:val="single"/>
        </w:rPr>
        <w:t>Section 13.1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i/>
          <w:sz w:val="20"/>
        </w:rPr>
        <w:t>TBOC</w:t>
      </w:r>
      <w:r>
        <w:rPr>
          <w:rFonts w:ascii="Times New Roman" w:hAnsi="Times New Roman"/>
          <w:sz w:val="20"/>
        </w:rPr>
        <w:t xml:space="preserve">” means the provisions of the Texas Business Organizations Code, as amended, supplemented or restated from time to time, and any successor to such statute. </w:t>
      </w:r>
    </w:p>
    <w:p>
      <w:pPr>
        <w:pStyle w:val="TextBody"/>
        <w:bidi w:val="0"/>
        <w:spacing w:before="240" w:after="0"/>
        <w:jc w:val="left"/>
        <w:rPr/>
      </w:pPr>
      <w:r>
        <w:rPr/>
        <w:t>“</w:t>
      </w:r>
      <w:r>
        <w:rPr>
          <w:rFonts w:ascii="Times New Roman" w:hAnsi="Times New Roman"/>
          <w:i/>
          <w:sz w:val="20"/>
        </w:rPr>
        <w:t>Texas Governing Instruments</w:t>
      </w:r>
      <w:r>
        <w:rPr>
          <w:rFonts w:ascii="Times New Roman" w:hAnsi="Times New Roman"/>
          <w:sz w:val="20"/>
        </w:rPr>
        <w:t xml:space="preserve">” has the meaning assigned to such term in the recitals. </w:t>
      </w:r>
    </w:p>
    <w:p>
      <w:pPr>
        <w:pStyle w:val="TextBody"/>
        <w:bidi w:val="0"/>
        <w:spacing w:before="240" w:after="0"/>
        <w:jc w:val="left"/>
        <w:rPr/>
      </w:pPr>
      <w:r>
        <w:rPr/>
        <w:t>“</w:t>
      </w:r>
      <w:r>
        <w:rPr>
          <w:rFonts w:ascii="Times New Roman" w:hAnsi="Times New Roman"/>
          <w:i/>
          <w:sz w:val="20"/>
        </w:rPr>
        <w:t>Texas Limited Partnership Law</w:t>
      </w:r>
      <w:r>
        <w:rPr>
          <w:rFonts w:ascii="Times New Roman" w:hAnsi="Times New Roman"/>
          <w:sz w:val="20"/>
        </w:rPr>
        <w:t xml:space="preserve">” means the provisions of Chapters 151, 153 and 154 and the provisions of Title 1 and Chapter 152, to the extent applicable to limited partnerships, in each case of the TBOC. </w:t>
      </w:r>
    </w:p>
    <w:p>
      <w:pPr>
        <w:pStyle w:val="TextBody"/>
        <w:bidi w:val="0"/>
        <w:spacing w:before="240" w:after="0"/>
        <w:jc w:val="left"/>
        <w:rPr/>
      </w:pPr>
      <w:r>
        <w:rPr/>
        <w:t>“</w:t>
      </w:r>
      <w:r>
        <w:rPr>
          <w:rFonts w:ascii="Times New Roman" w:hAnsi="Times New Roman"/>
          <w:i/>
          <w:sz w:val="20"/>
        </w:rPr>
        <w:t>Trading Day</w:t>
      </w:r>
      <w:r>
        <w:rPr>
          <w:rFonts w:ascii="Times New Roman" w:hAnsi="Times New Roman"/>
          <w:sz w:val="20"/>
        </w:rPr>
        <w:t xml:space="preserve">” has the meaning assigned to such term in </w:t>
      </w:r>
      <w:r>
        <w:rPr>
          <w:rFonts w:ascii="Times New Roman" w:hAnsi="Times New Roman"/>
          <w:sz w:val="20"/>
          <w:u w:val="single"/>
        </w:rPr>
        <w:t>Section 15.1(a)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transfer</w:t>
      </w:r>
      <w:r>
        <w:rPr>
          <w:rFonts w:ascii="Times New Roman" w:hAnsi="Times New Roman"/>
          <w:sz w:val="20"/>
        </w:rPr>
        <w:t xml:space="preserve">” has the meaning assigned to such term in </w:t>
      </w:r>
      <w:r>
        <w:rPr>
          <w:rFonts w:ascii="Times New Roman" w:hAnsi="Times New Roman"/>
          <w:sz w:val="20"/>
          <w:u w:val="single"/>
        </w:rPr>
        <w:t>Section 4.4(a)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Transfer Agent</w:t>
      </w:r>
      <w:r>
        <w:rPr>
          <w:rFonts w:ascii="Times New Roman" w:hAnsi="Times New Roman"/>
          <w:sz w:val="20"/>
        </w:rPr>
        <w:t xml:space="preserve">” means such bank, trust company or other Person (including the General Partner or one of its Affiliates) as shall be appointed from time to time by the Partnership to act as registrar and transfer agent for the Common Units; </w:t>
      </w:r>
      <w:r>
        <w:rPr>
          <w:rFonts w:ascii="Times New Roman" w:hAnsi="Times New Roman"/>
          <w:sz w:val="20"/>
          <w:u w:val="single"/>
        </w:rPr>
        <w:t xml:space="preserve">provided </w:t>
      </w:r>
      <w:r>
        <w:rPr>
          <w:rFonts w:ascii="Times New Roman" w:hAnsi="Times New Roman"/>
          <w:sz w:val="20"/>
        </w:rPr>
        <w:t xml:space="preserve">that if no Transfer Agent is specifically designated for any other Partnership Securities, the General Partner shall act in such capacity. The Transfer Agent for the Series B Preferred Units, the Series G Preferred Units, the Series H Preferred Units and the Series I Preferred Units shall be American Stock Transfer &amp; Trust Company, LLC, and its successors and assigns, or any other transfer agent and registrar appointed by the General Partner for the Series B Preferred Units, the Series G Preferred Units, the Series H Preferred Units or the Series I Preferred Units,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Transfer Application</w:t>
      </w:r>
      <w:r>
        <w:rPr>
          <w:rFonts w:ascii="Times New Roman" w:hAnsi="Times New Roman"/>
          <w:sz w:val="20"/>
        </w:rPr>
        <w:t xml:space="preserve">” means the Transfer Application in the form attached hereto as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Underwriter</w:t>
      </w:r>
      <w:r>
        <w:rPr>
          <w:rFonts w:ascii="Times New Roman" w:hAnsi="Times New Roman"/>
          <w:sz w:val="20"/>
        </w:rPr>
        <w:t xml:space="preserve">” means each Person named as an underwriter in </w:t>
      </w:r>
      <w:r>
        <w:rPr>
          <w:rFonts w:ascii="Times New Roman" w:hAnsi="Times New Roman"/>
          <w:sz w:val="20"/>
          <w:u w:val="single"/>
        </w:rPr>
        <w:t>Schedule I</w:t>
      </w:r>
      <w:r>
        <w:rPr>
          <w:rFonts w:ascii="Times New Roman" w:hAnsi="Times New Roman"/>
          <w:sz w:val="20"/>
        </w:rPr>
        <w:t xml:space="preserve"> to the Underwriting Agreement who purchases Common Units pursuant thereto. </w:t>
      </w:r>
    </w:p>
    <w:p>
      <w:pPr>
        <w:pStyle w:val="TextBody"/>
        <w:bidi w:val="0"/>
        <w:spacing w:before="240" w:after="0"/>
        <w:jc w:val="left"/>
        <w:rPr/>
      </w:pPr>
      <w:r>
        <w:rPr/>
        <w:t>“</w:t>
      </w:r>
      <w:r>
        <w:rPr>
          <w:rFonts w:ascii="Times New Roman" w:hAnsi="Times New Roman"/>
          <w:i/>
          <w:sz w:val="20"/>
        </w:rPr>
        <w:t>Underwriting Agreement</w:t>
      </w:r>
      <w:r>
        <w:rPr>
          <w:rFonts w:ascii="Times New Roman" w:hAnsi="Times New Roman"/>
          <w:sz w:val="20"/>
        </w:rPr>
        <w:t xml:space="preserve">” means the Underwriting Agreement dated February 2, 2006 among the Underwriters, the Partnership and certain other parties, providing for the purchase of Common Units by such Underwriters. </w:t>
      </w:r>
    </w:p>
    <w:p>
      <w:pPr>
        <w:pStyle w:val="TextBody"/>
        <w:bidi w:val="0"/>
        <w:spacing w:before="240" w:after="0"/>
        <w:jc w:val="left"/>
        <w:rPr/>
      </w:pPr>
      <w:r>
        <w:rPr/>
        <w:t>“</w:t>
      </w:r>
      <w:r>
        <w:rPr>
          <w:rFonts w:ascii="Times New Roman" w:hAnsi="Times New Roman"/>
          <w:i/>
          <w:sz w:val="20"/>
        </w:rPr>
        <w:t>Unit</w:t>
      </w:r>
      <w:r>
        <w:rPr>
          <w:rFonts w:ascii="Times New Roman" w:hAnsi="Times New Roman"/>
          <w:sz w:val="20"/>
        </w:rPr>
        <w:t>” means a Partnership Security that is designated as a “</w:t>
      </w:r>
      <w:r>
        <w:rPr>
          <w:rFonts w:ascii="Times New Roman" w:hAnsi="Times New Roman"/>
          <w:i/>
          <w:sz w:val="20"/>
        </w:rPr>
        <w:t>Unit</w:t>
      </w:r>
      <w:r>
        <w:rPr>
          <w:rFonts w:ascii="Times New Roman" w:hAnsi="Times New Roman"/>
          <w:sz w:val="20"/>
        </w:rPr>
        <w:t xml:space="preserve">” and shall include Common Units, Series B Preferred Units, Series G Preferred Units, Series H Preferred Units or Series I Preferred Units and Class B Units, but shall not include the General Partner Units (or the General Partner Interest represented thereby) or Class A Units. </w:t>
      </w:r>
    </w:p>
    <w:p>
      <w:pPr>
        <w:pStyle w:val="TextBody"/>
        <w:bidi w:val="0"/>
        <w:spacing w:before="240" w:after="0"/>
        <w:jc w:val="left"/>
        <w:rPr/>
      </w:pPr>
      <w:r>
        <w:rPr/>
        <w:t>“</w:t>
      </w:r>
      <w:r>
        <w:rPr>
          <w:rFonts w:ascii="Times New Roman" w:hAnsi="Times New Roman"/>
          <w:i/>
          <w:sz w:val="20"/>
        </w:rPr>
        <w:t>Unit Majority</w:t>
      </w:r>
      <w:r>
        <w:rPr>
          <w:rFonts w:ascii="Times New Roman" w:hAnsi="Times New Roman"/>
          <w:sz w:val="20"/>
        </w:rPr>
        <w:t xml:space="preserve">” means at least a majority of the Outstanding Units (excluding the Series B Preferred Units, Series G Preferred Units, Series H Preferred Units, Series I Preferred Units and Class B Units in respect of matters in which the holders of the Series B Preferred Units, Series G Preferred Units, Series H Preferred Units, Series I Preferred Units and Class B Units are not entitled to a vote), voting together as a single class. </w:t>
      </w:r>
    </w:p>
    <w:p>
      <w:pPr>
        <w:pStyle w:val="TextBody"/>
        <w:bidi w:val="0"/>
        <w:spacing w:before="240" w:after="0"/>
        <w:jc w:val="left"/>
        <w:rPr/>
      </w:pPr>
      <w:r>
        <w:rPr/>
        <w:t>“</w:t>
      </w:r>
      <w:r>
        <w:rPr>
          <w:rFonts w:ascii="Times New Roman" w:hAnsi="Times New Roman"/>
          <w:i/>
          <w:sz w:val="20"/>
        </w:rPr>
        <w:t>Unitholders</w:t>
      </w:r>
      <w:r>
        <w:rPr>
          <w:rFonts w:ascii="Times New Roman" w:hAnsi="Times New Roman"/>
          <w:sz w:val="20"/>
        </w:rPr>
        <w:t xml:space="preserve">” means the holders of Units and shall not include the Class A Unitholders. </w:t>
      </w:r>
    </w:p>
    <w:p>
      <w:pPr>
        <w:pStyle w:val="TextBody"/>
        <w:bidi w:val="0"/>
        <w:spacing w:before="240" w:after="0"/>
        <w:jc w:val="left"/>
        <w:rPr/>
      </w:pPr>
      <w:r>
        <w:rPr/>
        <w:t>“</w:t>
      </w:r>
      <w:r>
        <w:rPr>
          <w:rFonts w:ascii="Times New Roman" w:hAnsi="Times New Roman"/>
          <w:i/>
          <w:sz w:val="20"/>
        </w:rPr>
        <w:t>Unrealized Gain</w:t>
      </w:r>
      <w:r>
        <w:rPr>
          <w:rFonts w:ascii="Times New Roman" w:hAnsi="Times New Roman"/>
          <w:sz w:val="20"/>
        </w:rPr>
        <w:t xml:space="preserve">” attributable to any item of Partnership property means, as of any date of determination, the excess, if any, of (a) the fair market value of such property as of such date (as determined under </w:t>
      </w:r>
      <w:r>
        <w:rPr>
          <w:rFonts w:ascii="Times New Roman" w:hAnsi="Times New Roman"/>
          <w:sz w:val="20"/>
          <w:u w:val="single"/>
        </w:rPr>
        <w:t>Section 5.5(d)</w:t>
      </w:r>
      <w:r>
        <w:rPr>
          <w:rFonts w:ascii="Times New Roman" w:hAnsi="Times New Roman"/>
          <w:sz w:val="20"/>
        </w:rPr>
        <w:t xml:space="preserve">) over (b) the Carrying Value of such property as of such date (prior to any adjustment to be made pursuant to </w:t>
      </w:r>
      <w:r>
        <w:rPr>
          <w:rFonts w:ascii="Times New Roman" w:hAnsi="Times New Roman"/>
          <w:sz w:val="20"/>
          <w:u w:val="single"/>
        </w:rPr>
        <w:t>Section 5.5(d)</w:t>
      </w:r>
      <w:r>
        <w:rPr>
          <w:rFonts w:ascii="Times New Roman" w:hAnsi="Times New Roman"/>
          <w:sz w:val="20"/>
        </w:rPr>
        <w:t xml:space="preserve"> as of such date). </w:t>
      </w:r>
    </w:p>
    <w:p>
      <w:pPr>
        <w:pStyle w:val="TextBody"/>
        <w:bidi w:val="0"/>
        <w:spacing w:before="240" w:after="0"/>
        <w:jc w:val="left"/>
        <w:rPr/>
      </w:pPr>
      <w:r>
        <w:rPr/>
        <w:t>“</w:t>
      </w:r>
      <w:r>
        <w:rPr>
          <w:rFonts w:ascii="Times New Roman" w:hAnsi="Times New Roman"/>
          <w:i/>
          <w:sz w:val="20"/>
        </w:rPr>
        <w:t>Unrealized Loss</w:t>
      </w:r>
      <w:r>
        <w:rPr>
          <w:rFonts w:ascii="Times New Roman" w:hAnsi="Times New Roman"/>
          <w:sz w:val="20"/>
        </w:rPr>
        <w:t xml:space="preserve">” attributable to any item of Partnership property means, as of any date of determination, the excess, if any, of (a) the Carrying Value of such property as of such date (prior to any adjustment to be made pursuant to </w:t>
      </w:r>
      <w:r>
        <w:rPr>
          <w:rFonts w:ascii="Times New Roman" w:hAnsi="Times New Roman"/>
          <w:sz w:val="20"/>
          <w:u w:val="single"/>
        </w:rPr>
        <w:t>Section 5.5(d)</w:t>
      </w:r>
      <w:r>
        <w:rPr>
          <w:rFonts w:ascii="Times New Roman" w:hAnsi="Times New Roman"/>
          <w:sz w:val="20"/>
        </w:rPr>
        <w:t xml:space="preserve"> as of such date) over (b) the fair market value of such property as of such date (as determined under </w:t>
      </w:r>
      <w:r>
        <w:rPr>
          <w:rFonts w:ascii="Times New Roman" w:hAnsi="Times New Roman"/>
          <w:sz w:val="20"/>
          <w:u w:val="single"/>
        </w:rPr>
        <w:t>Section 5.5(d)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U.S. GAAP</w:t>
      </w:r>
      <w:r>
        <w:rPr>
          <w:rFonts w:ascii="Times New Roman" w:hAnsi="Times New Roman"/>
          <w:sz w:val="20"/>
        </w:rPr>
        <w:t xml:space="preserve">” means United States generally accepted accounting principles consistently applied. </w:t>
      </w:r>
    </w:p>
    <w:p>
      <w:pPr>
        <w:pStyle w:val="TextBody"/>
        <w:bidi w:val="0"/>
        <w:spacing w:before="240" w:after="0"/>
        <w:jc w:val="left"/>
        <w:rPr/>
      </w:pPr>
      <w:r>
        <w:rPr/>
        <w:t>“</w:t>
      </w:r>
      <w:r>
        <w:rPr>
          <w:rFonts w:ascii="Times New Roman" w:hAnsi="Times New Roman"/>
          <w:i/>
          <w:sz w:val="20"/>
        </w:rPr>
        <w:t>VWAP Price</w:t>
      </w:r>
      <w:r>
        <w:rPr>
          <w:rFonts w:ascii="Times New Roman" w:hAnsi="Times New Roman"/>
          <w:sz w:val="20"/>
        </w:rPr>
        <w:t xml:space="preserve">” means, as of a particular date, the volume-weighted average trading price, as adjusted for splits, combinations and other similar transactions, of a Common Unit on the National Securities Exchange on which the Common Units are then listed or admitted to trading.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Construction</w:t>
      </w:r>
      <w:r>
        <w:rPr>
          <w:rFonts w:ascii="Times New Roman" w:hAnsi="Times New Roman"/>
          <w:sz w:val="20"/>
        </w:rPr>
        <w:t>. Unless the context requires otherwise: (a) any pronoun used in this Agreement shall include the corresponding masculine, feminine or neuter forms, and the singular form of nouns, pronouns and verbs shall include the plural and vice versa; (b) references to Articles and Sections refer to Articles and Sections of this Agreement; and (c) the terms “</w:t>
      </w:r>
      <w:r>
        <w:rPr>
          <w:rFonts w:ascii="Times New Roman" w:hAnsi="Times New Roman"/>
          <w:i/>
          <w:sz w:val="20"/>
        </w:rPr>
        <w:t>include</w:t>
      </w:r>
      <w:r>
        <w:rPr>
          <w:rFonts w:ascii="Times New Roman" w:hAnsi="Times New Roman"/>
          <w:sz w:val="20"/>
        </w:rPr>
        <w:t>,” “</w:t>
      </w:r>
      <w:r>
        <w:rPr>
          <w:rFonts w:ascii="Times New Roman" w:hAnsi="Times New Roman"/>
          <w:i/>
          <w:sz w:val="20"/>
        </w:rPr>
        <w:t>includes</w:t>
      </w:r>
      <w:r>
        <w:rPr>
          <w:rFonts w:ascii="Times New Roman" w:hAnsi="Times New Roman"/>
          <w:sz w:val="20"/>
        </w:rPr>
        <w:t>,” “</w:t>
      </w:r>
      <w:r>
        <w:rPr>
          <w:rFonts w:ascii="Times New Roman" w:hAnsi="Times New Roman"/>
          <w:i/>
          <w:sz w:val="20"/>
        </w:rPr>
        <w:t>including</w:t>
      </w:r>
      <w:r>
        <w:rPr>
          <w:rFonts w:ascii="Times New Roman" w:hAnsi="Times New Roman"/>
          <w:sz w:val="20"/>
        </w:rPr>
        <w:t>” or words of like import shall be deemed to be followed by the words “</w:t>
      </w:r>
      <w:r>
        <w:rPr>
          <w:rFonts w:ascii="Times New Roman" w:hAnsi="Times New Roman"/>
          <w:i/>
          <w:sz w:val="20"/>
        </w:rPr>
        <w:t>without limitation</w:t>
      </w:r>
      <w:r>
        <w:rPr>
          <w:rFonts w:ascii="Times New Roman" w:hAnsi="Times New Roman"/>
          <w:sz w:val="20"/>
        </w:rPr>
        <w:t>;” and the terms “</w:t>
      </w:r>
      <w:r>
        <w:rPr>
          <w:rFonts w:ascii="Times New Roman" w:hAnsi="Times New Roman"/>
          <w:i/>
          <w:sz w:val="20"/>
        </w:rPr>
        <w:t>hereof</w:t>
      </w:r>
      <w:r>
        <w:rPr>
          <w:rFonts w:ascii="Times New Roman" w:hAnsi="Times New Roman"/>
          <w:sz w:val="20"/>
        </w:rPr>
        <w:t>,” “</w:t>
      </w:r>
      <w:r>
        <w:rPr>
          <w:rFonts w:ascii="Times New Roman" w:hAnsi="Times New Roman"/>
          <w:i/>
          <w:sz w:val="20"/>
        </w:rPr>
        <w:t>herein</w:t>
      </w:r>
      <w:r>
        <w:rPr>
          <w:rFonts w:ascii="Times New Roman" w:hAnsi="Times New Roman"/>
          <w:sz w:val="20"/>
        </w:rPr>
        <w:t>” or “</w:t>
      </w:r>
      <w:r>
        <w:rPr>
          <w:rFonts w:ascii="Times New Roman" w:hAnsi="Times New Roman"/>
          <w:i/>
          <w:sz w:val="20"/>
        </w:rPr>
        <w:t>hereunder</w:t>
      </w:r>
      <w:r>
        <w:rPr>
          <w:rFonts w:ascii="Times New Roman" w:hAnsi="Times New Roman"/>
          <w:sz w:val="20"/>
        </w:rPr>
        <w:t xml:space="preserve">” refer to this Agreement as a whole and not to any particular provision of this Agreement. This Agreement shall be interpreted to include the implied contractual covenant of good faith and fair dealing, which as used herein means that (i) each party to this Agreement shall not exercise its discretion under this Agreement arbitrarily, capriciously, or unreasonably in a manner that would deprive any other Person bound by the terms of this Agreement of the benefit of such other Person’s contracted for rights and expectations under this Agreement and (ii) where the express terms of this Agreement (A) do not provide for a development that the parties to this Agreement could not have anticipated at the Time of Contracting or (B) omit a term that would obviously be necessary to give efficacy to the other express terms of this Agreement in a manner consistent with the parties’ shared expectations at the Time of Contracting, then in the case of either (A) or (B), this Agreement shall be interpreted to imply terms to the limited extent necessary to fill any gaps in this Agreement’s express terms so as to protect the parties’ shared expectations at the Time of Contracting. For purposes of this </w:t>
      </w:r>
      <w:r>
        <w:rPr>
          <w:rFonts w:ascii="Times New Roman" w:hAnsi="Times New Roman"/>
          <w:sz w:val="20"/>
          <w:u w:val="single"/>
        </w:rPr>
        <w:t>Section 1.2</w:t>
      </w:r>
      <w:r>
        <w:rPr>
          <w:rFonts w:ascii="Times New Roman" w:hAnsi="Times New Roman"/>
          <w:sz w:val="20"/>
        </w:rPr>
        <w:t xml:space="preserve">, “Time of Contracting” means (i) the date the Delaware Partnership first sold limited partnership interests in a public offering or (ii) solely with respect to any provisions in this Agreement (or prior to the Effective Time, the Delaware Partnership Agreement) that were not included in the Delaware Partnership Agreement as of the time in clause (i), the effective date of such provisions in this Agreement (or, prior to the Effective Time, the Delaware Partnership Agreement) setting forth or amending provisions that may be relevant to application of the preceding sentence. The table of contents and headings contained in this Agreement are for reference purposes only, and shall not affect in any way the meaning or interpretation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ORGANIZATION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Formation</w:t>
      </w:r>
      <w:r>
        <w:rPr>
          <w:rFonts w:ascii="Times New Roman" w:hAnsi="Times New Roman"/>
          <w:sz w:val="20"/>
        </w:rPr>
        <w:t xml:space="preserve">. The Partnership was formed as of the Effective Time pursuant to the Plan of Conversion, the Certificate of Conversion and the Certificate of Formation converting the Partnership from a Delaware limited partnership to a Texas limited partnership pursuant to the Plan of Conversion, the Certificate of Conversion, the Delaware Certificate of Conversion and the provisions of the Texas Limited Partnership Law and the Delaware Act. Except as expressly provided to the contrary in this Agreement, the rights, duties (including fiduciary duties), liabilities and obligations of the Partners and the administration, dissolution and termination of the Partnership shall be governed by the Texas Limited Partnership Law, and the Partnership shall constitute a continuation of the existence of the Delaware Partnership in the form of a Texas limited partnership and, for all purposes of the laws of the State of Texas, shall be deemed to be the same entity as the Delaware Partnership. All Partnership Interests shall constitute personal property of the owner thereof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Name</w:t>
      </w:r>
      <w:r>
        <w:rPr>
          <w:rFonts w:ascii="Times New Roman" w:hAnsi="Times New Roman"/>
          <w:sz w:val="20"/>
        </w:rPr>
        <w:t xml:space="preserve">. The name of the Partnership shall be “Energy Transfer LP”. The Partnership’s business may be conducted under any other name or names as determined by the General Partner, including the name of the General Partner. The words “Limited Partnership,” “LP,” “Ltd.” or similar words or letters shall be included in the Partnership’s name where necessary for the purpose of complying with the laws of any jurisdiction that so requires. The General Partner may change the name of the Partnership at any time and from time to time and shall notify the Limited Partners of such change in the next regular communication to the Limited Partners.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Registered Office; Registered Agent; Principal Office; Other Offices</w:t>
      </w:r>
      <w:r>
        <w:rPr>
          <w:rFonts w:ascii="Times New Roman" w:hAnsi="Times New Roman"/>
          <w:sz w:val="20"/>
        </w:rPr>
        <w:t xml:space="preserve">. Unless and until changed by the General Partner, the registered office of the Partnership in the State of Texas shall be located at 211 East 7th Street, Suite 620, Austin, Texas 78701, and the registered agent for service of process on the Partnership in the State of Texas at such registered office shall be Corporation Service Company d/b/a CSC-Lawyers Incorporating Service Company. The principal office of the Partnership shall be located at 8111 Westchester Drive, Dallas, Texas 75225 or such other place as the General Partner may from time to time designate by notice to the Limited Partners. The Partnership may maintain offices at such other place or places within or outside the State of Texas as the General Partner deems necessary or appropriate. The address of the General Partner shall be 8111 Westchester Drive, Dallas, Texas 75225 or such other place as the General Partner may from time to time designate by notice to the Limited Partners.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Purpose and Business</w:t>
      </w:r>
      <w:r>
        <w:rPr>
          <w:rFonts w:ascii="Times New Roman" w:hAnsi="Times New Roman"/>
          <w:sz w:val="20"/>
        </w:rPr>
        <w:t xml:space="preserve">. The purpose and nature of the business to be conducted by the Partnership shall be to (a) engage directly in, or enter into or form any corporation, partnership, joint venture, limited liability company or other arrangement to engage indirectly in, any business activity that is approved by the General Partner and that lawfully may be conducted by a limited partnership organized pursuant to the Texas Limited Partnership Law and, in connection therewith, to exercise all of the rights and powers conferred upon the Partnership pursuant to the agreements relating to such business activity; and (b) do anything necessary or appropriate to the foregoing, including the making of capital contributions or loans to a Group Member,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General Partner shall not cause the Partnership to engage, directly or indirectly, in any business activity that the General Partner determines would cause the Partnership to be treated as an association taxable as a corporation or otherwise taxable as an entity for federal income tax purposes. To the maximum extent permitted by law, the General Partner shall have no duty or obligation to propose or approve, and may decline to propose or approve, the conduct by the Partnership of any business, free of any fiduciary duty or obligation whatsoever to the Partnership or any Limited Partner and, in declining to so propose or approve, shall not be required to act in good faith or pursuant to any other standard imposed by this Agreement, any other agreement contemplated hereby or under the Texas Limited Partnership Law or any other law, rule or regulation or at equity.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Powers</w:t>
      </w:r>
      <w:r>
        <w:rPr>
          <w:rFonts w:ascii="Times New Roman" w:hAnsi="Times New Roman"/>
          <w:sz w:val="20"/>
        </w:rPr>
        <w:t xml:space="preserve">. The Partnership shall be empowered to do any and all acts and things necessary, appropriate, proper, advisable, incidental to or convenient for the furtherance and accomplishment of the purposes and business described in </w:t>
      </w:r>
      <w:r>
        <w:rPr>
          <w:rFonts w:ascii="Times New Roman" w:hAnsi="Times New Roman"/>
          <w:sz w:val="20"/>
          <w:u w:val="single"/>
        </w:rPr>
        <w:t>Section 2.4</w:t>
      </w:r>
      <w:r>
        <w:rPr>
          <w:rFonts w:ascii="Times New Roman" w:hAnsi="Times New Roman"/>
          <w:sz w:val="20"/>
        </w:rPr>
        <w:t xml:space="preserve"> and for the protection and benefit of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Power of Attorney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Limited Partner hereby constitutes and appoints the General Partner and, if a Liquidator (other than the General Partner) shall have been selected pursuant to </w:t>
      </w:r>
      <w:r>
        <w:rPr>
          <w:rFonts w:ascii="Times New Roman" w:hAnsi="Times New Roman"/>
          <w:sz w:val="20"/>
          <w:u w:val="single"/>
        </w:rPr>
        <w:t>Section 12.3</w:t>
      </w:r>
      <w:r>
        <w:rPr>
          <w:rFonts w:ascii="Times New Roman" w:hAnsi="Times New Roman"/>
          <w:sz w:val="20"/>
        </w:rPr>
        <w:t xml:space="preserve">, the Liquidator, severally (and any successor to either thereof by merger, transfer, assignment, election or otherwise) and each of their authorized officers and attorneys-in-fact, as the case may be, with full power of substitution, as his true and lawful agent and attorney-in-fact,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full power and authority in his name, place and stead, to: (i) execute, swear to, acknowledge, deliver, file and record in the appropriate public offices (A) all certificates, documents and other instruments (including this Agreement and the Certificate of Formation and all amendments or restatements hereof or thereof) that the General Partner or the Liquidator determines to be necessary or appropriate to form, qualify or continue the existence or qualification of the Partnership as a limited partnership (or a partnership in which the limited partners have limited liability) in the State of Texas and in all other jurisdictions in which the Partnership may conduct business or own property; (B) all certificates, documents and other instruments that the General Partner or the Liquidator determines to be necessary or appropriate to reflect, in accordance with its terms, any amendment, change, modification or restatement of this Agreement; (C) all certificates, documents and other instruments (including conveyances and a certificate of cancellation) that the General Partner or the Liquidator determines to be necessary or appropriate to reflect the dissolution and liquidation of the Partnership pursuant to the terms of this Agreement; (D) all certificates, documents and other instruments relating to the admission, withdrawal, removal or substitution of any Partner pursuant to, or other events described in, </w:t>
      </w:r>
      <w:r>
        <w:rPr>
          <w:rFonts w:ascii="Times New Roman" w:hAnsi="Times New Roman"/>
          <w:sz w:val="20"/>
          <w:u w:val="single"/>
        </w:rPr>
        <w:t>Articles IV</w:t>
      </w:r>
      <w:r>
        <w:rPr>
          <w:rFonts w:ascii="Times New Roman" w:hAnsi="Times New Roman"/>
          <w:sz w:val="20"/>
        </w:rPr>
        <w:t xml:space="preserve">, </w:t>
      </w:r>
      <w:r>
        <w:rPr>
          <w:rFonts w:ascii="Times New Roman" w:hAnsi="Times New Roman"/>
          <w:sz w:val="20"/>
          <w:u w:val="single"/>
        </w:rPr>
        <w:t>X</w:t>
      </w:r>
      <w:r>
        <w:rPr>
          <w:rFonts w:ascii="Times New Roman" w:hAnsi="Times New Roman"/>
          <w:sz w:val="20"/>
        </w:rPr>
        <w:t xml:space="preserve">, </w:t>
      </w:r>
      <w:r>
        <w:rPr>
          <w:rFonts w:ascii="Times New Roman" w:hAnsi="Times New Roman"/>
          <w:sz w:val="20"/>
          <w:u w:val="single"/>
        </w:rPr>
        <w:t>XI</w:t>
      </w:r>
      <w:r>
        <w:rPr>
          <w:rFonts w:ascii="Times New Roman" w:hAnsi="Times New Roman"/>
          <w:sz w:val="20"/>
        </w:rPr>
        <w:t xml:space="preserve"> or </w:t>
      </w:r>
      <w:r>
        <w:rPr>
          <w:rFonts w:ascii="Times New Roman" w:hAnsi="Times New Roman"/>
          <w:sz w:val="20"/>
          <w:u w:val="single"/>
        </w:rPr>
        <w:t>XII</w:t>
      </w:r>
      <w:r>
        <w:rPr>
          <w:rFonts w:ascii="Times New Roman" w:hAnsi="Times New Roman"/>
          <w:sz w:val="20"/>
        </w:rPr>
        <w:t xml:space="preserve">; (E) all certificates, documents and other instruments relating to the determination of the rights, preferences and privileges of any class or series of Partnership Securities issued pursuant to </w:t>
      </w:r>
      <w:r>
        <w:rPr>
          <w:rFonts w:ascii="Times New Roman" w:hAnsi="Times New Roman"/>
          <w:sz w:val="20"/>
          <w:u w:val="single"/>
        </w:rPr>
        <w:t>Section 5.6</w:t>
      </w:r>
      <w:r>
        <w:rPr>
          <w:rFonts w:ascii="Times New Roman" w:hAnsi="Times New Roman"/>
          <w:sz w:val="20"/>
        </w:rPr>
        <w:t xml:space="preserve">; and (F) all certificates, documents and other instruments (including agreements and a certificate of merger) relating to a merger, consolidation or conversion of the Partnership pursuant to </w:t>
      </w:r>
      <w:r>
        <w:rPr>
          <w:rFonts w:ascii="Times New Roman" w:hAnsi="Times New Roman"/>
          <w:sz w:val="20"/>
          <w:u w:val="single"/>
        </w:rPr>
        <w:t>Article XIV</w:t>
      </w:r>
      <w:r>
        <w:rPr>
          <w:rFonts w:ascii="Times New Roman" w:hAnsi="Times New Roman"/>
          <w:sz w:val="20"/>
        </w:rPr>
        <w:t xml:space="preserve">; and (ii) execute, swear to, acknowledge, deliver, file and record all ballots, consents, approvals, waivers, certificates, documents and other instruments that the General Partner or the Liquidator determines to be necessary or appropriate to (A) make, evidence, give, confirm or ratify any vote, consent, approval, agreement or other action that is made or given by the Partners hereunder or is consistent with the terms of this Agreement or (B) effectuate the terms or intent of this Agreement;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when required by </w:t>
      </w:r>
      <w:r>
        <w:rPr>
          <w:rFonts w:ascii="Times New Roman" w:hAnsi="Times New Roman"/>
          <w:sz w:val="20"/>
          <w:u w:val="single"/>
        </w:rPr>
        <w:t>Section 13.3</w:t>
      </w:r>
      <w:r>
        <w:rPr>
          <w:rFonts w:ascii="Times New Roman" w:hAnsi="Times New Roman"/>
          <w:sz w:val="20"/>
        </w:rPr>
        <w:t xml:space="preserve"> or any other provision of this Agreement that establishes a percentage of the Limited Partners or of the Limited Partners of any class or series required to take any action, the General Partner and the Liquidator may exercise the power of attorney made in this </w:t>
      </w:r>
      <w:r>
        <w:rPr>
          <w:rFonts w:ascii="Times New Roman" w:hAnsi="Times New Roman"/>
          <w:sz w:val="20"/>
          <w:u w:val="single"/>
        </w:rPr>
        <w:t>Section 2.6(a)(ii)</w:t>
      </w:r>
      <w:r>
        <w:rPr>
          <w:rFonts w:ascii="Times New Roman" w:hAnsi="Times New Roman"/>
          <w:sz w:val="20"/>
        </w:rPr>
        <w:t xml:space="preserve"> only after the necessary vote, consent or approval of the Limited Partners or of the Limited Partners of such class or series,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w:t>
      </w:r>
      <w:r>
        <w:rPr>
          <w:rFonts w:ascii="Times New Roman" w:hAnsi="Times New Roman"/>
          <w:sz w:val="20"/>
          <w:u w:val="single"/>
        </w:rPr>
        <w:t>Section 2.6(a)</w:t>
      </w:r>
      <w:r>
        <w:rPr>
          <w:rFonts w:ascii="Times New Roman" w:hAnsi="Times New Roman"/>
          <w:sz w:val="20"/>
        </w:rPr>
        <w:t xml:space="preserve"> shall be construed as authorizing the General Partner to amend this Agreement except in accordance with </w:t>
      </w:r>
      <w:r>
        <w:rPr>
          <w:rFonts w:ascii="Times New Roman" w:hAnsi="Times New Roman"/>
          <w:sz w:val="20"/>
          <w:u w:val="single"/>
        </w:rPr>
        <w:t>Article XIII</w:t>
      </w:r>
      <w:r>
        <w:rPr>
          <w:rFonts w:ascii="Times New Roman" w:hAnsi="Times New Roman"/>
          <w:sz w:val="20"/>
        </w:rPr>
        <w:t xml:space="preserve"> or as may be otherwise expressly provided for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foregoing power of attorney is hereby declared to be irrevocable and a power coupled with an interest, and it shall survive and, to the maximum extent permitted by law, not be affected by the subsequent death, incompetency, disability, incapacity, dissolution, bankruptcy or termination of any Limited Partner and the transfer of all or any portion of such Limited Partner’s Partnership Interest and shall extend to such Limited Partner’s heirs, successors, assigns and personal representatives. Each such Limited Partner hereby agrees to be bound by any representation made by the General Partner or the Liquidator acting in good faith pursuant to such power of attorney; and each such Limited Partner, to the maximum extent permitted by law, hereby waives any and all defenses that may be available to contest, negate or disaffirm the action of the General Partner or the Liquidator taken in good faith under such power of attorney. Each Limited Partner shall execute and deliver to the General Partner or the Liquidator, within 15 days after receipt of the request therefor, such further designation, powers of attorney and other instruments as the General Partner or the Liquidator may request in order to effectuate this Agreement and the purposes of the Partnership.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Term</w:t>
      </w:r>
      <w:r>
        <w:rPr>
          <w:rFonts w:ascii="Times New Roman" w:hAnsi="Times New Roman"/>
          <w:sz w:val="20"/>
        </w:rPr>
        <w:t xml:space="preserve">. The term of the Partnership shall continue until the dissolution of the Partnership in accordance with the provisions of </w:t>
      </w:r>
      <w:r>
        <w:rPr>
          <w:rFonts w:ascii="Times New Roman" w:hAnsi="Times New Roman"/>
          <w:sz w:val="20"/>
          <w:u w:val="single"/>
        </w:rPr>
        <w:t>Article XII</w:t>
      </w:r>
      <w:r>
        <w:rPr>
          <w:rFonts w:ascii="Times New Roman" w:hAnsi="Times New Roman"/>
          <w:sz w:val="20"/>
        </w:rPr>
        <w:t xml:space="preserve">. The existence of the Partnership as a separate legal entity shall continue until the filing of a certificate of termination as provided in the Texas Limited Partnership Law. </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Title to Partnership Assets</w:t>
      </w:r>
      <w:r>
        <w:rPr>
          <w:rFonts w:ascii="Times New Roman" w:hAnsi="Times New Roman"/>
          <w:sz w:val="20"/>
        </w:rPr>
        <w:t xml:space="preserve">. Title to Partnership assets, whether real, personal or mixed and whether tangible or intangible, shall be deemed to be owned by the Partnership as an entity, and no Partner, individually or collectively, shall have any ownership interest in such Partnership assets or any portion thereof. Title to any or all of the Partnership assets may be held in the name of the Partnership, the General Partner, one or more of its Affiliates or one or more nominees, as the General Partner may determine. The General Partner hereby declares and warrants that any Partnership assets for which record title is held in the name of the General Partner or one or more of its Affiliates or one or more nominees shall be held by the General Partner or such Affiliate or nominee for the use and benefit of the Partnership in accordance with the provisions of this Agreement;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General Partner shall use reasonable efforts to cause record title to such assets (other than those assets in respect of which the General Partner determines that the expense and difficulty of conveyancing makes transfer of record title to the Partnership impracticable) to be vested in the Partnership as soon as reasonably practicable;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prior to the withdrawal or removal of the General Partner or as soon thereafter as practicable, the General Partner shall use reasonable efforts to effect the transfer to the Partnership of record title to all Partnership assets held by the General Partner or its Affiliates and, prior to any such transfer, will provide for the use of such assets in a manner satisfactory to the General Partner. All Partnership assets shall be recorded as the property of the Partnership in its books and records, irrespective of the name in which record title to such Partnership assets is held.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RIGHTS OF LIMITED PARTNERS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Limitation of Liability</w:t>
      </w:r>
      <w:r>
        <w:rPr>
          <w:rFonts w:ascii="Times New Roman" w:hAnsi="Times New Roman"/>
          <w:sz w:val="20"/>
        </w:rPr>
        <w:t xml:space="preserve">. The Limited Partners shall have no liability under this Agreement except as expressly provided in this Agreement or the Texas Limited Partnership Law.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Management of Business</w:t>
      </w:r>
      <w:r>
        <w:rPr>
          <w:rFonts w:ascii="Times New Roman" w:hAnsi="Times New Roman"/>
          <w:sz w:val="20"/>
        </w:rPr>
        <w:t xml:space="preserve">. No Limited Partner or Assignee, in its capacity as such, shall participate in the operation, management or control (within the meaning of the Texas Limited Partnership Law) of the Partnership’s business, transact any business in the Partnership’s name or have the power to sign documents for or otherwise bind the Partnership. Any action taken by any Affiliate of the General Partner or any officer, director, employee, manager, member, general partner, agent or trustee of the General Partner or any of its Affiliates, or any officer, director, employee, manager, member, general partner, agent or trustee of a Group Member, in its capacity as such, shall not be deemed to be participation in the control of the business of the Partnership by a limited partner of the Partnership (within the meaning of Sections 153.103 and 153.104 of the Texas Limited Partnership Law) and shall not affect, impair or eliminate the limitations on the liability of the Limited Partners or Assignees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Outside Activities of the Limited Partners</w:t>
      </w:r>
      <w:r>
        <w:rPr>
          <w:rFonts w:ascii="Times New Roman" w:hAnsi="Times New Roman"/>
          <w:sz w:val="20"/>
        </w:rPr>
        <w:t xml:space="preserve">. Subject to the provisions of </w:t>
      </w:r>
      <w:r>
        <w:rPr>
          <w:rFonts w:ascii="Times New Roman" w:hAnsi="Times New Roman"/>
          <w:sz w:val="20"/>
          <w:u w:val="single"/>
        </w:rPr>
        <w:t>Section 7.5</w:t>
      </w:r>
      <w:r>
        <w:rPr>
          <w:rFonts w:ascii="Times New Roman" w:hAnsi="Times New Roman"/>
          <w:sz w:val="20"/>
        </w:rPr>
        <w:t xml:space="preserve">, which shall continue to be applicable to the Persons referred to therein, regardless of whether such Persons shall also be Limited Partners, any Limited Partner or Assignee shall be entitled to and may have business interests and engage in business activities in addition to those relating to the Partnership, including business interests and activities in direct competition with the Partnership. Neither the Partnership nor any of the other Partners or Assignees shall have any rights by virtue of this Agreement in any business ventures of any Limited Partner or Assignee.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Rights of Limited Partners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addition to other rights provided by this Agreement or by applicable law, and except as limited by </w:t>
      </w:r>
      <w:r>
        <w:rPr>
          <w:rFonts w:ascii="Times New Roman" w:hAnsi="Times New Roman"/>
          <w:sz w:val="20"/>
          <w:u w:val="single"/>
        </w:rPr>
        <w:t>Section 3.4(b)</w:t>
      </w:r>
      <w:r>
        <w:rPr>
          <w:rFonts w:ascii="Times New Roman" w:hAnsi="Times New Roman"/>
          <w:sz w:val="20"/>
        </w:rPr>
        <w:t xml:space="preserve">, each Limited Partner shall have the right, for a purpose reasonably related to such Limited Partner’s interest as a Limited Partner in the Partnership, upon reasonable written demand stating the purpose of such demand and at such Limited Partner’s own expense: </w:t>
      </w:r>
    </w:p>
    <w:p>
      <w:pPr>
        <w:pStyle w:val="TextBody"/>
        <w:bidi w:val="0"/>
        <w:spacing w:before="120" w:after="0"/>
        <w:jc w:val="left"/>
        <w:rPr>
          <w:rFonts w:ascii="Times New Roman" w:hAnsi="Times New Roman"/>
          <w:sz w:val="20"/>
        </w:rPr>
      </w:pPr>
      <w:r>
        <w:rPr>
          <w:rFonts w:ascii="Times New Roman" w:hAnsi="Times New Roman"/>
          <w:sz w:val="20"/>
        </w:rPr>
        <w:t xml:space="preserve">(i) to obtain true and full information regarding the status of the business and financial condition of the Partnership; </w:t>
      </w:r>
    </w:p>
    <w:p>
      <w:pPr>
        <w:pStyle w:val="TextBody"/>
        <w:bidi w:val="0"/>
        <w:spacing w:before="120" w:after="0"/>
        <w:jc w:val="left"/>
        <w:rPr>
          <w:rFonts w:ascii="Times New Roman" w:hAnsi="Times New Roman"/>
          <w:sz w:val="20"/>
        </w:rPr>
      </w:pPr>
      <w:r>
        <w:rPr>
          <w:rFonts w:ascii="Times New Roman" w:hAnsi="Times New Roman"/>
          <w:sz w:val="20"/>
        </w:rPr>
        <w:t xml:space="preserve">(ii) promptly after its becoming available, to obtain a copy of the Partnership’s federal, state and local income tax returns for each year; </w:t>
      </w:r>
    </w:p>
    <w:p>
      <w:pPr>
        <w:pStyle w:val="TextBody"/>
        <w:bidi w:val="0"/>
        <w:spacing w:before="120" w:after="0"/>
        <w:jc w:val="left"/>
        <w:rPr>
          <w:rFonts w:ascii="Times New Roman" w:hAnsi="Times New Roman"/>
          <w:sz w:val="20"/>
        </w:rPr>
      </w:pPr>
      <w:r>
        <w:rPr>
          <w:rFonts w:ascii="Times New Roman" w:hAnsi="Times New Roman"/>
          <w:sz w:val="20"/>
        </w:rPr>
        <w:t xml:space="preserve">(iii) to obtain a current list of the name and last known business, residence or mailing address of each Partner; </w:t>
      </w:r>
    </w:p>
    <w:p>
      <w:pPr>
        <w:pStyle w:val="TextBody"/>
        <w:bidi w:val="0"/>
        <w:spacing w:before="120" w:after="0"/>
        <w:jc w:val="left"/>
        <w:rPr>
          <w:rFonts w:ascii="Times New Roman" w:hAnsi="Times New Roman"/>
          <w:sz w:val="20"/>
        </w:rPr>
      </w:pPr>
      <w:r>
        <w:rPr>
          <w:rFonts w:ascii="Times New Roman" w:hAnsi="Times New Roman"/>
          <w:sz w:val="20"/>
        </w:rPr>
        <w:t xml:space="preserve">(iv) to obtain a copy of this Agreement and the Certificate of Formation and all amendments thereto, together with a copy of the executed copies of all powers of attorney pursuant to which this Agreement, the Certificate of Formation and all amendments thereto have been executed; </w:t>
      </w:r>
    </w:p>
    <w:p>
      <w:pPr>
        <w:pStyle w:val="TextBody"/>
        <w:bidi w:val="0"/>
        <w:spacing w:before="120" w:after="0"/>
        <w:jc w:val="left"/>
        <w:rPr>
          <w:rFonts w:ascii="Times New Roman" w:hAnsi="Times New Roman"/>
          <w:sz w:val="20"/>
        </w:rPr>
      </w:pPr>
      <w:r>
        <w:rPr>
          <w:rFonts w:ascii="Times New Roman" w:hAnsi="Times New Roman"/>
          <w:sz w:val="20"/>
        </w:rPr>
        <w:t xml:space="preserve">(v) to obtain true and full information regarding the amount of cash and a description and statement of the Net Agreed Value of any other Capital Contribution by each Partner and that each Partner has agreed to contribute in the future, and the date on which each became a Partner; and </w:t>
      </w:r>
    </w:p>
    <w:p>
      <w:pPr>
        <w:pStyle w:val="TextBody"/>
        <w:bidi w:val="0"/>
        <w:spacing w:before="120" w:after="0"/>
        <w:jc w:val="left"/>
        <w:rPr>
          <w:rFonts w:ascii="Times New Roman" w:hAnsi="Times New Roman"/>
          <w:sz w:val="20"/>
        </w:rPr>
      </w:pPr>
      <w:r>
        <w:rPr>
          <w:rFonts w:ascii="Times New Roman" w:hAnsi="Times New Roman"/>
          <w:sz w:val="20"/>
        </w:rPr>
        <w:t xml:space="preserve">(vi) to obtain such other information regarding the affairs of the Partnership as is just and reasonable.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 other provision of this Agreement, the General Partner may keep confidential from the Limited Partners, for such period of time as the General Partner determines, (i) any information that the General Partner reasonably believes to be in the nature of trade secrets or (ii) other information the disclosure of which the General Partner believes (A) is not in the best interests of the Partnership, (B) could damage the Partnership or its business or (C) that any Group Member is required by law or by agreement with any third party to keep confidential (other than agreements with Affiliates of the Partnership the primary purpose of which is to circumvent the obligations set forth in this </w:t>
      </w:r>
      <w:r>
        <w:rPr>
          <w:rFonts w:ascii="Times New Roman" w:hAnsi="Times New Roman"/>
          <w:sz w:val="20"/>
          <w:u w:val="single"/>
        </w:rPr>
        <w:t>Section 3.4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CERTIFICATES; RECORD HOLDERS; TRANSFER OF PARTNERSHIP INTERESTS; </w:t>
      </w:r>
    </w:p>
    <w:p>
      <w:pPr>
        <w:pStyle w:val="TextBody"/>
        <w:bidi w:val="0"/>
        <w:spacing w:before="0" w:after="0"/>
        <w:jc w:val="center"/>
        <w:rPr>
          <w:rFonts w:ascii="Times New Roman" w:hAnsi="Times New Roman"/>
          <w:b/>
          <w:sz w:val="20"/>
        </w:rPr>
      </w:pPr>
      <w:r>
        <w:rPr>
          <w:rFonts w:ascii="Times New Roman" w:hAnsi="Times New Roman"/>
          <w:b/>
          <w:sz w:val="20"/>
        </w:rPr>
        <w:t xml:space="preserve">REDEMPTION OF PARTNERSHIP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Certificates</w:t>
      </w:r>
      <w:r>
        <w:rPr>
          <w:rFonts w:ascii="Times New Roman" w:hAnsi="Times New Roman"/>
          <w:sz w:val="20"/>
        </w:rPr>
        <w:t xml:space="preserve">. Upon the Partnership’s issuance of Common Units to any Person, the Partnership shall issue, upon the request of such Person, one or more Certificates in the name of such Person evidencing the number of such Units being so issued. In addition, (a) upon the General Partner’s request, the Partnership shall issue to it one or more Certificates in the name of the General Partner evidencing its interests in the Partnership and (b) upon the request of any Person owning other Partnership Securities, the Partnership shall issue to such Person one or more Certificates evidencing such other Partnership Securities. Certificates shall be executed on behalf of the Partnership by the Chairman of the Board, President or any Vice President and the Secretary or any Assistant Secretary of the General Partner. No Common Unit Certificate shall be valid for any purpose until it has been countersigned by the Transfer Agent;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if the General Partner elects to issue Common Units in global form, the Common Unit Certificates shall be valid upon receipt of a certificate from the Transfer Agent certifying that the Common Units have been duly registered in accordance with the directions of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Mutilated, Destroyed, Lost or Stolen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any mutilated Certificate is surrendered to the Transfer Agent (for Common Units) or the General Partner (for Partnership Securities other than Common Units), the appropriate officers of the General Partner on behalf of the Partnership shall execute, and the Transfer Agent (for Common Units) or the Partnership (for Partnership Securities other than Common Units) shall countersign and deliver in exchange therefor, a new Certificate evidencing the same number and type of Partnership Securities as the Certificate so surrendered. </w:t>
      </w:r>
    </w:p>
    <w:p>
      <w:pPr>
        <w:pStyle w:val="TextBody"/>
        <w:bidi w:val="0"/>
        <w:spacing w:before="240" w:after="0"/>
        <w:jc w:val="left"/>
        <w:rPr>
          <w:rFonts w:ascii="Times New Roman" w:hAnsi="Times New Roman"/>
          <w:sz w:val="20"/>
        </w:rPr>
      </w:pPr>
      <w:r>
        <w:rPr>
          <w:rFonts w:ascii="Times New Roman" w:hAnsi="Times New Roman"/>
          <w:sz w:val="20"/>
        </w:rPr>
        <w:t xml:space="preserve">(b) The appropriate officers of the General Partner on behalf of the Partnership shall execute and deliver, and the Transfer Agent (for Common Units) or the Partnership (for Partnership Securities other than Common Units) shall countersign, a new Certificate in place of any Certificate previously issued if the Record Holder of the Certificate: </w:t>
      </w:r>
    </w:p>
    <w:p>
      <w:pPr>
        <w:pStyle w:val="TextBody"/>
        <w:bidi w:val="0"/>
        <w:spacing w:before="120" w:after="0"/>
        <w:jc w:val="left"/>
        <w:rPr>
          <w:rFonts w:ascii="Times New Roman" w:hAnsi="Times New Roman"/>
          <w:sz w:val="20"/>
        </w:rPr>
      </w:pPr>
      <w:r>
        <w:rPr>
          <w:rFonts w:ascii="Times New Roman" w:hAnsi="Times New Roman"/>
          <w:sz w:val="20"/>
        </w:rPr>
        <w:t xml:space="preserve">(i) makes proof by affidavit, in form and substance satisfactory to the General Partner, that a previously issued Certificate has been lost, destroyed or stolen; </w:t>
      </w:r>
    </w:p>
    <w:p>
      <w:pPr>
        <w:pStyle w:val="TextBody"/>
        <w:bidi w:val="0"/>
        <w:spacing w:before="120" w:after="0"/>
        <w:jc w:val="left"/>
        <w:rPr>
          <w:rFonts w:ascii="Times New Roman" w:hAnsi="Times New Roman"/>
          <w:sz w:val="20"/>
        </w:rPr>
      </w:pPr>
      <w:r>
        <w:rPr>
          <w:rFonts w:ascii="Times New Roman" w:hAnsi="Times New Roman"/>
          <w:sz w:val="20"/>
        </w:rPr>
        <w:t xml:space="preserve">(ii) requests the issuance of a new Certificate before the General Partner has notice that the Certificate has been acquired by a purchaser for value in good faith and without notice of an adverse claim; </w:t>
      </w:r>
    </w:p>
    <w:p>
      <w:pPr>
        <w:pStyle w:val="TextBody"/>
        <w:bidi w:val="0"/>
        <w:spacing w:before="120" w:after="0"/>
        <w:jc w:val="left"/>
        <w:rPr>
          <w:rFonts w:ascii="Times New Roman" w:hAnsi="Times New Roman"/>
          <w:sz w:val="20"/>
        </w:rPr>
      </w:pPr>
      <w:r>
        <w:rPr>
          <w:rFonts w:ascii="Times New Roman" w:hAnsi="Times New Roman"/>
          <w:sz w:val="20"/>
        </w:rPr>
        <w:t xml:space="preserve">(iii) if requested by the General Partner, delivers to the General Partner a bond, in form and substance satisfactory to the General Partner, with surety or sureties and with fixed or open penalty as the General Partner may direct to indemnify the Partnership, the Partners, the General Partner and the Transfer Agent against any claim that may be made on account of the alleged loss, destruction or theft of the Certificate; and (iv) satisfies any other reasonable requirements imposed by the General Partner.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a Limited Partner or Assignee fails to notify the General Partner within a reasonable period of time after he has notice of the loss, destruction or theft of a Certificate, and a transfer of the Limited Partner Interests represented by the Certificate is registered before the Partnership, the General Partner or the Transfer Agent receives such notification, the Limited Partner or Assignee shall be precluded from making any claim against the Partnership, the General Partner or the Transfer Agent for such transfer or for a new Certificate. </w:t>
      </w:r>
    </w:p>
    <w:p>
      <w:pPr>
        <w:pStyle w:val="TextBody"/>
        <w:bidi w:val="0"/>
        <w:spacing w:before="240" w:after="0"/>
        <w:jc w:val="left"/>
        <w:rPr>
          <w:rFonts w:ascii="Times New Roman" w:hAnsi="Times New Roman"/>
          <w:sz w:val="20"/>
        </w:rPr>
      </w:pPr>
      <w:r>
        <w:rPr>
          <w:rFonts w:ascii="Times New Roman" w:hAnsi="Times New Roman"/>
          <w:sz w:val="20"/>
        </w:rPr>
        <w:t xml:space="preserve">(d) As a condition to the issuance of any new Certificate under this </w:t>
      </w:r>
      <w:r>
        <w:rPr>
          <w:rFonts w:ascii="Times New Roman" w:hAnsi="Times New Roman"/>
          <w:sz w:val="20"/>
          <w:u w:val="single"/>
        </w:rPr>
        <w:t>Section 4.2</w:t>
      </w:r>
      <w:r>
        <w:rPr>
          <w:rFonts w:ascii="Times New Roman" w:hAnsi="Times New Roman"/>
          <w:sz w:val="20"/>
        </w:rPr>
        <w:t xml:space="preserve">, the General Partner may require the payment of a sum sufficient to cover any tax or other governmental charge that may be imposed in relation thereto and any other expenses (including the fees and expenses of the Transfer Agent) reasonably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Record Holders</w:t>
      </w:r>
      <w:r>
        <w:rPr>
          <w:rFonts w:ascii="Times New Roman" w:hAnsi="Times New Roman"/>
          <w:sz w:val="20"/>
        </w:rPr>
        <w:t xml:space="preserve">. The Partnership shall be entitled to recognize the Record Holder as the Partner or Assignee with respect to any Partnership Interest and, accordingly, shall not be bound to recognize any equitable or other claim to or interest in such Partnership Interest on the part of any other Person, regardless of whether the Partnership shall have actual or other notice thereof, except as otherwise provided by law or any applicable rule, regulation, guideline or requirement of any National Securities Exchange on which such Partnership Interests are listed or admitted for trading. Without limiting the foregoing, when a Person (such as a broker, dealer, bank, trust company or clearing corporation or an agent of any of the foregoing) is acting as nominee, agent or in some other representative capacity for another Person in acquiring and/or holding Partnership Interests, as between the Partnership on the one hand, and such other Persons on the other, such representative Person (a) shall be the Partner or Assignee (as the case may be) of record and beneficially, and (b) shall be bound by this Agreement and shall have the rights and obligations of a Partner or Assignee (as the case may be) hereunder and as, and to the extent provided for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Transfer Generally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term “</w:t>
      </w:r>
      <w:r>
        <w:rPr>
          <w:rFonts w:ascii="Times New Roman" w:hAnsi="Times New Roman"/>
          <w:i/>
          <w:sz w:val="20"/>
        </w:rPr>
        <w:t>transfer</w:t>
      </w:r>
      <w:r>
        <w:rPr>
          <w:rFonts w:ascii="Times New Roman" w:hAnsi="Times New Roman"/>
          <w:sz w:val="20"/>
        </w:rPr>
        <w:t xml:space="preserve">,” when used in this Agreement with respect to a Partnership Interest, shall be deemed to refer to a transaction (i) by which the General Partner assigns its General Partner Interest to another Person, and includes a sale, assignment, gift, pledge, encumbrance, hypothecation, mortgage, exchange, or any other disposition by law or otherwise or (ii) by which the holder of a Limited Partner Interest assigns such Limited Partner Interest to another Person who is or becomes a Limited Partner or an Assignee, and includes a sale, assignment, gift, exchange or any other disposition by law or otherwise, including any transfer upon foreclosure of any pledge, encumbrance, hypothecation or mortgage. </w:t>
      </w:r>
    </w:p>
    <w:p>
      <w:pPr>
        <w:pStyle w:val="TextBody"/>
        <w:bidi w:val="0"/>
        <w:spacing w:before="240" w:after="0"/>
        <w:jc w:val="left"/>
        <w:rPr>
          <w:rFonts w:ascii="Times New Roman" w:hAnsi="Times New Roman"/>
          <w:sz w:val="20"/>
        </w:rPr>
      </w:pPr>
      <w:r>
        <w:rPr>
          <w:rFonts w:ascii="Times New Roman" w:hAnsi="Times New Roman"/>
          <w:sz w:val="20"/>
        </w:rPr>
        <w:t xml:space="preserve">(b) No Partnership Interest shall be transferred, in whole or in part, except in accordance with the terms and conditions set forth in this </w:t>
      </w:r>
      <w:r>
        <w:rPr>
          <w:rFonts w:ascii="Times New Roman" w:hAnsi="Times New Roman"/>
          <w:sz w:val="20"/>
          <w:u w:val="single"/>
        </w:rPr>
        <w:t>Article IV</w:t>
      </w:r>
      <w:r>
        <w:rPr>
          <w:rFonts w:ascii="Times New Roman" w:hAnsi="Times New Roman"/>
          <w:sz w:val="20"/>
        </w:rPr>
        <w:t xml:space="preserve">. Any transfer or purported transfer of a Partnership Interest not made in accordance with this </w:t>
      </w:r>
      <w:r>
        <w:rPr>
          <w:rFonts w:ascii="Times New Roman" w:hAnsi="Times New Roman"/>
          <w:sz w:val="20"/>
          <w:u w:val="single"/>
        </w:rPr>
        <w:t>Article IV</w:t>
      </w:r>
      <w:r>
        <w:rPr>
          <w:rFonts w:ascii="Times New Roman" w:hAnsi="Times New Roman"/>
          <w:sz w:val="20"/>
        </w:rPr>
        <w:t xml:space="preserve"> shall be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(c) Nothing contained in this Agreement shall be construed to prevent a disposition by any stockholder, member, partner or other owner of the General Partner of any or all of the issued and outstanding member interests, partner interests or other ownership interests in the General Partner, including through a merger or consolidation of the General Partner.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Registration and Transfer of Limited Partner Interests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General Partner shall keep or cause to be kept on behalf of the Partnership a register in which, subject to such reasonable regulations as it may prescribe and subject to the provisions of </w:t>
      </w:r>
      <w:r>
        <w:rPr>
          <w:rFonts w:ascii="Times New Roman" w:hAnsi="Times New Roman"/>
          <w:sz w:val="20"/>
          <w:u w:val="single"/>
        </w:rPr>
        <w:t>Section 4.5(b)</w:t>
      </w:r>
      <w:r>
        <w:rPr>
          <w:rFonts w:ascii="Times New Roman" w:hAnsi="Times New Roman"/>
          <w:sz w:val="20"/>
        </w:rPr>
        <w:t xml:space="preserve">, the Partnership will provide for the registration and transfer of Limited Partner Interests. The Transfer Agent is hereby appointed registrar and transfer agent for the purpose of registering Common Units and transfers of such Common Units as herein provided. The Partnership shall not recognize transfers of Certificates evidencing Limited Partner Interests unless such transfers are effected in the manner described in this </w:t>
      </w:r>
      <w:r>
        <w:rPr>
          <w:rFonts w:ascii="Times New Roman" w:hAnsi="Times New Roman"/>
          <w:sz w:val="20"/>
          <w:u w:val="single"/>
        </w:rPr>
        <w:t>Section 4.5</w:t>
      </w:r>
      <w:r>
        <w:rPr>
          <w:rFonts w:ascii="Times New Roman" w:hAnsi="Times New Roman"/>
          <w:sz w:val="20"/>
        </w:rPr>
        <w:t xml:space="preserve">. Upon surrender of a Certificate for registration of transfer of any Limited Partner Interests evidenced by a Certificate, and subject to the provisions of </w:t>
      </w:r>
      <w:r>
        <w:rPr>
          <w:rFonts w:ascii="Times New Roman" w:hAnsi="Times New Roman"/>
          <w:sz w:val="20"/>
          <w:u w:val="single"/>
        </w:rPr>
        <w:t>Section 4.5(b)</w:t>
      </w:r>
      <w:r>
        <w:rPr>
          <w:rFonts w:ascii="Times New Roman" w:hAnsi="Times New Roman"/>
          <w:sz w:val="20"/>
        </w:rPr>
        <w:t xml:space="preserve">, the appropriate officers of the General Partner on behalf of the Partnership shall execute and deliver, and in the case of Common Units, the Transfer Agent shall countersign and deliver, in the name of the holder or the designated transferee or transferees, as required pursuant to the holder’s instructions, one or more new Certificates evidencing the same aggregate number and type of Limited Partner Interests as was evidenced by the Certificate so surrendered.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provided in </w:t>
      </w:r>
      <w:r>
        <w:rPr>
          <w:rFonts w:ascii="Times New Roman" w:hAnsi="Times New Roman"/>
          <w:sz w:val="20"/>
          <w:u w:val="single"/>
        </w:rPr>
        <w:t>Section 4.8</w:t>
      </w:r>
      <w:r>
        <w:rPr>
          <w:rFonts w:ascii="Times New Roman" w:hAnsi="Times New Roman"/>
          <w:sz w:val="20"/>
        </w:rPr>
        <w:t xml:space="preserve">, the Partnership shall not recognize any transfer of Limited Partner Interests until (i) the Certificates evidencing such Limited Partner Interests are surrendered for registration of transfer and (ii) following a FERC Notice, such Certificates are accompanied by a Transfer Application and accompanying Taxation Certification, properly completed and duly executed by the transferee (or the transferee’s attorney-in-fact duly authorized in writing). No charge shall be imposed by the General Partner for such transfer;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as a condition to the issuance of any new Certificate under this </w:t>
      </w:r>
      <w:r>
        <w:rPr>
          <w:rFonts w:ascii="Times New Roman" w:hAnsi="Times New Roman"/>
          <w:sz w:val="20"/>
          <w:u w:val="single"/>
        </w:rPr>
        <w:t>Section 4.5</w:t>
      </w:r>
      <w:r>
        <w:rPr>
          <w:rFonts w:ascii="Times New Roman" w:hAnsi="Times New Roman"/>
          <w:sz w:val="20"/>
        </w:rPr>
        <w:t xml:space="preserve">, the General Partner may require the payment of a sum sufficient to cover any tax or other governmental charge that may be imposed with respect thereto. Following a FERC Notice, no distributions or allocations will be made in respect of the Limited Partner Interests until a properly completed Transfer Application has been delivered. </w:t>
      </w:r>
    </w:p>
    <w:p>
      <w:pPr>
        <w:pStyle w:val="TextBody"/>
        <w:bidi w:val="0"/>
        <w:spacing w:before="240" w:after="0"/>
        <w:jc w:val="left"/>
        <w:rPr>
          <w:rFonts w:ascii="Times New Roman" w:hAnsi="Times New Roman"/>
          <w:sz w:val="20"/>
        </w:rPr>
      </w:pPr>
      <w:r>
        <w:rPr>
          <w:rFonts w:ascii="Times New Roman" w:hAnsi="Times New Roman"/>
          <w:sz w:val="20"/>
        </w:rPr>
        <w:t xml:space="preserve">(c) Limited Partner Interests may be transferred only in the manner described in this </w:t>
      </w:r>
      <w:r>
        <w:rPr>
          <w:rFonts w:ascii="Times New Roman" w:hAnsi="Times New Roman"/>
          <w:sz w:val="20"/>
          <w:u w:val="single"/>
        </w:rPr>
        <w:t>Section 4.5</w:t>
      </w:r>
      <w:r>
        <w:rPr>
          <w:rFonts w:ascii="Times New Roman" w:hAnsi="Times New Roman"/>
          <w:sz w:val="20"/>
        </w:rPr>
        <w:t xml:space="preserve">. The transfer of any Limited Partner Interests and the admission of any new Limited Partner shall not constitute an amendment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Until admitted as a Substituted Limited Partner pursuant to </w:t>
      </w:r>
      <w:r>
        <w:rPr>
          <w:rFonts w:ascii="Times New Roman" w:hAnsi="Times New Roman"/>
          <w:sz w:val="20"/>
          <w:u w:val="single"/>
        </w:rPr>
        <w:t>Section 10.1</w:t>
      </w:r>
      <w:r>
        <w:rPr>
          <w:rFonts w:ascii="Times New Roman" w:hAnsi="Times New Roman"/>
          <w:sz w:val="20"/>
        </w:rPr>
        <w:t xml:space="preserve">, the Record Holder of a Limited Partner Interest shall be an Assignee in respect of such Limited Partner Interest. Limited Partners may include custodians, nominees or any other individual or entity in its own or any representative capacity. </w:t>
      </w:r>
    </w:p>
    <w:p>
      <w:pPr>
        <w:pStyle w:val="TextBody"/>
        <w:bidi w:val="0"/>
        <w:spacing w:before="240" w:after="0"/>
        <w:jc w:val="left"/>
        <w:rPr>
          <w:rFonts w:ascii="Times New Roman" w:hAnsi="Times New Roman"/>
          <w:sz w:val="20"/>
        </w:rPr>
      </w:pPr>
      <w:r>
        <w:rPr>
          <w:rFonts w:ascii="Times New Roman" w:hAnsi="Times New Roman"/>
          <w:sz w:val="20"/>
        </w:rPr>
        <w:t xml:space="preserve">(e) Following a FERC Notice, a transferee of a Limited Partner Interest who has completed and delivered a Transfer Application shall be deemed to have (i) requested admission as a Substituted Limited Partner, (ii) agreed to comply with and be bound by and to have executed this Agreement, (iii) represented and warranted that such transferee has the right, power and authority and, if an individual, the capacity to enter into this Agreement, (iv) granted the powers of attorney set forth in this Agreement, and (v) given the consents and approvals and made the waivers contained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Subject to (i) the foregoing provisions of this </w:t>
      </w:r>
      <w:r>
        <w:rPr>
          <w:rFonts w:ascii="Times New Roman" w:hAnsi="Times New Roman"/>
          <w:sz w:val="20"/>
          <w:u w:val="single"/>
        </w:rPr>
        <w:t>Section 4.5</w:t>
      </w:r>
      <w:r>
        <w:rPr>
          <w:rFonts w:ascii="Times New Roman" w:hAnsi="Times New Roman"/>
          <w:sz w:val="20"/>
        </w:rPr>
        <w:t>, (ii)</w:t>
      </w:r>
      <w:r>
        <w:rPr>
          <w:rFonts w:ascii="Times New Roman" w:hAnsi="Times New Roman"/>
          <w:sz w:val="20"/>
          <w:u w:val="single"/>
        </w:rPr>
        <w:t> Section 4.3</w:t>
      </w:r>
      <w:r>
        <w:rPr>
          <w:rFonts w:ascii="Times New Roman" w:hAnsi="Times New Roman"/>
          <w:sz w:val="20"/>
        </w:rPr>
        <w:t>, (iii)</w:t>
      </w:r>
      <w:r>
        <w:rPr>
          <w:rFonts w:ascii="Times New Roman" w:hAnsi="Times New Roman"/>
          <w:sz w:val="20"/>
          <w:u w:val="single"/>
        </w:rPr>
        <w:t> Section 4.7</w:t>
      </w:r>
      <w:r>
        <w:rPr>
          <w:rFonts w:ascii="Times New Roman" w:hAnsi="Times New Roman"/>
          <w:sz w:val="20"/>
        </w:rPr>
        <w:t xml:space="preserve">, (iv) with respect to any series of Limited Partner Interests, the provisions of any statement of designations or amendment to this Agreement establishing such series, (v) any contractual provisions binding on any Limited Partner and (vi) provisions of applicable law including the Securities Act, Limited Partner Interests shall be freely transferable.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Transfer of the General Partner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4.6(b)</w:t>
      </w:r>
      <w:r>
        <w:rPr>
          <w:rFonts w:ascii="Times New Roman" w:hAnsi="Times New Roman"/>
          <w:sz w:val="20"/>
        </w:rPr>
        <w:t xml:space="preserve"> below, the General Partner may transfer all or any of its General Partner Interest (represented by General Partner Units) without Unitholder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herein to the contrary, no transfer by the General Partner of all or any part of its General Partner Interest (represented by General Partner Units) to another Person shall be permitted unless (i) the transferee agrees to assume the rights and duties of the General Partner under this Agreement and to be bound by the provisions of this Agreement and (ii) the Partnership receives an Opinion of Counsel that such transfer would not result in the loss of limited liability under Texas law of any Limited Partner or cause the Partnership to be treated as an association taxable as a corporation or otherwise to be taxed as an entity for federal income tax purposes (to the extent not already so treated or taxed), (iii) such transferee also agrees to purchase all (or the appropriate portion thereof, if applicable) of the partnership or membership interest of the General Partner as the general partner or managing member, if any, of each other Group Member. In the case of a transfer pursuant to and in compliance with this </w:t>
      </w:r>
      <w:r>
        <w:rPr>
          <w:rFonts w:ascii="Times New Roman" w:hAnsi="Times New Roman"/>
          <w:sz w:val="20"/>
          <w:u w:val="single"/>
        </w:rPr>
        <w:t>Section 4.6</w:t>
      </w:r>
      <w:r>
        <w:rPr>
          <w:rFonts w:ascii="Times New Roman" w:hAnsi="Times New Roman"/>
          <w:sz w:val="20"/>
        </w:rPr>
        <w:t xml:space="preserve">, the transferee or successor (as the case may be) shall, subject to compliance with the terms of </w:t>
      </w:r>
      <w:r>
        <w:rPr>
          <w:rFonts w:ascii="Times New Roman" w:hAnsi="Times New Roman"/>
          <w:sz w:val="20"/>
          <w:u w:val="single"/>
        </w:rPr>
        <w:t>Section 10.2</w:t>
      </w:r>
      <w:r>
        <w:rPr>
          <w:rFonts w:ascii="Times New Roman" w:hAnsi="Times New Roman"/>
          <w:sz w:val="20"/>
        </w:rPr>
        <w:t xml:space="preserve">, be admitted to the Partnership as the General Partner immediately prior to the transfer of the General Partner Interest, and the business of the Partnership shall continue without dissolution. </w:t>
      </w:r>
    </w:p>
    <w:p>
      <w:pPr>
        <w:pStyle w:val="TextBody"/>
        <w:bidi w:val="0"/>
        <w:spacing w:before="240" w:after="0"/>
        <w:jc w:val="left"/>
        <w:rPr>
          <w:rFonts w:ascii="Times New Roman" w:hAnsi="Times New Roman"/>
          <w:sz w:val="20"/>
        </w:rPr>
      </w:pPr>
      <w:r>
        <w:rPr>
          <w:rFonts w:ascii="Times New Roman" w:hAnsi="Times New Roman"/>
          <w:sz w:val="20"/>
        </w:rPr>
        <w:t xml:space="preserve">Section 4.7 </w:t>
      </w:r>
      <w:r>
        <w:rPr>
          <w:rFonts w:ascii="Times New Roman" w:hAnsi="Times New Roman"/>
          <w:sz w:val="20"/>
          <w:u w:val="single"/>
        </w:rPr>
        <w:t>Restrictions on Transfers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provided in </w:t>
      </w:r>
      <w:r>
        <w:rPr>
          <w:rFonts w:ascii="Times New Roman" w:hAnsi="Times New Roman"/>
          <w:sz w:val="20"/>
          <w:u w:val="single"/>
        </w:rPr>
        <w:t>Section 4.7(c)</w:t>
      </w:r>
      <w:r>
        <w:rPr>
          <w:rFonts w:ascii="Times New Roman" w:hAnsi="Times New Roman"/>
          <w:sz w:val="20"/>
        </w:rPr>
        <w:t xml:space="preserve"> below, but notwithstanding the other provisions of this </w:t>
      </w:r>
      <w:r>
        <w:rPr>
          <w:rFonts w:ascii="Times New Roman" w:hAnsi="Times New Roman"/>
          <w:sz w:val="20"/>
          <w:u w:val="single"/>
        </w:rPr>
        <w:t>Article IV</w:t>
      </w:r>
      <w:r>
        <w:rPr>
          <w:rFonts w:ascii="Times New Roman" w:hAnsi="Times New Roman"/>
          <w:sz w:val="20"/>
        </w:rPr>
        <w:t xml:space="preserve">, no transfer of any Partnership Interests shall be made if such transfer would (i) violate the then applicable federal or state securities laws or rules and regulations of the Commission, any state securities commission or any other governmental authority with jurisdiction over such transfer, (ii) terminate the existence or qualification of the Partnership under the laws of the jurisdiction of its formation, or (iii) cause the Partnership to be treated as an association taxable as a corporation or otherwise to be taxed as an entity for federal income tax purposes (to the extent not already so treated or taxed). </w:t>
      </w:r>
    </w:p>
    <w:p>
      <w:pPr>
        <w:pStyle w:val="TextBody"/>
        <w:bidi w:val="0"/>
        <w:spacing w:before="240" w:after="0"/>
        <w:jc w:val="left"/>
        <w:rPr>
          <w:rFonts w:ascii="Times New Roman" w:hAnsi="Times New Roman"/>
          <w:sz w:val="20"/>
        </w:rPr>
      </w:pPr>
      <w:r>
        <w:rPr>
          <w:rFonts w:ascii="Times New Roman" w:hAnsi="Times New Roman"/>
          <w:sz w:val="20"/>
        </w:rPr>
        <w:t xml:space="preserve">(b) The General Partner may impose restrictions on the transfer of Partnership Interests if it receives an Opinion of Counsel that such restrictions are necessary to avoid a significant risk of the Partnership becoming taxable as a corporation or otherwise becoming taxable as an entity for federal income tax purposes. The General Partner may impose such restrictions by amending this Agreement;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any amendment that would result in the delisting or suspension of trading of any class of Limited Partner Interests on the principal National Securities Exchange on which such class of Limited Partner Interests is then listed or admitted for trading must be approved, prior to such amendment being effected, by the holders of at least a majority of the Outstanding Limited Partner Interests of such class.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Nothing contained in this </w:t>
      </w:r>
      <w:r>
        <w:rPr>
          <w:rFonts w:ascii="Times New Roman" w:hAnsi="Times New Roman"/>
          <w:sz w:val="20"/>
          <w:u w:val="single"/>
        </w:rPr>
        <w:t>Article IV</w:t>
      </w:r>
      <w:r>
        <w:rPr>
          <w:rFonts w:ascii="Times New Roman" w:hAnsi="Times New Roman"/>
          <w:sz w:val="20"/>
        </w:rPr>
        <w:t xml:space="preserve">, or elsewhere in this Agreement, shall preclude the settlement of any transactions involving Partnership Interests entered into through the facilities of any National Securities Exchange on which such Partnership Interests are listed or admitted for trading. </w:t>
      </w:r>
    </w:p>
    <w:p>
      <w:pPr>
        <w:pStyle w:val="TextBody"/>
        <w:bidi w:val="0"/>
        <w:spacing w:before="240" w:after="0"/>
        <w:jc w:val="left"/>
        <w:rPr>
          <w:rFonts w:ascii="Times New Roman" w:hAnsi="Times New Roman"/>
          <w:sz w:val="20"/>
        </w:rPr>
      </w:pPr>
      <w:r>
        <w:rPr>
          <w:rFonts w:ascii="Times New Roman" w:hAnsi="Times New Roman"/>
          <w:sz w:val="20"/>
        </w:rPr>
        <w:t xml:space="preserve">(d) Each certificate evidencing Partnership Interests shall bear a conspicuous legend in substantially the following form: </w:t>
      </w:r>
    </w:p>
    <w:p>
      <w:pPr>
        <w:pStyle w:val="TextBody"/>
        <w:bidi w:val="0"/>
        <w:spacing w:before="240" w:after="0"/>
        <w:jc w:val="left"/>
        <w:rPr>
          <w:rFonts w:ascii="Times New Roman" w:hAnsi="Times New Roman"/>
          <w:sz w:val="20"/>
        </w:rPr>
      </w:pPr>
      <w:r>
        <w:rPr>
          <w:rFonts w:ascii="Times New Roman" w:hAnsi="Times New Roman"/>
          <w:sz w:val="20"/>
        </w:rPr>
        <w:t xml:space="preserve">THE HOLDER OF THIS SECURITY ACKNOWLEDGES FOR THE BENEFIT OF ENERGY TRANSFER LP THAT THIS SECURITY MAY NOT BE SOLD, OFFERED, RESOLD, PLEDGED OR OTHERWISE TRANSFERRED IF SUCH TRANSFER WOULD (A) VIOLATE THE THEN APPLICABLE FEDERAL OR STATE SECURITIES LAWS OR RULES AND REGULATIONS OF THE SECURITIES AND EXCHANGE COMMISSION, ANY STATE SECURITIES COMMISSION OR ANY OTHER GOVERNMENTAL AUTHORITY WITH JURISDICTION OVER SUCH TRANSFER, (B) TERMINATE THE EXISTENCE OR QUALIFICATION OF ENERGY TRANSFER LP UNDER THE LAWS OF THE STATE OF TEXAS, OR (C) CAUSE ENERGY TRANSFER LP TO BE TREATED AS AN ASSOCIATION TAXABLE AS A CORPORATION OR OTHERWISE TO BE TAXED AS AN ENTITY FOR FEDERAL INCOME TAX PURPOSES (TO THE EXTENT NOT ALREADY SO TREATED OR TAXED). LE GP, LLC, THE GENERAL PARTNER OF ENERGY TRANSFER LP, MAY IMPOSE ADDITIONAL RESTRICTIONS ON THE TRANSFER OF THIS SECURITY IF IT RECEIVES AN OPINION OF COUNSEL THAT SUCH RESTRICTIONS ARE NECESSARY TO AVOID A SIGNIFICANT RISK OF ENERGY TRANSFER LP BECOMING TAXABLE AS A CORPORATION OR OTHERWISE BECOMING TAXABLE AS AN ENTITY FOR FEDERAL INCOME TAX PURPOSES. THE RESTRICTIONS SET FORTH ABOVE SHALL NOT PRECLUDE THE SETTLEMENT OF ANY TRANSACTIONS INVOLVING THIS SECURITY ENTERED INTO THROUGH THE FACILITIES OF ANY NATIONAL SECURITIES EXCHANGE ON WHICH THIS SECURITY IS LISTED OR ADMITTED TO TRADING. </w:t>
      </w:r>
    </w:p>
    <w:p>
      <w:pPr>
        <w:pStyle w:val="TextBody"/>
        <w:bidi w:val="0"/>
        <w:spacing w:before="240" w:after="0"/>
        <w:jc w:val="left"/>
        <w:rPr>
          <w:rFonts w:ascii="Times New Roman" w:hAnsi="Times New Roman"/>
          <w:sz w:val="20"/>
        </w:rPr>
      </w:pPr>
      <w:r>
        <w:rPr>
          <w:rFonts w:ascii="Times New Roman" w:hAnsi="Times New Roman"/>
          <w:sz w:val="20"/>
        </w:rPr>
        <w:t xml:space="preserve">Section 4.8 </w:t>
      </w:r>
      <w:r>
        <w:rPr>
          <w:rFonts w:ascii="Times New Roman" w:hAnsi="Times New Roman"/>
          <w:sz w:val="20"/>
          <w:u w:val="single"/>
        </w:rPr>
        <w:t>Taxation Certifications; Ineligible Assignees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Following a FERC Notice, if a transferee of a Limited Partner Interest fails to furnish a properly completed Taxation Certification in the manner specified in </w:t>
      </w:r>
      <w:r>
        <w:rPr>
          <w:rFonts w:ascii="Times New Roman" w:hAnsi="Times New Roman"/>
          <w:sz w:val="20"/>
          <w:u w:val="single"/>
        </w:rPr>
        <w:t>Section 4.5(b)</w:t>
      </w:r>
      <w:r>
        <w:rPr>
          <w:rFonts w:ascii="Times New Roman" w:hAnsi="Times New Roman"/>
          <w:sz w:val="20"/>
        </w:rPr>
        <w:t xml:space="preserve"> or if, upon receipt of such Taxation Certification or otherwise, the General Partner determines that such transferee is not an Eligible Holder, the Limited Partner Interests owned by such transferee shall be subject to redemption in accordance with the provisions of </w:t>
      </w:r>
      <w:r>
        <w:rPr>
          <w:rFonts w:ascii="Times New Roman" w:hAnsi="Times New Roman"/>
          <w:sz w:val="20"/>
          <w:u w:val="single"/>
        </w:rPr>
        <w:t>Section 4.9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Following a FERC Notice, the General Partner may request any Limited Partner or Assignee to furnish to the General Partner, within 30 days after receipt of such request, an executed Taxation Certification or such other information concerning his federal income tax status with respect to the income and loss generated by the Partnership (or, if the Limited Partner or Assignee is a nominee holding for the account of another Person, the federal income tax status of such Person) as the General Partner may reasonably request. If a Limited Partner or Assignee fails to furnish to the General Partner within the aforementioned 30-day period such Taxation Certification or other requested information or if upon receipt of such Taxation Certification or other requested information the General Partner determines that a Limited Partner or Assignee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 an Eligible Holder, the Limited Partner Interests owned by such Limited Partner or Assignee shall be subject to redemption in accordance with the provisions of </w:t>
      </w:r>
      <w:r>
        <w:rPr>
          <w:rFonts w:ascii="Times New Roman" w:hAnsi="Times New Roman"/>
          <w:sz w:val="20"/>
          <w:u w:val="single"/>
        </w:rPr>
        <w:t>Section 4.9</w:t>
      </w:r>
      <w:r>
        <w:rPr>
          <w:rFonts w:ascii="Times New Roman" w:hAnsi="Times New Roman"/>
          <w:sz w:val="20"/>
        </w:rPr>
        <w:t xml:space="preserve">. In addition, the General Partner may require that the status of any such Limited Partner or Assignee be changed to that of an Ineligible Assignee and, thereupon, the General Partner shall be substituted for such Ineligible Assignee as the Limited Partner in respect of the Ineligible Assignee’s Limited Partner Interests. </w:t>
      </w:r>
    </w:p>
    <w:p>
      <w:pPr>
        <w:pStyle w:val="TextBody"/>
        <w:bidi w:val="0"/>
        <w:spacing w:before="240" w:after="0"/>
        <w:jc w:val="left"/>
        <w:rPr>
          <w:rFonts w:ascii="Times New Roman" w:hAnsi="Times New Roman"/>
          <w:sz w:val="20"/>
        </w:rPr>
      </w:pPr>
      <w:r>
        <w:rPr>
          <w:rFonts w:ascii="Times New Roman" w:hAnsi="Times New Roman"/>
          <w:sz w:val="20"/>
        </w:rPr>
        <w:t xml:space="preserve">(c) Following a FERC Notice, the General Partner shall, in exercising voting rights in respect of Limited Partner Interests held by it on behalf of Ineligible Assignees, distribute the votes in the same ratios as the votes of Partners (including without limitation the General Partner) in respect of Limited Partner Interests other than those of Ineligible Assignees are cast, either for, against or abstaining as to the matter. </w:t>
      </w:r>
    </w:p>
    <w:p>
      <w:pPr>
        <w:pStyle w:val="TextBody"/>
        <w:bidi w:val="0"/>
        <w:spacing w:before="240" w:after="0"/>
        <w:jc w:val="left"/>
        <w:rPr>
          <w:rFonts w:ascii="Times New Roman" w:hAnsi="Times New Roman"/>
          <w:sz w:val="20"/>
        </w:rPr>
      </w:pPr>
      <w:r>
        <w:rPr>
          <w:rFonts w:ascii="Times New Roman" w:hAnsi="Times New Roman"/>
          <w:sz w:val="20"/>
        </w:rPr>
        <w:t xml:space="preserve">(d) Upon dissolution of the Partnership, an Ineligible Assignee shall have no right to receive a distribution in kind pursuant to </w:t>
      </w:r>
      <w:r>
        <w:rPr>
          <w:rFonts w:ascii="Times New Roman" w:hAnsi="Times New Roman"/>
          <w:sz w:val="20"/>
          <w:u w:val="single"/>
        </w:rPr>
        <w:t>Section 12.4</w:t>
      </w:r>
      <w:r>
        <w:rPr>
          <w:rFonts w:ascii="Times New Roman" w:hAnsi="Times New Roman"/>
          <w:sz w:val="20"/>
        </w:rPr>
        <w:t xml:space="preserve"> but shall be entitled to the cash equivalent thereof, and the Partnership shall provide cash in exchange for an assignment of the Ineligible Assignee’s share of any distribution in kind. Such payment and assignment shall be treated for Partnership purposes as a purchase by the Partnership from the Ineligible Assignee of his Limited Partner Interest (representing his right to receive his share of such distribution in kind). </w:t>
      </w:r>
    </w:p>
    <w:p>
      <w:pPr>
        <w:pStyle w:val="TextBody"/>
        <w:bidi w:val="0"/>
        <w:spacing w:before="240" w:after="0"/>
        <w:jc w:val="left"/>
        <w:rPr>
          <w:rFonts w:ascii="Times New Roman" w:hAnsi="Times New Roman"/>
          <w:sz w:val="20"/>
        </w:rPr>
      </w:pPr>
      <w:r>
        <w:rPr>
          <w:rFonts w:ascii="Times New Roman" w:hAnsi="Times New Roman"/>
          <w:sz w:val="20"/>
        </w:rPr>
        <w:t xml:space="preserve">(e) At any time after an Ineligible Assignee can and does certify that it has become an Eligible Holder, such Ineligible Assignee may, upon application to the General Partner, request admission as a Substituted Limited Partner with respect to any Limited Partner Interests of such Ineligible Assignee not redeemed pursuant to </w:t>
      </w:r>
      <w:r>
        <w:rPr>
          <w:rFonts w:ascii="Times New Roman" w:hAnsi="Times New Roman"/>
          <w:sz w:val="20"/>
          <w:u w:val="single"/>
        </w:rPr>
        <w:t>Section 4.9</w:t>
      </w:r>
      <w:r>
        <w:rPr>
          <w:rFonts w:ascii="Times New Roman" w:hAnsi="Times New Roman"/>
          <w:sz w:val="20"/>
        </w:rPr>
        <w:t xml:space="preserve">, such Ineligible Assignee be admitted as a Limited Partner, and upon admission of such Ineligible Assignee pursuant to </w:t>
      </w:r>
      <w:r>
        <w:rPr>
          <w:rFonts w:ascii="Times New Roman" w:hAnsi="Times New Roman"/>
          <w:sz w:val="20"/>
          <w:u w:val="single"/>
        </w:rPr>
        <w:t>Section 10.2</w:t>
      </w:r>
      <w:r>
        <w:rPr>
          <w:rFonts w:ascii="Times New Roman" w:hAnsi="Times New Roman"/>
          <w:sz w:val="20"/>
        </w:rPr>
        <w:t xml:space="preserve"> the General Partner shall cease to be deemed to be the Limited Partner in respect of such Ineligible Assignee’s Limited Partner Interests. </w:t>
      </w:r>
    </w:p>
    <w:p>
      <w:pPr>
        <w:pStyle w:val="TextBody"/>
        <w:bidi w:val="0"/>
        <w:spacing w:before="240" w:after="0"/>
        <w:jc w:val="left"/>
        <w:rPr>
          <w:rFonts w:ascii="Times New Roman" w:hAnsi="Times New Roman"/>
          <w:sz w:val="20"/>
        </w:rPr>
      </w:pPr>
      <w:r>
        <w:rPr>
          <w:rFonts w:ascii="Times New Roman" w:hAnsi="Times New Roman"/>
          <w:sz w:val="20"/>
        </w:rPr>
        <w:t xml:space="preserve">Section 4.9 </w:t>
      </w:r>
      <w:r>
        <w:rPr>
          <w:rFonts w:ascii="Times New Roman" w:hAnsi="Times New Roman"/>
          <w:sz w:val="20"/>
          <w:u w:val="single"/>
        </w:rPr>
        <w:t>Redemption of Partnership Interests of Ineligible Assignees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at any time following a FERC Notice, the General Partner determines that Limited Partners, Assignees and transferees of Limited Partner Interests that are not Eligible Holders own, in the aggregate, 15% or more of the Outstanding Units, the Partnership may redeem the Limited Partner Interest of any Limited Partner, Assignee or transferee of any Limited Partner, Assignee or transferee that has failed to furnish to the General Partner a Transfer Application and accompanying Taxation Certification pursuant to </w:t>
      </w:r>
      <w:r>
        <w:rPr>
          <w:rFonts w:ascii="Times New Roman" w:hAnsi="Times New Roman"/>
          <w:sz w:val="20"/>
          <w:u w:val="single"/>
        </w:rPr>
        <w:t>Section 4.5(b)</w:t>
      </w:r>
      <w:r>
        <w:rPr>
          <w:rFonts w:ascii="Times New Roman" w:hAnsi="Times New Roman"/>
          <w:sz w:val="20"/>
        </w:rPr>
        <w:t xml:space="preserve"> or that has failed to furnish to the General Partner a Taxation Certification or other information requested within the 30-day period specified in </w:t>
      </w:r>
      <w:r>
        <w:rPr>
          <w:rFonts w:ascii="Times New Roman" w:hAnsi="Times New Roman"/>
          <w:sz w:val="20"/>
          <w:u w:val="single"/>
        </w:rPr>
        <w:t>Section 4.8(b)</w:t>
      </w:r>
      <w:r>
        <w:rPr>
          <w:rFonts w:ascii="Times New Roman" w:hAnsi="Times New Roman"/>
          <w:sz w:val="20"/>
        </w:rPr>
        <w:t xml:space="preserve">, or if upon receipt of such Taxation Certification or other information the General Partner determines, with the advice of counsel, that a Limited Partner, Assignee or transferee is not an Eligible Holder, in accordance with the following procedures: </w:t>
      </w:r>
    </w:p>
    <w:p>
      <w:pPr>
        <w:pStyle w:val="TextBody"/>
        <w:bidi w:val="0"/>
        <w:spacing w:before="120" w:after="0"/>
        <w:jc w:val="left"/>
        <w:rPr>
          <w:rFonts w:ascii="Times New Roman" w:hAnsi="Times New Roman"/>
          <w:sz w:val="20"/>
        </w:rPr>
      </w:pPr>
      <w:r>
        <w:rPr>
          <w:rFonts w:ascii="Times New Roman" w:hAnsi="Times New Roman"/>
          <w:sz w:val="20"/>
        </w:rPr>
        <w:t xml:space="preserve">(i) The General Partner shall, not later than the 30th day before the date fixed for redemption, give notice of redemption to the Limited Partner, Assignee or transferee, at his last address designated on the records of the Partnership or the Transfer Agent, by registered or certified mail, postage prepaid. The notice shall be deemed to have been given when so mailed. The notice shall specify the Redeemable Interests, the date fixed for redemption, the place of payment, and that payment of the redemption price will be made upon surrender of the Certificate evidencing the Redeemable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aggregate redemption price for Redeemable Interests of a Limited Partner, Assignee or transferee shall be an amount equal to the Current Market Price (the date of determination of which shall be the date fixed for redemption) of Limited Partner Interests of the class to be so redeemed multiplied by the number of Limited Partner Interests of each such class included among the Redeemable Interests owned by such Limited Partner, Assignee or transferee. The redemption price shall be paid as determined by the General Partner, in cash or by delivery of a promissory note of the Partnership in the principal amount of the redemption price, bearing interest at the rate of 5% annually and payable in three equal annual installments of principal together with accrued interest, commencing one year after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(iii) Upon surrender by or on behalf of the Limited Partner, Assignee or transferee, at the place specified in the notice of redemption, of the Certificate evidencing the Redeemable Interests, duly endorsed in blank or accompanied by an assignment duly executed in blank, the Limited Partner, Assignee or transferee, or his duly authorized representative shall be entitled to receive the payment therefor. </w:t>
      </w:r>
    </w:p>
    <w:p>
      <w:pPr>
        <w:pStyle w:val="TextBody"/>
        <w:bidi w:val="0"/>
        <w:spacing w:before="120" w:after="0"/>
        <w:jc w:val="left"/>
        <w:rPr>
          <w:rFonts w:ascii="Times New Roman" w:hAnsi="Times New Roman"/>
          <w:sz w:val="20"/>
        </w:rPr>
      </w:pPr>
      <w:r>
        <w:rPr>
          <w:rFonts w:ascii="Times New Roman" w:hAnsi="Times New Roman"/>
          <w:sz w:val="20"/>
        </w:rPr>
        <w:t xml:space="preserve">(iv) After the redemption date, Redeemable Interests shall no longer constitute issued and Outstanding Limited Partner Interests. </w:t>
      </w:r>
    </w:p>
    <w:p>
      <w:pPr>
        <w:pStyle w:val="TextBody"/>
        <w:bidi w:val="0"/>
        <w:spacing w:before="240" w:after="0"/>
        <w:jc w:val="left"/>
        <w:rPr>
          <w:rFonts w:ascii="Times New Roman" w:hAnsi="Times New Roman"/>
          <w:sz w:val="20"/>
        </w:rPr>
      </w:pPr>
      <w:r>
        <w:rPr>
          <w:rFonts w:ascii="Times New Roman" w:hAnsi="Times New Roman"/>
          <w:sz w:val="20"/>
        </w:rPr>
        <w:t xml:space="preserve">(b) The provisions of this </w:t>
      </w:r>
      <w:r>
        <w:rPr>
          <w:rFonts w:ascii="Times New Roman" w:hAnsi="Times New Roman"/>
          <w:sz w:val="20"/>
          <w:u w:val="single"/>
        </w:rPr>
        <w:t>Section 4.9</w:t>
      </w:r>
      <w:r>
        <w:rPr>
          <w:rFonts w:ascii="Times New Roman" w:hAnsi="Times New Roman"/>
          <w:sz w:val="20"/>
        </w:rPr>
        <w:t xml:space="preserve"> shall also be applicable to Limited Partner Interests held by a Limited Partner or Assignee as nominee of a Person determined to be other than an Eligible Holder. </w:t>
      </w:r>
    </w:p>
    <w:p>
      <w:pPr>
        <w:pStyle w:val="TextBody"/>
        <w:bidi w:val="0"/>
        <w:spacing w:before="240" w:after="0"/>
        <w:jc w:val="left"/>
        <w:rPr>
          <w:rFonts w:ascii="Times New Roman" w:hAnsi="Times New Roman"/>
          <w:sz w:val="20"/>
        </w:rPr>
      </w:pPr>
      <w:r>
        <w:rPr>
          <w:rFonts w:ascii="Times New Roman" w:hAnsi="Times New Roman"/>
          <w:sz w:val="20"/>
        </w:rPr>
        <w:t xml:space="preserve">(c) Nothing in this </w:t>
      </w:r>
      <w:r>
        <w:rPr>
          <w:rFonts w:ascii="Times New Roman" w:hAnsi="Times New Roman"/>
          <w:sz w:val="20"/>
          <w:u w:val="single"/>
        </w:rPr>
        <w:t>Section 4.9</w:t>
      </w:r>
      <w:r>
        <w:rPr>
          <w:rFonts w:ascii="Times New Roman" w:hAnsi="Times New Roman"/>
          <w:sz w:val="20"/>
        </w:rPr>
        <w:t xml:space="preserve"> shall prevent the recipient of a notice of redemption from transferring his Limited Partner Interest before the redemption date if such transfer is otherwise permitted under this Agreement. Upon receipt of notice of such a transfer, the General Partner shall withdraw the notice of redemption, provided the transferee of such Limited Partner Interest certifies to the satisfaction of the General Partner in a Taxation Certification that he is an Eligible Holder. If the transferee fails to make such certification, such redemption shall be effected from the transferee on the original redemption date.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CAPITAL CONTRIBUTIONS AND ISSUANCE OF PARTNERSHIP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Prior Contributions</w:t>
      </w:r>
      <w:r>
        <w:rPr>
          <w:rFonts w:ascii="Times New Roman" w:hAnsi="Times New Roman"/>
          <w:sz w:val="20"/>
        </w:rPr>
        <w:t xml:space="preserve">. Prior to the date hereof, the General Partner made certain Capital Contributions to the Partnership in exchange for an interest in the Partnership and has been admitted as the General Partner of the Partnership, and the Initial Limited Partners made certain Capital Contributions to the Partnership in exchange for an interest in the Partnership and have been admitted as Limited Partners of the Partnership.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Continuation of General Partner and Limited Partner Interests; Initial Offering; Contributions by the General Partner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Upon the Effective Time, the General Partner Interest (represented by General Partner Units) of the General Partner shall be continued, subject to all of the rights, privileges and duties of the General Partner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Upon the Effective Time, the Limited Partner Interests of the Initial Limited Partners shall be converted into the number of Common Units specified for each Initial Limited Partner in </w:t>
      </w:r>
      <w:r>
        <w:rPr>
          <w:rFonts w:ascii="Times New Roman" w:hAnsi="Times New Roman"/>
          <w:sz w:val="20"/>
          <w:u w:val="single"/>
        </w:rPr>
        <w:t>Exhibit B</w:t>
      </w:r>
      <w:r>
        <w:rPr>
          <w:rFonts w:ascii="Times New Roman" w:hAnsi="Times New Roman"/>
          <w:sz w:val="20"/>
        </w:rPr>
        <w:t xml:space="preserve"> hereto, and such Limited Partner Interests shall be continued. </w:t>
      </w:r>
    </w:p>
    <w:p>
      <w:pPr>
        <w:pStyle w:val="TextBody"/>
        <w:bidi w:val="0"/>
        <w:spacing w:before="240" w:after="0"/>
        <w:jc w:val="left"/>
        <w:rPr>
          <w:rFonts w:ascii="Times New Roman" w:hAnsi="Times New Roman"/>
          <w:sz w:val="20"/>
        </w:rPr>
      </w:pPr>
      <w:r>
        <w:rPr>
          <w:rFonts w:ascii="Times New Roman" w:hAnsi="Times New Roman"/>
          <w:sz w:val="20"/>
        </w:rPr>
        <w:t xml:space="preserve">(c) Upon the issuance of any additional Limited Partner Interests by the Partnership, the General Partner may make, but is not obligated to make, additional Capital Contributions equal to its percentage interest (the quotient determined by dividing such General Partner’s Percentage Interest by the sum of 100 less such General Partner’s Percentage Interest) of any amount contributed to the Partnership by the Limited Partners in exchange for such additional Limited Partner Interests. Notwithstanding the preceding sentence and except as set forth in </w:t>
      </w:r>
      <w:r>
        <w:rPr>
          <w:rFonts w:ascii="Times New Roman" w:hAnsi="Times New Roman"/>
          <w:sz w:val="20"/>
          <w:u w:val="single"/>
        </w:rPr>
        <w:t>Article XII</w:t>
      </w:r>
      <w:r>
        <w:rPr>
          <w:rFonts w:ascii="Times New Roman" w:hAnsi="Times New Roman"/>
          <w:sz w:val="20"/>
        </w:rPr>
        <w:t xml:space="preserve">, the General Partner shall not be obligated to make any additional Capital Contributions to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Contributions by the Underwriters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On the Closing Date and pursuant to the Underwriting Agreement, each Underwriter contributed to the Partnership cash in an amount equal to the Issue Price per Initial Common Unit multiplied by the number of Common Units specified in the Underwriting Agreement purchased by such Underwriter at the Closing Date. In exchange for such Capital Contributions by the Underwriters, the Partnership shall issue Common Units to each Underwriter on whose behalf such Capital Contribution is made in an amount equal to the quotient obtained by dividing (i) the cash contribution to the Partnership by or on behalf of such Underwriter by (ii) the Issue Price per Initial Common Unit. </w:t>
      </w:r>
    </w:p>
    <w:p>
      <w:pPr>
        <w:pStyle w:val="TextBody"/>
        <w:bidi w:val="0"/>
        <w:spacing w:before="240" w:after="0"/>
        <w:jc w:val="left"/>
        <w:rPr>
          <w:rFonts w:ascii="Times New Roman" w:hAnsi="Times New Roman"/>
          <w:sz w:val="20"/>
        </w:rPr>
      </w:pPr>
      <w:r>
        <w:rPr>
          <w:rFonts w:ascii="Times New Roman" w:hAnsi="Times New Roman"/>
          <w:sz w:val="20"/>
        </w:rPr>
        <w:t xml:space="preserve">(b) Upon the exercise of the Over-Allotment Option, each Underwriter shall contribute to the Partnership cash in an amount equal to the Issue Price per Initial Common Unit, multiplied by the number of Common Units to be purchased by such Underwriter at the Option Closing Date. In exchange for such Capital Contributions by the Underwriters, the Partnership shall issue Common Units to each Underwriter on whose behalf such Capital Contribution is made in an amount equal to the quotient obtained by dividing (i) the cash contributions to the Partnership by or on behalf of such Underwriter by (ii) the Issue Price per Initial Common Unit. </w:t>
      </w:r>
    </w:p>
    <w:p>
      <w:pPr>
        <w:pStyle w:val="TextBody"/>
        <w:bidi w:val="0"/>
        <w:spacing w:before="240" w:after="0"/>
        <w:jc w:val="left"/>
        <w:rPr>
          <w:rFonts w:ascii="Times New Roman" w:hAnsi="Times New Roman"/>
          <w:sz w:val="20"/>
        </w:rPr>
      </w:pPr>
      <w:r>
        <w:rPr>
          <w:rFonts w:ascii="Times New Roman" w:hAnsi="Times New Roman"/>
          <w:sz w:val="20"/>
        </w:rPr>
        <w:t xml:space="preserve">(c) Except as provided in </w:t>
      </w:r>
      <w:r>
        <w:rPr>
          <w:rFonts w:ascii="Times New Roman" w:hAnsi="Times New Roman"/>
          <w:sz w:val="20"/>
          <w:u w:val="single"/>
        </w:rPr>
        <w:t>Section 5.1</w:t>
      </w:r>
      <w:r>
        <w:rPr>
          <w:rFonts w:ascii="Times New Roman" w:hAnsi="Times New Roman"/>
          <w:sz w:val="20"/>
        </w:rPr>
        <w:t>, no Limited Partner Interests were issued or issuable as of or at the Closing Date other than (i) the Common Units issuable pursuant to subparagraph (a) hereof in aggregate number equal to 21,000,000 Units and (ii) the “</w:t>
      </w:r>
      <w:r>
        <w:rPr>
          <w:rFonts w:ascii="Times New Roman" w:hAnsi="Times New Roman"/>
          <w:i/>
          <w:sz w:val="20"/>
        </w:rPr>
        <w:t>Option Units</w:t>
      </w:r>
      <w:r>
        <w:rPr>
          <w:rFonts w:ascii="Times New Roman" w:hAnsi="Times New Roman"/>
          <w:sz w:val="20"/>
        </w:rPr>
        <w:t xml:space="preserve">” as such term is used in the Underwriting Agreement issuable upon exercise of the Over-Allotment Option pursuant to subparagraph (b) hereof in an aggregate number of up to 3,150,000 additional Units, and (iii) the Common Units issued to the Initial Limited Partners in an aggregate number of up to 112,983,557.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Interest and Withdrawal</w:t>
      </w:r>
      <w:r>
        <w:rPr>
          <w:rFonts w:ascii="Times New Roman" w:hAnsi="Times New Roman"/>
          <w:sz w:val="20"/>
        </w:rPr>
        <w:t xml:space="preserve">. No interest on Capital Contributions shall be paid by the Partnership. No Partner or Assignee, including any Partner deemed to withdraw under </w:t>
      </w:r>
      <w:r>
        <w:rPr>
          <w:rFonts w:ascii="Times New Roman" w:hAnsi="Times New Roman"/>
          <w:sz w:val="20"/>
          <w:u w:val="single"/>
        </w:rPr>
        <w:t>Section 11.4</w:t>
      </w:r>
      <w:r>
        <w:rPr>
          <w:rFonts w:ascii="Times New Roman" w:hAnsi="Times New Roman"/>
          <w:sz w:val="20"/>
        </w:rPr>
        <w:t xml:space="preserve">, shall be entitled to the withdrawal or return of its Capital Contribution, except to the extent, if any, that distributions made pursuant to this Agreement or upon termination of the Partnership may be considered as such by law and then only to the extent provided for in this Agreement. Except to the extent expressly provided in this Agreement, no Partner or Assignee shall have priority over any other Partner or Assignee either as to the return of Capital Contributions or as to profits, losses or distributions. Any such return shall be a compromise to which all Partners or Assignees agree within the meaning of Section 153.203 of the Texas Limited Partnership Law.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Capital Accounts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Partnership shall maintain for each Partner (or a beneficial owner of Partnership Interests held by a nominee in any case in which the nominee has furnished the identity of such owner to the Partnership in accordance with Section 6031(c) of the Code or any other method acceptable to the General Partner) owning a Partnership Interest a separate Capital Account with respect to such Partnership Interest (other than a Class A Unit) in accordance with the rules of Treasury Regulation Section 1.704-1(b)(2)(iv). Such Capital Account shall be increased by (i) the amount of all Capital Contributions made to the Partnership with respect to such Partnership Interest and (ii) all items of Partnership income and gain (including, without limitation, income and gain exempt from tax) computed in accordance with </w:t>
      </w:r>
      <w:r>
        <w:rPr>
          <w:rFonts w:ascii="Times New Roman" w:hAnsi="Times New Roman"/>
          <w:sz w:val="20"/>
          <w:u w:val="single"/>
        </w:rPr>
        <w:t>Section 5.5(b)</w:t>
      </w:r>
      <w:r>
        <w:rPr>
          <w:rFonts w:ascii="Times New Roman" w:hAnsi="Times New Roman"/>
          <w:sz w:val="20"/>
        </w:rPr>
        <w:t xml:space="preserve"> and allocated with respect to such Partnership Interest pursuant to </w:t>
      </w:r>
      <w:r>
        <w:rPr>
          <w:rFonts w:ascii="Times New Roman" w:hAnsi="Times New Roman"/>
          <w:sz w:val="20"/>
          <w:u w:val="single"/>
        </w:rPr>
        <w:t>Section 6.1</w:t>
      </w:r>
      <w:r>
        <w:rPr>
          <w:rFonts w:ascii="Times New Roman" w:hAnsi="Times New Roman"/>
          <w:sz w:val="20"/>
        </w:rPr>
        <w:t>, and decreased by (x) the amount of cash or Net Agreed Value of all actual and deemed distributions of cash or property made with respect to such Partnership Interest (</w:t>
      </w:r>
      <w:r>
        <w:rPr>
          <w:rFonts w:ascii="Times New Roman" w:hAnsi="Times New Roman"/>
          <w:sz w:val="20"/>
          <w:u w:val="single"/>
        </w:rPr>
        <w:t xml:space="preserve">provided </w:t>
      </w:r>
      <w:r>
        <w:rPr>
          <w:rFonts w:ascii="Times New Roman" w:hAnsi="Times New Roman"/>
          <w:sz w:val="20"/>
        </w:rPr>
        <w:t xml:space="preserve">that the Capital Account of a Series B Holder, a Series G Holder or a Series H Holder shall not be reduced by any Series B Distributions, Series G Distributions or Series H Distributions it receives) and (y) all items of Partnership deduction and loss computed in accordance with </w:t>
      </w:r>
      <w:r>
        <w:rPr>
          <w:rFonts w:ascii="Times New Roman" w:hAnsi="Times New Roman"/>
          <w:sz w:val="20"/>
          <w:u w:val="single"/>
        </w:rPr>
        <w:t>Section 5.5(b)</w:t>
      </w:r>
      <w:r>
        <w:rPr>
          <w:rFonts w:ascii="Times New Roman" w:hAnsi="Times New Roman"/>
          <w:sz w:val="20"/>
        </w:rPr>
        <w:t xml:space="preserve"> and allocated with respect to such Partnership Interest pursuant to </w:t>
      </w:r>
      <w:r>
        <w:rPr>
          <w:rFonts w:ascii="Times New Roman" w:hAnsi="Times New Roman"/>
          <w:sz w:val="20"/>
          <w:u w:val="single"/>
        </w:rPr>
        <w:t>Section 6.1</w:t>
      </w:r>
      <w:r>
        <w:rPr>
          <w:rFonts w:ascii="Times New Roman" w:hAnsi="Times New Roman"/>
          <w:sz w:val="20"/>
        </w:rPr>
        <w:t xml:space="preserve">. On the Effective Date, the Capital Account balance with respect to each Unit outstanding immediately prior to the Effective Date shall be equal to the Capital Account balance with respect to such Unit immediately prior to the Effective Date. The initial Capital Account balance in respect of each Series I Holder’s Series I Preferred Units on the Series I Original Issue Date is equal to such Series I Holder’s Capital Account balance with respect to its preferred units in Crestwood Equity Partners LP immediately prior to the Energy Transfer Merger. The initial Capital Account balance in respect of the Class B Units held by each of IPCH and Crestwood Partners immediately following the closing of the Energy Transfer Merger is equal to IPCH’s and Crestwood Partners’ respective capital account balance with respect to its Class A Units (as defined in the limited partnership agreement of Crestwood Equity Partners LP) immediately prior to the Energy Transfer Merger. In connection with the foregoing, the Partnership shall adopt the methodology set forth in the noncompensatory option regulations under Treasury Regulation Sections 1.704-1 and 1.721-2 with respect to the issuance and conversion of Series I Preferred Units, unless otherwise required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For purposes of computing the amount of any item of income, gain, loss or deduction which is to be allocated pursuant to </w:t>
      </w:r>
      <w:r>
        <w:rPr>
          <w:rFonts w:ascii="Times New Roman" w:hAnsi="Times New Roman"/>
          <w:sz w:val="20"/>
          <w:u w:val="single"/>
        </w:rPr>
        <w:t>Article VI</w:t>
      </w:r>
      <w:r>
        <w:rPr>
          <w:rFonts w:ascii="Times New Roman" w:hAnsi="Times New Roman"/>
          <w:sz w:val="20"/>
        </w:rPr>
        <w:t xml:space="preserve"> and is to be reflected in the Partners’ Capital Accounts, the determination, recognition and classification of any such item shall be the same as its determination, recognition and classification for federal income tax purposes (including, without limitation, any method of depreciation, cost recovery or amortization used for that purpose),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w:t>
      </w:r>
    </w:p>
    <w:p>
      <w:pPr>
        <w:pStyle w:val="TextBody"/>
        <w:bidi w:val="0"/>
        <w:spacing w:before="120" w:after="0"/>
        <w:jc w:val="left"/>
        <w:rPr>
          <w:rFonts w:ascii="Times New Roman" w:hAnsi="Times New Roman"/>
          <w:sz w:val="20"/>
        </w:rPr>
      </w:pPr>
      <w:r>
        <w:rPr>
          <w:rFonts w:ascii="Times New Roman" w:hAnsi="Times New Roman"/>
          <w:sz w:val="20"/>
        </w:rPr>
        <w:t xml:space="preserve">(i) All fees and other expenses incurred by the Partnership to promote the sale of (or to sell) a Partnership Interest that can neither be deducted nor amortized under Section 709 of the Code, if any, shall, for purposes of Capital Account maintenance, be treated as an item of deduction at the time such fees and other expenses are incurred and shall be allocated among the Partners pursuant to </w:t>
      </w:r>
      <w:r>
        <w:rPr>
          <w:rFonts w:ascii="Times New Roman" w:hAnsi="Times New Roman"/>
          <w:sz w:val="20"/>
          <w:u w:val="single"/>
        </w:rPr>
        <w:t>Section 6.1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Except as otherwise provided in Treasury Regulation Section 1.704-1(b)(2)(iv)(m), the computation of all items of income, gain, loss and deduction shall be made without regard to any election under Section 754 of the Code which may be made by the Partnership and, as to those items described in Section 705(a)(1)(B) or 705(a)(2)(B) of the Code, without regard to the fact that such items are not includable in gross income or are neither currently deductible nor capitalized for federal income tax purposes. To the extent an adjustment to the adjusted tax basis of any Partnership asset pursuant to Section 734(b) or 743(b) of the Code is required, pursuant to Treasury Regulation Section 1.704-1(b)(2)(iv)(m), to be taken into account in determining Capital Accounts, the amount of such adjustment in the Capital Accounts shall be treated as an item of gain or loss. </w:t>
      </w:r>
    </w:p>
    <w:p>
      <w:pPr>
        <w:pStyle w:val="TextBody"/>
        <w:bidi w:val="0"/>
        <w:spacing w:before="120" w:after="0"/>
        <w:jc w:val="left"/>
        <w:rPr>
          <w:rFonts w:ascii="Times New Roman" w:hAnsi="Times New Roman"/>
          <w:sz w:val="20"/>
        </w:rPr>
      </w:pPr>
      <w:r>
        <w:rPr>
          <w:rFonts w:ascii="Times New Roman" w:hAnsi="Times New Roman"/>
          <w:sz w:val="20"/>
        </w:rPr>
        <w:t xml:space="preserve">(iii) Any income, gain, loss or deduction attributable to the taxable disposition of any Partnership property shall be determined as if the adjusted basis of such property as of such date of disposition were equal in amount to the Partnership’s Carrying Value with respect to such property as of such date. </w:t>
      </w:r>
    </w:p>
    <w:p>
      <w:pPr>
        <w:pStyle w:val="TextBody"/>
        <w:bidi w:val="0"/>
        <w:spacing w:before="120" w:after="0"/>
        <w:jc w:val="left"/>
        <w:rPr>
          <w:rFonts w:ascii="Times New Roman" w:hAnsi="Times New Roman"/>
          <w:sz w:val="20"/>
        </w:rPr>
      </w:pPr>
      <w:r>
        <w:rPr>
          <w:rFonts w:ascii="Times New Roman" w:hAnsi="Times New Roman"/>
          <w:sz w:val="20"/>
        </w:rPr>
        <w:t xml:space="preserve">(iv) In accordance with the requirements of Section 704(b) of the Code, any deductions for depreciation, cost recovery or amortization attributable to any Contributed Property shall be determined as if the adjusted basis of such property on the date it was acquired by the Partnership were equal to the Agreed Value of such property. Upon an adjustment pursuant to </w:t>
      </w:r>
      <w:r>
        <w:rPr>
          <w:rFonts w:ascii="Times New Roman" w:hAnsi="Times New Roman"/>
          <w:sz w:val="20"/>
          <w:u w:val="single"/>
        </w:rPr>
        <w:t>Section 5.5(d)</w:t>
      </w:r>
      <w:r>
        <w:rPr>
          <w:rFonts w:ascii="Times New Roman" w:hAnsi="Times New Roman"/>
          <w:sz w:val="20"/>
        </w:rPr>
        <w:t xml:space="preserve"> to the Carrying Value of any Partnership property subject to depreciation, cost recovery or amortization, any further deductions for such depreciation, cost recovery or amortization attributable to such property shall be determined as if the adjusted basis of such property were equal to the Carrying Value of such property immediately following such adjustment. </w:t>
      </w:r>
    </w:p>
    <w:p>
      <w:pPr>
        <w:pStyle w:val="TextBody"/>
        <w:bidi w:val="0"/>
        <w:spacing w:before="120" w:after="0"/>
        <w:jc w:val="left"/>
        <w:rPr>
          <w:rFonts w:ascii="Times New Roman" w:hAnsi="Times New Roman"/>
          <w:sz w:val="20"/>
        </w:rPr>
      </w:pPr>
      <w:r>
        <w:rPr>
          <w:rFonts w:ascii="Times New Roman" w:hAnsi="Times New Roman"/>
          <w:sz w:val="20"/>
        </w:rPr>
        <w:t xml:space="preserve">(v) If the Partnership’s adjusted basis in a depreciable or cost recovery property is reduced for federal income tax purposes pursuant to Section 48(q)(1) or 48(q)(3) of the Code, the amount of such reduction shall, solely for purposes hereof, be deemed to be an additional depreciation or cost recovery deduction in the year such property is placed in service and shall be allocated among the Partners pursuant to </w:t>
      </w:r>
      <w:r>
        <w:rPr>
          <w:rFonts w:ascii="Times New Roman" w:hAnsi="Times New Roman"/>
          <w:sz w:val="20"/>
          <w:u w:val="single"/>
        </w:rPr>
        <w:t>Section 6.1</w:t>
      </w:r>
      <w:r>
        <w:rPr>
          <w:rFonts w:ascii="Times New Roman" w:hAnsi="Times New Roman"/>
          <w:sz w:val="20"/>
        </w:rPr>
        <w:t xml:space="preserve">. Any restoration of such basis pursuant to Section 48(q)(2) of the Code shall, to the extent possible, be allocated in the same manner to the Partners to whom such deemed deduction was allocated. </w:t>
      </w:r>
    </w:p>
    <w:p>
      <w:pPr>
        <w:pStyle w:val="TextBody"/>
        <w:bidi w:val="0"/>
        <w:spacing w:before="240" w:after="0"/>
        <w:jc w:val="left"/>
        <w:rPr>
          <w:rFonts w:ascii="Times New Roman" w:hAnsi="Times New Roman"/>
          <w:sz w:val="20"/>
        </w:rPr>
      </w:pPr>
      <w:r>
        <w:rPr>
          <w:rFonts w:ascii="Times New Roman" w:hAnsi="Times New Roman"/>
          <w:sz w:val="20"/>
        </w:rPr>
        <w:t xml:space="preserve">(c) A transferee of a Partnership Interest shall succeed to a pro rata portion of the Capital Account of the transferor relating to the Partnership Interest so transferred.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p>
    <w:p>
      <w:pPr>
        <w:pStyle w:val="TextBody"/>
        <w:bidi w:val="0"/>
        <w:spacing w:before="120" w:after="0"/>
        <w:jc w:val="left"/>
        <w:rPr>
          <w:rFonts w:ascii="Times New Roman" w:hAnsi="Times New Roman"/>
          <w:sz w:val="20"/>
        </w:rPr>
      </w:pPr>
      <w:r>
        <w:rPr>
          <w:rFonts w:ascii="Times New Roman" w:hAnsi="Times New Roman"/>
          <w:sz w:val="20"/>
        </w:rPr>
        <w:t xml:space="preserve">(i) Consistent with Treasury Regulation Sections 1.704-1(b)(2)(iv)(f) and 1.704-1(b)(2)(h)(2), on an issuance of additional Partnership Interests for cash or Contributed Property, the issuance of Partnership Interests as consideration for the provision of services or the conversion of the Combined Interest to Common Units pursuant to </w:t>
      </w:r>
      <w:r>
        <w:rPr>
          <w:rFonts w:ascii="Times New Roman" w:hAnsi="Times New Roman"/>
          <w:sz w:val="20"/>
          <w:u w:val="single"/>
        </w:rPr>
        <w:t>Section 11.3(b)</w:t>
      </w:r>
      <w:r>
        <w:rPr>
          <w:rFonts w:ascii="Times New Roman" w:hAnsi="Times New Roman"/>
          <w:sz w:val="20"/>
        </w:rPr>
        <w:t xml:space="preserve">, the Carrying Value of each Partnership property immediately prior to such issuance shall be adjusted upward or downward to reflect any Unrealized Gain or Unrealized Loss attributable to such Partnership property;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in the event of an issuance of Partnership Interests for a de minimis amount of cash or Contributed Property, or in the event of an issuance of a de minimis amount of Partnership Interests as consideration for the provision of services, the General Partner may determine that such adjustments are unnecessary for the proper administration of the Partnership. In determining such Unrealized Gain or Unrealized Loss, the aggregate fair market value of all Partnership property (including cash or cash equivalents) immediately prior to the issuance of additional Partnership Interests shall be determined by the General Partner using such method of valuation as it may adopt. In making its determination of the fair market values of individual properties, the General Partner may first determine an aggregate value for the assets of the Partnership that takes into account the current trading price of the Common Units, the fair market value of all other Partnership Interests at such time, and the amount of Partnership Liabilities. The General Partner may allocate such aggregate value among the individual properties of the Partnership (in such manner as it determines appropriate). Absent a contrary determination by the General Partner, the aggregate fair market value of all Partnership assets (including cash or cash equivalents) immediately prior to a Revaluation Event shall be the value that would result in the Capital Account for each Common Unit that is Outstanding prior to such Revaluation Event being equal to the Event Issue Value. </w:t>
      </w:r>
    </w:p>
    <w:p>
      <w:pPr>
        <w:pStyle w:val="TextBody"/>
        <w:bidi w:val="0"/>
        <w:spacing w:before="120" w:after="0"/>
        <w:jc w:val="left"/>
        <w:rPr>
          <w:rFonts w:ascii="Times New Roman" w:hAnsi="Times New Roman"/>
          <w:sz w:val="20"/>
        </w:rPr>
      </w:pPr>
      <w:r>
        <w:rPr>
          <w:rFonts w:ascii="Times New Roman" w:hAnsi="Times New Roman"/>
          <w:sz w:val="20"/>
        </w:rPr>
        <w:t xml:space="preserve">(ii) In accordance with Treasury Regulation Sections 1.704-1(b)(2)(iv)(f) and 1.704-1(b)(2)(h)(2), immediately prior to any distribution to a Partner of any Partnership property (other than a distribution of cash that is not in redemption or retirement of a Partnership Interest), the Carrying Value of all Partnership property shall be adjusted upward or downward to reflect any Unrealized Gain or Unrealized Loss attributable to such Partnership property. In determining such Unrealized Gain or Unrealized Loss the aggregate fair market value of all Partnership property (including cash or cash equivalents) immediately prior to a distribution shall (A) in the case of a distribution other than one made pursuant to </w:t>
      </w:r>
      <w:r>
        <w:rPr>
          <w:rFonts w:ascii="Times New Roman" w:hAnsi="Times New Roman"/>
          <w:sz w:val="20"/>
          <w:u w:val="single"/>
        </w:rPr>
        <w:t>Section 12.4</w:t>
      </w:r>
      <w:r>
        <w:rPr>
          <w:rFonts w:ascii="Times New Roman" w:hAnsi="Times New Roman"/>
          <w:sz w:val="20"/>
        </w:rPr>
        <w:t xml:space="preserve">, be determined in the same manner as that provided in </w:t>
      </w:r>
      <w:r>
        <w:rPr>
          <w:rFonts w:ascii="Times New Roman" w:hAnsi="Times New Roman"/>
          <w:sz w:val="20"/>
          <w:u w:val="single"/>
        </w:rPr>
        <w:t>Section 5.5(d)(i)</w:t>
      </w:r>
      <w:r>
        <w:rPr>
          <w:rFonts w:ascii="Times New Roman" w:hAnsi="Times New Roman"/>
          <w:sz w:val="20"/>
        </w:rPr>
        <w:t xml:space="preserve"> or (B) in the case of a liquidating distribution pursuant to </w:t>
      </w:r>
      <w:r>
        <w:rPr>
          <w:rFonts w:ascii="Times New Roman" w:hAnsi="Times New Roman"/>
          <w:sz w:val="20"/>
          <w:u w:val="single"/>
        </w:rPr>
        <w:t>Section 12.4</w:t>
      </w:r>
      <w:r>
        <w:rPr>
          <w:rFonts w:ascii="Times New Roman" w:hAnsi="Times New Roman"/>
          <w:sz w:val="20"/>
        </w:rPr>
        <w:t xml:space="preserve">, be determined by the Liquidator using such method of valuation as it may adopt.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Issuances of Additional Partnership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Partnership may issue additional Partnership Securities and options, rights, warrants and appreciation rights relating to the Partnership Securities for any Partnership purpose at any time and from time to time to such Persons for such consideration and on such terms and conditions as the General Partner shall determine, all without the approval of any Limited Partners.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additional Partnership Security authorized to be issued by the Partnership pursuant to </w:t>
      </w:r>
      <w:r>
        <w:rPr>
          <w:rFonts w:ascii="Times New Roman" w:hAnsi="Times New Roman"/>
          <w:sz w:val="20"/>
          <w:u w:val="single"/>
        </w:rPr>
        <w:t>Section 5.6(a)</w:t>
      </w:r>
      <w:r>
        <w:rPr>
          <w:rFonts w:ascii="Times New Roman" w:hAnsi="Times New Roman"/>
          <w:sz w:val="20"/>
        </w:rPr>
        <w:t xml:space="preserve"> may be issued in one or more classes, or one or more series of any such classes, with such designations, preferences, rights, powers and duties (which may be senior to existing classes and series of Partnership Securities), as shall be fixed by the General Partner, including (i) the right to share in Partnership profits and losses or items thereof; (ii) the right to share in Partnership distributions; (iii) the rights upon dissolution and liquidation of the Partnership; (iv) whether, and the terms and conditions upon which the Partnership may or shall be required to redeem the Partnership Security (including sinking fund provisions); (v) whether such Partnership Security is issued with the privilege of conversion or exchange and, if so, the terms and conditions of such conversion or exchange; (vi) the terms and conditions upon which each Partnership Security will be issued, evidenced by certificates and assigned or transferred; (vii) the method for determining the Percentage Interest as to such Partnership Security; and (viii) the right, if any, of each such Partnership Security to vote on Partnership matters, including matters relating to the relative designations, preferences, rights, powers and duties of such Partnership Security. </w:t>
      </w:r>
    </w:p>
    <w:p>
      <w:pPr>
        <w:pStyle w:val="TextBody"/>
        <w:bidi w:val="0"/>
        <w:spacing w:before="240" w:after="0"/>
        <w:jc w:val="left"/>
        <w:rPr>
          <w:rFonts w:ascii="Times New Roman" w:hAnsi="Times New Roman"/>
          <w:sz w:val="20"/>
        </w:rPr>
      </w:pPr>
      <w:r>
        <w:rPr>
          <w:rFonts w:ascii="Times New Roman" w:hAnsi="Times New Roman"/>
          <w:sz w:val="20"/>
        </w:rPr>
        <w:t xml:space="preserve">(c) The General Partner is hereby authorized and directed to take all actions that it determines to be necessary or appropriate in connection with (i) each issuance of Partnership Securities and options, rights, warrants and appreciation rights relating to Partnership Securities pursuant to this </w:t>
      </w:r>
      <w:r>
        <w:rPr>
          <w:rFonts w:ascii="Times New Roman" w:hAnsi="Times New Roman"/>
          <w:sz w:val="20"/>
          <w:u w:val="single"/>
        </w:rPr>
        <w:t>Section 5.6</w:t>
      </w:r>
      <w:r>
        <w:rPr>
          <w:rFonts w:ascii="Times New Roman" w:hAnsi="Times New Roman"/>
          <w:sz w:val="20"/>
        </w:rPr>
        <w:t xml:space="preserve">, (ii) the conversion of the General Partner Interest (represented by General Partner Units) into Units pursuant to the terms of this Agreement, (iii) the admission of additional Limited Partners and (iv) all additional issuances of Partnership Securities. The General Partner shall determine the relative rights, powers and duties of the holders of the Units or other Partnership Securities being so issued. The General Partner shall do all things necessary to comply with the Texas Limited Partnership Law and is authorized and directed to do all things that it determines to be necessary or appropriate in connection with any future issuance of Partnership Securities or in connection with the conversion of the General Partner Interest into Units pursuant to the terms of this Agreement, including compliance with any statute, rule, regulation or guideline of any federal, state or other governmental agency or any National Securities Exchange on which the Units or other Partnership Securities are listed or admitted for trading. </w:t>
      </w:r>
    </w:p>
    <w:p>
      <w:pPr>
        <w:pStyle w:val="TextBody"/>
        <w:bidi w:val="0"/>
        <w:spacing w:before="240" w:after="0"/>
        <w:jc w:val="left"/>
        <w:rPr>
          <w:rFonts w:ascii="Times New Roman" w:hAnsi="Times New Roman"/>
          <w:sz w:val="20"/>
        </w:rPr>
      </w:pPr>
      <w:r>
        <w:rPr>
          <w:rFonts w:ascii="Times New Roman" w:hAnsi="Times New Roman"/>
          <w:sz w:val="20"/>
        </w:rPr>
        <w:t xml:space="preserve">(d) No fractional Partnership Securities shall be issued by the Partnership. If a distribution, subdivision or combination of Units pursuant to </w:t>
      </w:r>
      <w:r>
        <w:rPr>
          <w:rFonts w:ascii="Times New Roman" w:hAnsi="Times New Roman"/>
          <w:sz w:val="20"/>
          <w:u w:val="single"/>
        </w:rPr>
        <w:t>Section 5.6</w:t>
      </w:r>
      <w:r>
        <w:rPr>
          <w:rFonts w:ascii="Times New Roman" w:hAnsi="Times New Roman"/>
          <w:sz w:val="20"/>
        </w:rPr>
        <w:t xml:space="preserve"> would result in the issuance of fractional Units, each fractional Unit shall be rounded to the nearest whole Unit (and a 0.5 Unit shall be rounded to the next higher Unit).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sz w:val="20"/>
          <w:u w:val="single"/>
        </w:rPr>
        <w:t>Limited Preemptive Right</w:t>
      </w:r>
      <w:r>
        <w:rPr>
          <w:rFonts w:ascii="Times New Roman" w:hAnsi="Times New Roman"/>
          <w:sz w:val="20"/>
        </w:rPr>
        <w:t xml:space="preserve">. Except as provided in </w:t>
      </w:r>
      <w:r>
        <w:rPr>
          <w:rFonts w:ascii="Times New Roman" w:hAnsi="Times New Roman"/>
          <w:sz w:val="20"/>
          <w:u w:val="single"/>
        </w:rPr>
        <w:t>Section 5.5</w:t>
      </w:r>
      <w:r>
        <w:rPr>
          <w:rFonts w:ascii="Times New Roman" w:hAnsi="Times New Roman"/>
          <w:sz w:val="20"/>
        </w:rPr>
        <w:t xml:space="preserve"> and in this </w:t>
      </w:r>
      <w:r>
        <w:rPr>
          <w:rFonts w:ascii="Times New Roman" w:hAnsi="Times New Roman"/>
          <w:sz w:val="20"/>
          <w:u w:val="single"/>
        </w:rPr>
        <w:t>Section 5.7</w:t>
      </w:r>
      <w:r>
        <w:rPr>
          <w:rFonts w:ascii="Times New Roman" w:hAnsi="Times New Roman"/>
          <w:sz w:val="20"/>
        </w:rPr>
        <w:t xml:space="preserve">, no Person shall have any preemptive, preferential or other similar right with respect to the issuance of any Partnership Security, whether unissued, held in the treasury or hereafter created. The General Partner shall have the right, which it may from time to time assign in whole or in part to any of its Affiliates, to purchase Partnership Securities from the Partnership whenever, and on the same terms that, the Partnership issues Partnership Securities to Persons other than the General Partner and its Affiliates, to the extent necessary to maintain the Percentage Interests of the General Partner and its Affiliates equal to that which existed immediately prior to the issuance of such Partnership Securities. The General Partner shall be deemed to have waived this right with respect to any issuance of a particular Partnership Security in the event that the General Partner has not exercised this right prior to the issuance of such Partnership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5.8 </w:t>
      </w:r>
      <w:r>
        <w:rPr>
          <w:rFonts w:ascii="Times New Roman" w:hAnsi="Times New Roman"/>
          <w:sz w:val="20"/>
          <w:u w:val="single"/>
        </w:rPr>
        <w:t>Splits and Combinations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5.6(d)</w:t>
      </w:r>
      <w:r>
        <w:rPr>
          <w:rFonts w:ascii="Times New Roman" w:hAnsi="Times New Roman"/>
          <w:sz w:val="20"/>
        </w:rPr>
        <w:t xml:space="preserve">, the Partnership may make a Pro Rata distribution of Partnership Securities to all Record Holders or may effect a subdivision or combination of Partnership Securities so long as, after any such event, each Partner shall have the same Percentage Interest in the Partnership as before such event, and any amounts calculated on a per Unit basis or stated as a number of Units are proportionately adjusted. </w:t>
      </w:r>
    </w:p>
    <w:p>
      <w:pPr>
        <w:pStyle w:val="TextBody"/>
        <w:bidi w:val="0"/>
        <w:spacing w:before="240" w:after="0"/>
        <w:jc w:val="left"/>
        <w:rPr>
          <w:rFonts w:ascii="Times New Roman" w:hAnsi="Times New Roman"/>
          <w:sz w:val="20"/>
        </w:rPr>
      </w:pPr>
      <w:r>
        <w:rPr>
          <w:rFonts w:ascii="Times New Roman" w:hAnsi="Times New Roman"/>
          <w:sz w:val="20"/>
        </w:rPr>
        <w:t xml:space="preserve">(b) Whenever such a distribution, subdivision or combination of Partnership Securities is declared, the General Partner shall select a Record Date as of which the distribution, subdivision or combination shall be effective and shall send notice thereof at least 20 days prior to such Record Date to each Record Holder as of a date not less than 10 days prior to the date of such notice. The General Partner also may cause a firm of independent public accountants selected by it to calculate the number of Partnership Securities to be held by each Record Holder after giving effect to such distribution, subdivision or combination. The General Partner shall be entitled to rely on any certificate provided by such firm as conclusive evidence of the accuracy of such calculation. </w:t>
      </w:r>
    </w:p>
    <w:p>
      <w:pPr>
        <w:pStyle w:val="TextBody"/>
        <w:bidi w:val="0"/>
        <w:spacing w:before="240" w:after="0"/>
        <w:jc w:val="left"/>
        <w:rPr>
          <w:rFonts w:ascii="Times New Roman" w:hAnsi="Times New Roman"/>
          <w:sz w:val="20"/>
        </w:rPr>
      </w:pPr>
      <w:r>
        <w:rPr>
          <w:rFonts w:ascii="Times New Roman" w:hAnsi="Times New Roman"/>
          <w:sz w:val="20"/>
        </w:rPr>
        <w:t xml:space="preserve">(c) Promptly following any such distribution, subdivision or combination, the Partnership may issue Certificates to the Record Holders of Partnership Securities as of the applicable Record Date representing the new number of Partnership Securities held by such Record Holders, or the General Partner may adopt such other procedures that it determines to be necessary or appropriate to reflect such changes. If any such combination results in a smaller total number of Partnership Securities Outstanding, the Partnership shall require, as a condition to the delivery to a Record Holder of such new Certificate, the surrender of any Certificate held by such Record Holder immediately prior to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Section 5.9 </w:t>
      </w:r>
      <w:r>
        <w:rPr>
          <w:rFonts w:ascii="Times New Roman" w:hAnsi="Times New Roman"/>
          <w:sz w:val="20"/>
          <w:u w:val="single"/>
        </w:rPr>
        <w:t>Fully Paid and Non-Assessable Nature of Limited Partner Interests</w:t>
      </w:r>
      <w:r>
        <w:rPr>
          <w:rFonts w:ascii="Times New Roman" w:hAnsi="Times New Roman"/>
          <w:sz w:val="20"/>
        </w:rPr>
        <w:t xml:space="preserve">. All Limited Partner Interests issued pursuant to, and in accordance with the requirements of, this </w:t>
      </w:r>
      <w:r>
        <w:rPr>
          <w:rFonts w:ascii="Times New Roman" w:hAnsi="Times New Roman"/>
          <w:sz w:val="20"/>
          <w:u w:val="single"/>
        </w:rPr>
        <w:t>Article V</w:t>
      </w:r>
      <w:r>
        <w:rPr>
          <w:rFonts w:ascii="Times New Roman" w:hAnsi="Times New Roman"/>
          <w:sz w:val="20"/>
        </w:rPr>
        <w:t xml:space="preserve"> shall be fully paid and non-assessable Limited Partner Interests in the Partnership, except as such non-assessability may be affected by Section 153.112 of the Texas Limited Partnership Law.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Establishment of Class A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w:t>
      </w:r>
      <w:r>
        <w:rPr>
          <w:rFonts w:ascii="Times New Roman" w:hAnsi="Times New Roman"/>
          <w:sz w:val="20"/>
        </w:rPr>
        <w:t xml:space="preserve">. The General Partner hereby designates and creates a class of Partnership Securities to be designated as “Class A Units,” and fixes the designations, preferences and relative, participating, optional or other special rights, powers, duties and obligations of holders of the Class A Units as set forth in this </w:t>
      </w:r>
      <w:r>
        <w:rPr>
          <w:rFonts w:ascii="Times New Roman" w:hAnsi="Times New Roman"/>
          <w:sz w:val="20"/>
          <w:u w:val="single"/>
        </w:rPr>
        <w:t>Section 5.10</w:t>
      </w:r>
      <w:r>
        <w:rPr>
          <w:rFonts w:ascii="Times New Roman" w:hAnsi="Times New Roman"/>
          <w:sz w:val="20"/>
        </w:rPr>
        <w:t xml:space="preserve">. Upon their issuance, the Class A Units will be fully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Rights of Class</w:t>
      </w:r>
      <w:r>
        <w:rPr>
          <w:rFonts w:ascii="Times New Roman" w:hAnsi="Times New Roman"/>
          <w:sz w:val="20"/>
        </w:rPr>
        <w:t> </w:t>
      </w:r>
      <w:r>
        <w:rPr>
          <w:rFonts w:ascii="Times New Roman" w:hAnsi="Times New Roman"/>
          <w:i/>
          <w:sz w:val="20"/>
        </w:rPr>
        <w:t>A Units</w:t>
      </w:r>
      <w:r>
        <w:rPr>
          <w:rFonts w:ascii="Times New Roman" w:hAnsi="Times New Roman"/>
          <w:sz w:val="20"/>
        </w:rPr>
        <w:t xml:space="preserve">. The Class A Units shall have the following rights, preferences and privileges and shall be subject to the following duties and obligations: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Voting Rights</w:t>
      </w:r>
      <w:r>
        <w:rPr>
          <w:rFonts w:ascii="Times New Roman" w:hAnsi="Times New Roman"/>
          <w:sz w:val="20"/>
        </w:rPr>
        <w:t xml:space="preserve">. Except as may be required by law, the Class A Units will be entitled to vote together as a single class with the Common Units on any matter for which the holders of Common Units are entitled to vote. Each reference in this Agreement to a vote of holders of Common Units shall be deemed to include the Class A Units. Each Class A Unit shall be entitled to one vote.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Economic Interests</w:t>
      </w:r>
      <w:r>
        <w:rPr>
          <w:rFonts w:ascii="Times New Roman" w:hAnsi="Times New Roman"/>
          <w:sz w:val="20"/>
        </w:rPr>
        <w:t xml:space="preserve">. The Class A Units shall represent Limited Partner Interests in the Partnership, and shall not be entitled to any distributions from the Partnership, except that, upon any liquidation, dissolution or winding up of the Partnership, the Class A Units in the aggregate shall be entitled to an aggregate distribution of $100 prior and in preference to any distribution of any assets of the Partnership to the holders of any other class or series of Partnership Securities. For the avoidance of doubt, each Class A Unitholder shall receive its pro rata share of such $100 based on the number of Class A Units outstanding at the time of any such liquidation, winding up or dissolution.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Certificates</w:t>
      </w:r>
      <w:r>
        <w:rPr>
          <w:rFonts w:ascii="Times New Roman" w:hAnsi="Times New Roman"/>
          <w:sz w:val="20"/>
        </w:rPr>
        <w:t xml:space="preserve">; Book-Entry. Unless the General Partner shall determine otherwise, the Class A Units shall not be evidenced by certificates. Any certificates relating to the Class A Units that may be issued shall be in such form as the General Partner may approve. Any certificates evidencing Class A Units shall be separately identified and shall not bear the same CUSIP number as the certificates evidencing Common Units.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Limitations on Transfer</w:t>
      </w:r>
      <w:r>
        <w:rPr>
          <w:rFonts w:ascii="Times New Roman" w:hAnsi="Times New Roman"/>
          <w:sz w:val="20"/>
        </w:rPr>
        <w:t xml:space="preserve">. No Class A Unit may, directly or indirectly, be transferred, sold, assigned, pledged or otherwise alienated by the General Partner (or indirectly by any member of LE GP, LLC) or any subsequent transferee, without the prior approval of the Conflicts Committee, other than to Kelcy Warren, Ray Davis or to any trust, family partnership or family limited liability company, the sole beneficiaries, partners or members of which are Kelcy Warren, Ray Davis or their respective relatives. Any transfer or purported transfer of Class A Units not made in accordance with this </w:t>
      </w:r>
      <w:r>
        <w:rPr>
          <w:rFonts w:ascii="Times New Roman" w:hAnsi="Times New Roman"/>
          <w:sz w:val="20"/>
          <w:u w:val="single"/>
        </w:rPr>
        <w:t>Section 5.10(b)(iv)</w:t>
      </w:r>
      <w:r>
        <w:rPr>
          <w:rFonts w:ascii="Times New Roman" w:hAnsi="Times New Roman"/>
          <w:sz w:val="20"/>
        </w:rPr>
        <w:t xml:space="preserve"> shall be null and void.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Registrar and Transfer Agent</w:t>
      </w:r>
      <w:r>
        <w:rPr>
          <w:rFonts w:ascii="Times New Roman" w:hAnsi="Times New Roman"/>
          <w:sz w:val="20"/>
        </w:rPr>
        <w:t xml:space="preserve">. The General Partner will act as the registrar and transfer agent for the Class A Units.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i/>
          <w:sz w:val="20"/>
        </w:rPr>
        <w:t>Splits and Combinations</w:t>
      </w:r>
      <w:r>
        <w:rPr>
          <w:rFonts w:ascii="Times New Roman" w:hAnsi="Times New Roman"/>
          <w:sz w:val="20"/>
        </w:rPr>
        <w:t xml:space="preserve">. For so long as any Class A Units are Outstanding, to the extent that the Partnership (A) makes a distribution on its Common Units or other Common Voting Security in Common Units or other Common Voting Security, (B) subdivides or splits its Common Units or other Common Voting Securities into a greater number of Common Units or other Common Voting Securities, or (C) combines or reclassifies its Common Units or other Common Voting Securities into a smaller number of Common Units or other Common Voting Securities, then the number of Class A Units shall be proportionally adjusted, and if necessary, additional Class A Units shall be issued to the Class A Unitholders, such that the number of Class A Units issued immediately after such distribution, subdivision, split, combination or reclassification shall represent the same voting interest as such Class A Units represented immediately prior to such distribution, subdivision, split, combination or reclassification.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w:t>
      </w:r>
      <w:r>
        <w:rPr>
          <w:rFonts w:ascii="Times New Roman" w:hAnsi="Times New Roman"/>
          <w:i/>
          <w:sz w:val="20"/>
        </w:rPr>
        <w:t>Class A Unit Issuances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Initial Issuance</w:t>
      </w:r>
      <w:r>
        <w:rPr>
          <w:rFonts w:ascii="Times New Roman" w:hAnsi="Times New Roman"/>
          <w:sz w:val="20"/>
        </w:rPr>
        <w:t xml:space="preserve">. The Partnership initially issued 647,745,099 Class A Units to LE GP, LLC.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Future Issuances</w:t>
      </w:r>
      <w:r>
        <w:rPr>
          <w:rFonts w:ascii="Times New Roman" w:hAnsi="Times New Roman"/>
          <w:sz w:val="20"/>
        </w:rPr>
        <w:t xml:space="preserve">. For so long as Kelcy Warren is an officer or director of the General Partner, if the Partnership issues any additional Common Units or any other Common Voting Security, the Partnership shall automatically issue, for no additional consideration, an additional number of Class A Units to the Class A Unitholders (and if more than one Class A Unitholder exists at such time, pro rata in accordance with their respective Class A Unit ownership at such time), necessary for each Class A Unitholder to maintain a voting interest with respect to such Class A Units that the Class A Units represent in relation to the aggregate voting interest of the Common Units and other Common Voting Securities immediately prior to such Common Unit or other Common Voting Security issuance. The provisions of this </w:t>
      </w:r>
      <w:r>
        <w:rPr>
          <w:rFonts w:ascii="Times New Roman" w:hAnsi="Times New Roman"/>
          <w:sz w:val="20"/>
          <w:u w:val="single"/>
        </w:rPr>
        <w:t>Section 5.10(b)(vii)(B)</w:t>
      </w:r>
      <w:r>
        <w:rPr>
          <w:rFonts w:ascii="Times New Roman" w:hAnsi="Times New Roman"/>
          <w:sz w:val="20"/>
        </w:rPr>
        <w:t xml:space="preserve"> shall terminate at such time as Kelcy Warren ceases to be an officer or director of the General Partner;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for the avoidance of doubt, all Class A Units Outstanding at such time shall be unchanged and remain outstanding. </w:t>
      </w:r>
    </w:p>
    <w:p>
      <w:pPr>
        <w:pStyle w:val="TextBody"/>
        <w:bidi w:val="0"/>
        <w:spacing w:before="120" w:after="0"/>
        <w:jc w:val="left"/>
        <w:rPr>
          <w:rFonts w:ascii="Times New Roman" w:hAnsi="Times New Roman"/>
          <w:sz w:val="20"/>
        </w:rPr>
      </w:pPr>
      <w:r>
        <w:rPr>
          <w:rFonts w:ascii="Times New Roman" w:hAnsi="Times New Roman"/>
          <w:sz w:val="20"/>
        </w:rPr>
        <w:t xml:space="preserve">(C) Except as set forth in this </w:t>
      </w:r>
      <w:r>
        <w:rPr>
          <w:rFonts w:ascii="Times New Roman" w:hAnsi="Times New Roman"/>
          <w:sz w:val="20"/>
          <w:u w:val="single"/>
        </w:rPr>
        <w:t>Section 5.10(b)(vii)</w:t>
      </w:r>
      <w:r>
        <w:rPr>
          <w:rFonts w:ascii="Times New Roman" w:hAnsi="Times New Roman"/>
          <w:sz w:val="20"/>
        </w:rPr>
        <w:t xml:space="preserve">, there shall be no other issuances by the Partnership of Class A Units.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i/>
          <w:sz w:val="20"/>
        </w:rPr>
        <w:t>Allocations</w:t>
      </w:r>
      <w:r>
        <w:rPr>
          <w:rFonts w:ascii="Times New Roman" w:hAnsi="Times New Roman"/>
          <w:sz w:val="20"/>
        </w:rPr>
        <w:t xml:space="preserve">. The Class A Units shall not be entitled to receive any (1) allocations of Net Income pursuant to </w:t>
      </w:r>
      <w:r>
        <w:rPr>
          <w:rFonts w:ascii="Times New Roman" w:hAnsi="Times New Roman"/>
          <w:sz w:val="20"/>
          <w:u w:val="single"/>
        </w:rPr>
        <w:t>Section 6.1(a)</w:t>
      </w:r>
      <w:r>
        <w:rPr>
          <w:rFonts w:ascii="Times New Roman" w:hAnsi="Times New Roman"/>
          <w:sz w:val="20"/>
        </w:rPr>
        <w:t xml:space="preserve">, (2) allocations of Net Losses pursuant to </w:t>
      </w:r>
      <w:r>
        <w:rPr>
          <w:rFonts w:ascii="Times New Roman" w:hAnsi="Times New Roman"/>
          <w:sz w:val="20"/>
          <w:u w:val="single"/>
        </w:rPr>
        <w:t>Section 6.1(b)</w:t>
      </w:r>
      <w:r>
        <w:rPr>
          <w:rFonts w:ascii="Times New Roman" w:hAnsi="Times New Roman"/>
          <w:sz w:val="20"/>
        </w:rPr>
        <w:t xml:space="preserve">, (3) allocations of Net Termination Gains or Net Termination Losses pursuant to </w:t>
      </w:r>
      <w:r>
        <w:rPr>
          <w:rFonts w:ascii="Times New Roman" w:hAnsi="Times New Roman"/>
          <w:sz w:val="20"/>
          <w:u w:val="single"/>
        </w:rPr>
        <w:t>Section 6.1(c)</w:t>
      </w:r>
      <w:r>
        <w:rPr>
          <w:rFonts w:ascii="Times New Roman" w:hAnsi="Times New Roman"/>
          <w:sz w:val="20"/>
        </w:rPr>
        <w:t xml:space="preserve">, (4) special allocations pursuant to </w:t>
      </w:r>
      <w:r>
        <w:rPr>
          <w:rFonts w:ascii="Times New Roman" w:hAnsi="Times New Roman"/>
          <w:sz w:val="20"/>
          <w:u w:val="single"/>
        </w:rPr>
        <w:t>Section 6.1(d)</w:t>
      </w:r>
      <w:r>
        <w:rPr>
          <w:rFonts w:ascii="Times New Roman" w:hAnsi="Times New Roman"/>
          <w:sz w:val="20"/>
        </w:rPr>
        <w:t xml:space="preserve"> or (5) allocations for tax purposes pursuant to </w:t>
      </w:r>
      <w:r>
        <w:rPr>
          <w:rFonts w:ascii="Times New Roman" w:hAnsi="Times New Roman"/>
          <w:sz w:val="20"/>
          <w:u w:val="single"/>
        </w:rPr>
        <w:t>Section 6.2</w:t>
      </w:r>
      <w:r>
        <w:rPr>
          <w:rFonts w:ascii="Times New Roman" w:hAnsi="Times New Roman"/>
          <w:sz w:val="20"/>
        </w:rPr>
        <w:t xml:space="preserve">. Allocations pursuant to </w:t>
      </w:r>
      <w:r>
        <w:rPr>
          <w:rFonts w:ascii="Times New Roman" w:hAnsi="Times New Roman"/>
          <w:sz w:val="20"/>
          <w:u w:val="single"/>
        </w:rPr>
        <w:t>Sections 6.1(a)</w:t>
      </w:r>
      <w:r>
        <w:rPr>
          <w:rFonts w:ascii="Times New Roman" w:hAnsi="Times New Roman"/>
          <w:sz w:val="20"/>
        </w:rPr>
        <w:t xml:space="preserve">, </w:t>
      </w:r>
      <w:r>
        <w:rPr>
          <w:rFonts w:ascii="Times New Roman" w:hAnsi="Times New Roman"/>
          <w:sz w:val="20"/>
          <w:u w:val="single"/>
        </w:rPr>
        <w:t>6.1(b)</w:t>
      </w:r>
      <w:r>
        <w:rPr>
          <w:rFonts w:ascii="Times New Roman" w:hAnsi="Times New Roman"/>
          <w:sz w:val="20"/>
        </w:rPr>
        <w:t xml:space="preserve">, </w:t>
      </w:r>
      <w:r>
        <w:rPr>
          <w:rFonts w:ascii="Times New Roman" w:hAnsi="Times New Roman"/>
          <w:sz w:val="20"/>
          <w:u w:val="single"/>
        </w:rPr>
        <w:t>6.1(c)</w:t>
      </w:r>
      <w:r>
        <w:rPr>
          <w:rFonts w:ascii="Times New Roman" w:hAnsi="Times New Roman"/>
          <w:sz w:val="20"/>
        </w:rPr>
        <w:t xml:space="preserve">, </w:t>
      </w:r>
      <w:r>
        <w:rPr>
          <w:rFonts w:ascii="Times New Roman" w:hAnsi="Times New Roman"/>
          <w:sz w:val="20"/>
          <w:u w:val="single"/>
        </w:rPr>
        <w:t>6.1(d)</w:t>
      </w:r>
      <w:r>
        <w:rPr>
          <w:rFonts w:ascii="Times New Roman" w:hAnsi="Times New Roman"/>
          <w:sz w:val="20"/>
        </w:rPr>
        <w:t xml:space="preserve"> and </w:t>
      </w:r>
      <w:r>
        <w:rPr>
          <w:rFonts w:ascii="Times New Roman" w:hAnsi="Times New Roman"/>
          <w:sz w:val="20"/>
          <w:u w:val="single"/>
        </w:rPr>
        <w:t>6.2</w:t>
      </w:r>
      <w:r>
        <w:rPr>
          <w:rFonts w:ascii="Times New Roman" w:hAnsi="Times New Roman"/>
          <w:sz w:val="20"/>
        </w:rPr>
        <w:t xml:space="preserve"> shall be made consistent with the facts that the Class A Units are not Units, and that the Class A Unitholders are not Unitholders and, therefore have no Percentage Interests with respect to their Class A Units.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Establishment of Series B Preferred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w:t>
      </w:r>
      <w:r>
        <w:rPr>
          <w:rFonts w:ascii="Times New Roman" w:hAnsi="Times New Roman"/>
          <w:sz w:val="20"/>
        </w:rPr>
        <w:t>. The Partnership hereby designates and creates a class of Partnership Securities to be designated as “6.625% Series B Fixed-to-Floating Rate Cumulative Redeemable Perpetual Preferred Units” (the “</w:t>
      </w:r>
      <w:r>
        <w:rPr>
          <w:rFonts w:ascii="Times New Roman" w:hAnsi="Times New Roman"/>
          <w:i/>
          <w:sz w:val="20"/>
        </w:rPr>
        <w:t>Series B Preferred Units</w:t>
      </w:r>
      <w:r>
        <w:rPr>
          <w:rFonts w:ascii="Times New Roman" w:hAnsi="Times New Roman"/>
          <w:sz w:val="20"/>
        </w:rPr>
        <w:t xml:space="preserve">”), having the preferences, rights, powers, and duties set forth herein, including this </w:t>
      </w:r>
      <w:r>
        <w:rPr>
          <w:rFonts w:ascii="Times New Roman" w:hAnsi="Times New Roman"/>
          <w:sz w:val="20"/>
          <w:u w:val="single"/>
        </w:rPr>
        <w:t>Section 5.11</w:t>
      </w:r>
      <w:r>
        <w:rPr>
          <w:rFonts w:ascii="Times New Roman" w:hAnsi="Times New Roman"/>
          <w:sz w:val="20"/>
        </w:rPr>
        <w:t xml:space="preserve">. Each Series B Preferred Unit shall be identical in all respects to every other Series B Preferred Unit, except as to the respective dates from which the Series B Liquidation Preference shall increase or from which Series B Distributions may begin accruing, to the extent such dates may differ. The Series B Preferred Units represent perpetual equity interests in the Partnership and shall not give rise to a claim by the Partnership or a Series B Holder for conversion or, except as set forth in </w:t>
      </w:r>
      <w:r>
        <w:rPr>
          <w:rFonts w:ascii="Times New Roman" w:hAnsi="Times New Roman"/>
          <w:sz w:val="20"/>
          <w:u w:val="single"/>
        </w:rPr>
        <w:t>Section 5.11(b)(iv)</w:t>
      </w:r>
      <w:r>
        <w:rPr>
          <w:rFonts w:ascii="Times New Roman" w:hAnsi="Times New Roman"/>
          <w:sz w:val="20"/>
        </w:rPr>
        <w:t xml:space="preserve">, redemption thereof at a particular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Rights of Series B Preferred Units</w:t>
      </w:r>
      <w:r>
        <w:rPr>
          <w:rFonts w:ascii="Times New Roman" w:hAnsi="Times New Roman"/>
          <w:sz w:val="20"/>
        </w:rPr>
        <w:t xml:space="preserve">. The Series B Preferred Units shall have the following rights, preferences and privileges and shall be subject to the following duties and obligations: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Series B Preferred 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authorized number of Series B Preferred Units shall be unlimited. Series B Preferred Units that are purchased or otherwise acquired by the Partnership shall be canceled. </w:t>
      </w:r>
    </w:p>
    <w:p>
      <w:pPr>
        <w:pStyle w:val="TextBody"/>
        <w:bidi w:val="0"/>
        <w:spacing w:before="120" w:after="0"/>
        <w:jc w:val="left"/>
        <w:rPr>
          <w:rFonts w:ascii="Times New Roman" w:hAnsi="Times New Roman"/>
          <w:sz w:val="20"/>
        </w:rPr>
      </w:pPr>
      <w:r>
        <w:rPr>
          <w:rFonts w:ascii="Times New Roman" w:hAnsi="Times New Roman"/>
          <w:sz w:val="20"/>
        </w:rPr>
        <w:t xml:space="preserve">(B) The Series B Preferred Units shall be represented by one or more global Certificates registered in the name of the Depositary or its nominee, and no Series B Holder shall be entitled to receive a definitive Certificate evidencing its Series B Preferred Units, unless (1) requested by a Series B Holder and consented to by the General Partner in its sole discretion, (2) otherwise required by law or (3) the Depositary gives notice of its intention to resign or is no longer eligible to act as such with respect to the Series B Preferred Units and the General Partner shall have not selected a substitute Depositary within 60 calendar days thereafter. So long as the Depositary shall have been appointed and is serving with respect to the Series B Preferred Units, payments and communications made by the Partnership to Series B Holders shall be made by making payments to, and communicating with, the Depositary.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Distributions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Distributions on each Outstanding Series B Preferred Unit shall be cumulative and shall accumulate at the applicable Series B Distribution Rate from and including February 16, 2021 (or, for any subsequently issued and newly Outstanding Series B Preferred Units, from and including the Series B Distribution Payment Date immediately preceding the issue date of such Series B Preferred Units) until such time as the Partnership pays the Series B Distribution or redeems such Series B Preferred Unit in accordance with </w:t>
      </w:r>
      <w:r>
        <w:rPr>
          <w:rFonts w:ascii="Times New Roman" w:hAnsi="Times New Roman"/>
          <w:sz w:val="20"/>
          <w:u w:val="single"/>
        </w:rPr>
        <w:t>Section 5.11(b)(iv)</w:t>
      </w:r>
      <w:r>
        <w:rPr>
          <w:rFonts w:ascii="Times New Roman" w:hAnsi="Times New Roman"/>
          <w:sz w:val="20"/>
        </w:rPr>
        <w:t xml:space="preserve">, whether or not such Series B Distributions shall have been declared. Series B Holders shall be entitled to receive Series B Distributions from time to time out of any assets of the Partnership legally available for the payment of distributions at the Series B Distribution Rate per Series B Preferred Unit when, as, and, if declared by the General Partner. Series B Distributions, to the extent declared by the General Partner to be paid by the Partnership in accordance with this </w:t>
      </w:r>
      <w:r>
        <w:rPr>
          <w:rFonts w:ascii="Times New Roman" w:hAnsi="Times New Roman"/>
          <w:sz w:val="20"/>
          <w:u w:val="single"/>
        </w:rPr>
        <w:t>Section 5.11(b)(ii)</w:t>
      </w:r>
      <w:r>
        <w:rPr>
          <w:rFonts w:ascii="Times New Roman" w:hAnsi="Times New Roman"/>
          <w:sz w:val="20"/>
        </w:rPr>
        <w:t xml:space="preserve">, shall be paid, in Arrears, on each Series B Distribution Payment Date. Series B Distributions shall accumulate in each Series B Distribution Period from and including the preceding Series B Distribution Payment Date (other than the initial Series B Distribution Period, which shall commence on and include February 16, 2021), to, but excluding, the next Series B Distribution Payment Date for such Series B Distribution Period; </w:t>
      </w:r>
      <w:r>
        <w:rPr>
          <w:rFonts w:ascii="Times New Roman" w:hAnsi="Times New Roman"/>
          <w:sz w:val="20"/>
          <w:u w:val="single"/>
        </w:rPr>
        <w:t xml:space="preserve">provided </w:t>
      </w:r>
      <w:r>
        <w:rPr>
          <w:rFonts w:ascii="Times New Roman" w:hAnsi="Times New Roman"/>
          <w:sz w:val="20"/>
        </w:rPr>
        <w:t xml:space="preserve">that distributions shall accrue on accumulated but unpaid Series B Distributions at the Series B Distribution Rate. If any Series B Distribution Payment Date otherwise would occur on a date that is not a Business Day, declared Series B Distributions shall be paid on the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succeeding Business Day without the accumulation of additional distributions. During the Series B Fixed Rate Period, Series B Distributions shall be payable based on a 360-day year consisting of twelve 30 day months. During the Series B Floating Rate Period, Series B Distributions shall be computed by multiplying the Series B Distribution Rate by a fraction, the numerator of which will be the actual number of days elapsed during that Series B Distribution Period (determined by including the first day of such Series B Distribution Period and excluding the last day, which is the Series B Distribution Payment Date), and the denominator of which will be 360, and by multiplying the result by the aggregate Series B Liquidation Preference of all Outstanding Series B Preferred Units. All Series B Distributions that are (1) accumulated and unpaid or (2) payable by the Partnership pursuant to this </w:t>
      </w:r>
      <w:r>
        <w:rPr>
          <w:rFonts w:ascii="Times New Roman" w:hAnsi="Times New Roman"/>
          <w:sz w:val="20"/>
          <w:u w:val="single"/>
        </w:rPr>
        <w:t>Section 5.11(b)(ii)</w:t>
      </w:r>
      <w:r>
        <w:rPr>
          <w:rFonts w:ascii="Times New Roman" w:hAnsi="Times New Roman"/>
          <w:sz w:val="20"/>
        </w:rPr>
        <w:t xml:space="preserve"> shall be payable without regard to income of the Partnership and shall be treated for federal income tax purposes as guaranteed payments for the use of capital under Section 707(c) of the Code. The guaranteed payment with respect to any Series B Distribution Period shall be for the account of the holders of Series B Preferred Units as of the applicable Series B Distribution Record Date. </w:t>
      </w:r>
    </w:p>
    <w:p>
      <w:pPr>
        <w:pStyle w:val="TextBody"/>
        <w:bidi w:val="0"/>
        <w:spacing w:before="120" w:after="0"/>
        <w:jc w:val="left"/>
        <w:rPr>
          <w:rFonts w:ascii="Times New Roman" w:hAnsi="Times New Roman"/>
          <w:sz w:val="20"/>
        </w:rPr>
      </w:pPr>
      <w:r>
        <w:rPr>
          <w:rFonts w:ascii="Times New Roman" w:hAnsi="Times New Roman"/>
          <w:sz w:val="20"/>
        </w:rPr>
        <w:t>(B) Not later than 5:00 p.m., New York City time, on each Series B Distribution Payment Date, the Partnership shall pay those Series B Distributions, if any, that shall have been declared by the General Partner to Series B Holders on the Record Date for the applicable Series B Distribution. The Record Date (the “</w:t>
      </w:r>
      <w:r>
        <w:rPr>
          <w:rFonts w:ascii="Times New Roman" w:hAnsi="Times New Roman"/>
          <w:i/>
          <w:sz w:val="20"/>
        </w:rPr>
        <w:t>Series B Distribution Record Date</w:t>
      </w:r>
      <w:r>
        <w:rPr>
          <w:rFonts w:ascii="Times New Roman" w:hAnsi="Times New Roman"/>
          <w:sz w:val="20"/>
        </w:rPr>
        <w:t xml:space="preserve">”) for the payment of any Series B Distributions shall be as of the close of business on the first Business Day of the month of the applicable Series B Distribution Payment Date, except that in the case of payments of Series B Distributions in Arrears, the Series B Distribution Record Date with respect to a Series B Distribution Payment Date shall be such date as may be designated by the General Partner in accordance with this </w:t>
      </w:r>
      <w:r>
        <w:rPr>
          <w:rFonts w:ascii="Times New Roman" w:hAnsi="Times New Roman"/>
          <w:sz w:val="20"/>
          <w:u w:val="single"/>
        </w:rPr>
        <w:t>Section 5.11</w:t>
      </w:r>
      <w:r>
        <w:rPr>
          <w:rFonts w:ascii="Times New Roman" w:hAnsi="Times New Roman"/>
          <w:sz w:val="20"/>
        </w:rPr>
        <w:t xml:space="preserve">. So long as any Series B Preferred Units are Outstanding, no distribution shall be declared or paid or set aside for payment on any Series B Junior Securities (other than a distribution payable solely in Series B Junior Securities) unless full cumulative Series B Distributions have been or contemporaneously are being paid or set apart for payment on all Outstanding Series B Preferred Units (and distributions on any other Series B Parity Securities) through the most recent respective Series B Distribution Payment Date (and distribution payment date with respect to such Series B Parity Securities, if any);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notwithstanding anything to the contrary in this </w:t>
      </w:r>
      <w:r>
        <w:rPr>
          <w:rFonts w:ascii="Times New Roman" w:hAnsi="Times New Roman"/>
          <w:sz w:val="20"/>
          <w:u w:val="single"/>
        </w:rPr>
        <w:t>Section 5.11(b)(ii)(B)</w:t>
      </w:r>
      <w:r>
        <w:rPr>
          <w:rFonts w:ascii="Times New Roman" w:hAnsi="Times New Roman"/>
          <w:sz w:val="20"/>
        </w:rPr>
        <w:t xml:space="preserve">, if a distribution period with respect to a class of Series B Junior Securities or Series B Parity Securities is shorter than the Series B Distribution Period, the General Partner may declare and pay regular distributions with respect to such Series B Junior Securities or Series B Parity Securities, so long as, at the time of declaration of such distribution, (i) there are no Series B Distributions in Arrears, and (ii) the General Partner expects to have sufficient funds to pay the full distribution in respect of the Series B Preferred Units on the next successive Series B Distribution Payment Date. Accumulated Series B Distributions in Arrears for any past Series B Distribution Period may be declared by the General Partner and paid on any date fixed by the General Partner, whether or not a Series B Distribution Payment Date, to Series B Holders on the Record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 for such payment, which may not be less than 10 days before such payment date. Subject to the next succeeding sentence, if all accumulated Series B Distributions in Arrears on all Outstanding Series B Preferred Units and all accumulated distributions in arrears on any Series B Parity Securities shall not have been declared and paid, or if sufficient funds for the payment thereof shall not have been set apart, payment of accumulated distributions in Arrears on the Series B Preferred Units and accumulated distributions in arrears on any such Series B Parity Securities shall be made in order of their respective distribution payment dates, commencing with the earliest distribution payment date. If less than all distributions payable with respect to all Series B Preferred Units and any other Series B Parity Securities are paid, any partial payment shall be made Pro Rata with respect to the Series B Preferred Units and any such other Series B Parity Securities entitled to a distribution payment at such time in proportion to the aggregate distribution amounts remaining due in respect of such Series B Preferred Units and such other Series B Parity Securities at such time. Subject to </w:t>
      </w:r>
      <w:r>
        <w:rPr>
          <w:rFonts w:ascii="Times New Roman" w:hAnsi="Times New Roman"/>
          <w:sz w:val="20"/>
          <w:u w:val="single"/>
        </w:rPr>
        <w:t>Section 12.4</w:t>
      </w:r>
      <w:r>
        <w:rPr>
          <w:rFonts w:ascii="Times New Roman" w:hAnsi="Times New Roman"/>
          <w:sz w:val="20"/>
        </w:rPr>
        <w:t xml:space="preserve"> and </w:t>
      </w:r>
      <w:r>
        <w:rPr>
          <w:rFonts w:ascii="Times New Roman" w:hAnsi="Times New Roman"/>
          <w:sz w:val="20"/>
          <w:u w:val="single"/>
        </w:rPr>
        <w:t>Section 5.11(b)(v)</w:t>
      </w:r>
      <w:r>
        <w:rPr>
          <w:rFonts w:ascii="Times New Roman" w:hAnsi="Times New Roman"/>
          <w:sz w:val="20"/>
        </w:rPr>
        <w:t xml:space="preserve">, Series B Holders shall not be entitled to any distribution, whether payable in cash, property or Partnership Securities, in excess of full cumulative Series B Distributions. Except insofar as distributions accrue on the amount of any accumulated and unpaid Series B Distributions as described in </w:t>
      </w:r>
      <w:r>
        <w:rPr>
          <w:rFonts w:ascii="Times New Roman" w:hAnsi="Times New Roman"/>
          <w:sz w:val="20"/>
          <w:u w:val="single"/>
        </w:rPr>
        <w:t>Section 5.11(b)(ii)(A)</w:t>
      </w:r>
      <w:r>
        <w:rPr>
          <w:rFonts w:ascii="Times New Roman" w:hAnsi="Times New Roman"/>
          <w:sz w:val="20"/>
        </w:rPr>
        <w:t xml:space="preserve">, no interest or sum of money in lieu of interest shall be payable in respect of any distribution payment which may be in Arrears on the Series B Preferred Units. So long as the Series B Preferred Units are held of record by the Depositary or its nominee, declared Series B Distributions shall be paid to the Depositary in same-day funds on each Series B Distribution Payment Date or other distribution payment date in the case of payments for Series B Distributions in Arrears. </w:t>
      </w:r>
    </w:p>
    <w:p>
      <w:pPr>
        <w:pStyle w:val="TextBody"/>
        <w:bidi w:val="0"/>
        <w:spacing w:before="120" w:after="0"/>
        <w:jc w:val="left"/>
        <w:rPr>
          <w:rFonts w:ascii="Times New Roman" w:hAnsi="Times New Roman"/>
          <w:sz w:val="20"/>
        </w:rPr>
      </w:pPr>
      <w:r>
        <w:rPr>
          <w:rFonts w:ascii="Times New Roman" w:hAnsi="Times New Roman"/>
          <w:sz w:val="20"/>
        </w:rPr>
        <w:t xml:space="preserve">(C) The Series B Distribution Rate for each Series B Distribution Period in the Series B Floating Rate Period will be determined by the Calculation Agent using Three-Month LIBOR as in effect on the Distribution Determination Date for such Series B Distribution Period. The Calculation Agent then will add the spread of 4.155% per annum to Three-Month LIBOR as determined on the applicable Distribution Determination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t>
      </w:r>
    </w:p>
    <w:p>
      <w:pPr>
        <w:pStyle w:val="TextBody"/>
        <w:bidi w:val="0"/>
        <w:spacing w:before="120" w:after="0"/>
        <w:jc w:val="left"/>
        <w:rPr>
          <w:rFonts w:ascii="Times New Roman" w:hAnsi="Times New Roman"/>
          <w:sz w:val="20"/>
        </w:rPr>
      </w:pPr>
      <w:r>
        <w:rPr>
          <w:rFonts w:ascii="Times New Roman" w:hAnsi="Times New Roman"/>
          <w:sz w:val="20"/>
        </w:rPr>
        <w:t xml:space="preserve">(A) If the Calculation Agent determines on the relevant Distribution Determination Date that the LIBOR base rate has been discontinued, then the Calculation Agent will use a substitute or successor base rate that it has determined in its sole discretion is most comparable to the LIBOR base rate, </w:t>
      </w:r>
      <w:r>
        <w:rPr>
          <w:rFonts w:ascii="Times New Roman" w:hAnsi="Times New Roman"/>
          <w:sz w:val="20"/>
          <w:u w:val="single"/>
        </w:rPr>
        <w:t xml:space="preserve">provided </w:t>
      </w:r>
      <w:r>
        <w:rPr>
          <w:rFonts w:ascii="Times New Roman" w:hAnsi="Times New Roman"/>
          <w:sz w:val="20"/>
        </w:rPr>
        <w:t xml:space="preserve">that if the Calculation Agent determines there is an industry-accepted substitute or successor base rate, then the Calculation Agent shall use such substitute or successor base rate; and </w:t>
      </w:r>
    </w:p>
    <w:p>
      <w:pPr>
        <w:pStyle w:val="TextBody"/>
        <w:bidi w:val="0"/>
        <w:spacing w:before="120" w:after="0"/>
        <w:jc w:val="left"/>
        <w:rPr>
          <w:rFonts w:ascii="Times New Roman" w:hAnsi="Times New Roman"/>
          <w:sz w:val="20"/>
        </w:rPr>
      </w:pPr>
      <w:r>
        <w:rPr>
          <w:rFonts w:ascii="Times New Roman" w:hAnsi="Times New Roman"/>
          <w:sz w:val="20"/>
        </w:rPr>
        <w:t xml:space="preserve">(B) If the Calculation Agent has determined a substitute or successor base rate in accordance with the foregoing, the Calculation Agent in its sole discretion may determine what business day convention to use, the definition of business day, the Distribution Determination Date to be used and any other relevant methodology for calculating such substitute or successor base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Unless otherwise determined by the General Partner, Series B Distributions shall be deemed to have been paid out of deductions from Available Cash with respect to the Quarter ended immediately preceding the Quarter in which the Series B Distribution is made.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Voting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anything to the contrary in this Agreement, the Series B Preferred Units shall not have any voting rights or rights to consent or approve any action or matter, except as set forth in </w:t>
      </w:r>
      <w:r>
        <w:rPr>
          <w:rFonts w:ascii="Times New Roman" w:hAnsi="Times New Roman"/>
          <w:sz w:val="20"/>
          <w:u w:val="single"/>
        </w:rPr>
        <w:t>Section 13.3(c)</w:t>
      </w:r>
      <w:r>
        <w:rPr>
          <w:rFonts w:ascii="Times New Roman" w:hAnsi="Times New Roman"/>
          <w:sz w:val="20"/>
        </w:rPr>
        <w:t xml:space="preserve">, this </w:t>
      </w:r>
      <w:r>
        <w:rPr>
          <w:rFonts w:ascii="Times New Roman" w:hAnsi="Times New Roman"/>
          <w:sz w:val="20"/>
          <w:u w:val="single"/>
        </w:rPr>
        <w:t>Section 5.11(b)(iii)</w:t>
      </w:r>
      <w:r>
        <w:rPr>
          <w:rFonts w:ascii="Times New Roman" w:hAnsi="Times New Roman"/>
          <w:sz w:val="20"/>
        </w:rPr>
        <w:t xml:space="preserve"> or as otherwise required by the Texas Limited Partnership Law.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to the contrary in this Agreement, without the affirmative vote or consent of the holders of at least 66 2/3% of the Outstanding Series B Preferred Units, voting as a separate class, the General Partner shall not adopt any amendment to this Agreement that the General Partner determines would have a material adverse effect on the powers, preferences, duties, or special rights of the Series B Preferred Units;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(1) subject to </w:t>
      </w:r>
      <w:r>
        <w:rPr>
          <w:rFonts w:ascii="Times New Roman" w:hAnsi="Times New Roman"/>
          <w:sz w:val="20"/>
          <w:u w:val="single"/>
        </w:rPr>
        <w:t>Section 5.11(b)(iii)(C)</w:t>
      </w:r>
      <w:r>
        <w:rPr>
          <w:rFonts w:ascii="Times New Roman" w:hAnsi="Times New Roman"/>
          <w:sz w:val="20"/>
        </w:rPr>
        <w:t xml:space="preserve">, the issuance of additional Partnership Securities (and any amendment to this Agreement in connection therewith) shall not be deemed to constitute such a material adverse effect for purposes of this </w:t>
      </w:r>
      <w:r>
        <w:rPr>
          <w:rFonts w:ascii="Times New Roman" w:hAnsi="Times New Roman"/>
          <w:sz w:val="20"/>
          <w:u w:val="single"/>
        </w:rPr>
        <w:t>Section 5.11(b)(iii)(B)</w:t>
      </w:r>
      <w:r>
        <w:rPr>
          <w:rFonts w:ascii="Times New Roman" w:hAnsi="Times New Roman"/>
          <w:sz w:val="20"/>
        </w:rPr>
        <w:t xml:space="preserve"> and (2) for purposes of this </w:t>
      </w:r>
      <w:r>
        <w:rPr>
          <w:rFonts w:ascii="Times New Roman" w:hAnsi="Times New Roman"/>
          <w:sz w:val="20"/>
          <w:u w:val="single"/>
        </w:rPr>
        <w:t>Section 5.11(b)(iii)(B)</w:t>
      </w:r>
      <w:r>
        <w:rPr>
          <w:rFonts w:ascii="Times New Roman" w:hAnsi="Times New Roman"/>
          <w:sz w:val="20"/>
        </w:rPr>
        <w:t xml:space="preserve">, no amendment of this Agreement in connection with a merger or other transaction in which the Series B Preferred Units remain Outstanding with the terms thereof materially unchanged in any respect adverse to the Series B Holders (as determined by the General Partner) shall be deemed to materially and adversely affect the powers, preferences, duties, or special rights of the Series B Preferred Units.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in this Agreement, without the affirmative vote or consent of the holders of at least 66 2/3% of the Outstanding Series B Preferred Units, voting as a class together with holders of any other Series B Parity Securities upon which like voting rights have been conferred and are exercisable, the Partnership shall not (x) create or issue any Series B Parity Securities (including any additional Series B Preferred Units) if the cumulative distributions payable on Outstanding Series B Preferred Units (or any Series B Parity Securities, if the holders of such Series B Parity Securities vote as a class together with the Series B Holders pursuant to this </w:t>
      </w:r>
      <w:r>
        <w:rPr>
          <w:rFonts w:ascii="Times New Roman" w:hAnsi="Times New Roman"/>
          <w:sz w:val="20"/>
          <w:u w:val="single"/>
        </w:rPr>
        <w:t>Section 5.11(b)(iii)(C)</w:t>
      </w:r>
      <w:r>
        <w:rPr>
          <w:rFonts w:ascii="Times New Roman" w:hAnsi="Times New Roman"/>
          <w:sz w:val="20"/>
        </w:rPr>
        <w:t xml:space="preserve">) are in Arrears or (y) create or issue any Series B Senior Securities. </w:t>
      </w:r>
    </w:p>
    <w:p>
      <w:pPr>
        <w:pStyle w:val="TextBody"/>
        <w:bidi w:val="0"/>
        <w:spacing w:before="120" w:after="0"/>
        <w:jc w:val="left"/>
        <w:rPr>
          <w:rFonts w:ascii="Times New Roman" w:hAnsi="Times New Roman"/>
          <w:sz w:val="20"/>
        </w:rPr>
      </w:pPr>
      <w:r>
        <w:rPr>
          <w:rFonts w:ascii="Times New Roman" w:hAnsi="Times New Roman"/>
          <w:sz w:val="20"/>
        </w:rPr>
        <w:t xml:space="preserve">(D) For any matter described in this </w:t>
      </w:r>
      <w:r>
        <w:rPr>
          <w:rFonts w:ascii="Times New Roman" w:hAnsi="Times New Roman"/>
          <w:sz w:val="20"/>
          <w:u w:val="single"/>
        </w:rPr>
        <w:t>Section 5.11(b)(iii)</w:t>
      </w:r>
      <w:r>
        <w:rPr>
          <w:rFonts w:ascii="Times New Roman" w:hAnsi="Times New Roman"/>
          <w:sz w:val="20"/>
        </w:rPr>
        <w:t xml:space="preserve"> in which the Series B Holders are entitled to vote as a class (whether separately or together with the holders of any Series B Parity Securities), such Series B Holders shall be entitled to one vote per Series B Preferred Unit. Any Series B Preferred Units held by the Partnership or any of its Subsidiaries or their controlled Affiliates shall not be entitled to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Notwithstanding </w:t>
      </w:r>
      <w:r>
        <w:rPr>
          <w:rFonts w:ascii="Times New Roman" w:hAnsi="Times New Roman"/>
          <w:sz w:val="20"/>
          <w:u w:val="single"/>
        </w:rPr>
        <w:t>Section 5.11(b)(iii)(B)</w:t>
      </w:r>
      <w:r>
        <w:rPr>
          <w:rFonts w:ascii="Times New Roman" w:hAnsi="Times New Roman"/>
          <w:sz w:val="20"/>
        </w:rPr>
        <w:t xml:space="preserve"> and </w:t>
      </w:r>
      <w:r>
        <w:rPr>
          <w:rFonts w:ascii="Times New Roman" w:hAnsi="Times New Roman"/>
          <w:sz w:val="20"/>
          <w:u w:val="single"/>
        </w:rPr>
        <w:t>Section 5.11(b)(iii)(C)</w:t>
      </w:r>
      <w:r>
        <w:rPr>
          <w:rFonts w:ascii="Times New Roman" w:hAnsi="Times New Roman"/>
          <w:sz w:val="20"/>
        </w:rPr>
        <w:t xml:space="preserve">, no vote of the Series B Holders shall be required if, at or prior to the time when such action is to take effect, provision is made for the redemption of all Series B Preferred Units at the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Optional Redemption; Series B Rating Event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Partnership shall have the right (1) at any time, and from time to time, on or after February 15, 2028 or (2) at any time within 120 days after the conclusion of any review or appeal process instituted by the Partnership following the occurrence of a Series B Rating Event, in each case, to redeem the Series B Preferred Units, which redemption may be in whole or in part (except with respect to a redemption pursuant to clause (2) of this </w:t>
      </w:r>
      <w:r>
        <w:rPr>
          <w:rFonts w:ascii="Times New Roman" w:hAnsi="Times New Roman"/>
          <w:sz w:val="20"/>
          <w:u w:val="single"/>
        </w:rPr>
        <w:t>Section 5.11(b)(iv)(A)</w:t>
      </w:r>
      <w:r>
        <w:rPr>
          <w:rFonts w:ascii="Times New Roman" w:hAnsi="Times New Roman"/>
          <w:sz w:val="20"/>
        </w:rPr>
        <w:t xml:space="preserve"> which shall be in whole but not in part), using any source of funds legally available for such purpose. Any such redemption shall occur on a date set by the General Partner (the “</w:t>
      </w:r>
      <w:r>
        <w:rPr>
          <w:rFonts w:ascii="Times New Roman" w:hAnsi="Times New Roman"/>
          <w:i/>
          <w:sz w:val="20"/>
        </w:rPr>
        <w:t>Series B Redemption Date</w:t>
      </w:r>
      <w:r>
        <w:rPr>
          <w:rFonts w:ascii="Times New Roman" w:hAnsi="Times New Roman"/>
          <w:sz w:val="20"/>
        </w:rPr>
        <w:t xml:space="preserve">”). The Partnership shall effect any such redemption by paying cash for each Series B Preferred Unit to be redeemed equal to 100% (in the case of a redemption described in clause (1) of this </w:t>
      </w:r>
      <w:r>
        <w:rPr>
          <w:rFonts w:ascii="Times New Roman" w:hAnsi="Times New Roman"/>
          <w:sz w:val="20"/>
          <w:u w:val="single"/>
        </w:rPr>
        <w:t>Section 5.11(b)(iv)(A)</w:t>
      </w:r>
      <w:r>
        <w:rPr>
          <w:rFonts w:ascii="Times New Roman" w:hAnsi="Times New Roman"/>
          <w:sz w:val="20"/>
        </w:rPr>
        <w:t xml:space="preserve">), or 102% (in the case of a redemption described in clause (2) of this </w:t>
      </w:r>
      <w:r>
        <w:rPr>
          <w:rFonts w:ascii="Times New Roman" w:hAnsi="Times New Roman"/>
          <w:sz w:val="20"/>
          <w:u w:val="single"/>
        </w:rPr>
        <w:t>Section 5.11(b)(iv)(A)</w:t>
      </w:r>
      <w:r>
        <w:rPr>
          <w:rFonts w:ascii="Times New Roman" w:hAnsi="Times New Roman"/>
          <w:sz w:val="20"/>
        </w:rPr>
        <w:t>), of the Series B Liquidation Preference for such Series B Preferred Unit on such Series B Redemption Date plus an amount equal to all unpaid Series B Distributions thereon from the date of issuance to, but excluding, the Series B Redemption Date (whether or not such distributions shall have been declared) (the “</w:t>
      </w:r>
      <w:r>
        <w:rPr>
          <w:rFonts w:ascii="Times New Roman" w:hAnsi="Times New Roman"/>
          <w:i/>
          <w:sz w:val="20"/>
        </w:rPr>
        <w:t>Series B Redemption Price</w:t>
      </w:r>
      <w:r>
        <w:rPr>
          <w:rFonts w:ascii="Times New Roman" w:hAnsi="Times New Roman"/>
          <w:sz w:val="20"/>
        </w:rPr>
        <w:t xml:space="preserve">”). So long as the Series B Preferred Units to be redeemed are held of record by the Depositary or the nominee of the Depositary, the Series B Redemption Price shall be paid by the Paying Agent to the Depositary on the Series B Redemption Date. </w:t>
      </w:r>
    </w:p>
    <w:p>
      <w:pPr>
        <w:pStyle w:val="TextBody"/>
        <w:bidi w:val="0"/>
        <w:spacing w:before="120" w:after="0"/>
        <w:jc w:val="left"/>
        <w:rPr>
          <w:rFonts w:ascii="Times New Roman" w:hAnsi="Times New Roman"/>
          <w:sz w:val="20"/>
        </w:rPr>
      </w:pPr>
      <w:r>
        <w:rPr>
          <w:rFonts w:ascii="Times New Roman" w:hAnsi="Times New Roman"/>
          <w:sz w:val="20"/>
        </w:rPr>
        <w:t>(B) The Partnership shall give notice of any redemption by mail, postage prepaid, not less than 15 days and not more than 60 days before the scheduled Series B Redemption Date to the Series B Holders (as of 5:00 p.m. New York City time on the Business Day next preceding the day on which notice is given) of any Series B Preferred Units to be redeemed as such Series B Holders’ names appear on the books of the Transfer Agent and at the address of such Series B Holders shown therein. Such notice (the “</w:t>
      </w:r>
      <w:r>
        <w:rPr>
          <w:rFonts w:ascii="Times New Roman" w:hAnsi="Times New Roman"/>
          <w:i/>
          <w:sz w:val="20"/>
        </w:rPr>
        <w:t>Series B Redemption Notice</w:t>
      </w:r>
      <w:r>
        <w:rPr>
          <w:rFonts w:ascii="Times New Roman" w:hAnsi="Times New Roman"/>
          <w:sz w:val="20"/>
        </w:rPr>
        <w:t xml:space="preserve">”) shall state, as applicable: (1) the Series B Redemption Date, (2) the number of Series B Preferred Units to be redeemed and, if less than all Outstanding Series B Preferred Units are to be redeemed, the number (and in the case of Series B Preferred Units in certificated form, the identification) of Series B Preferred Units to be redeemed from such Series B Holder, (3) the Series B Redemption Price, (4) the place where any Series B Preferred Units in certificated form are to be redeemed and shall be presented and surrendered for payment of the Series B Redemption Price therefor (which shall occur automatically if the Certificate representing such Series B Preferred Units is issued in the name of the Depositary or its nominee), and (5) that distributions on the Series B Preferred Units to be redeemed shall cease to accumulate from and after such Series B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the Partnership elects to redeem less than all of the Outstanding Series B Preferred Units, the number of Series B Preferred Units to be redeemed shall be determined by the General Partner, and such Series B Preferred Units shall be redeemed by such method of selection as the Depositary shall determine, either Pro Rata or by lot, with adjustments to avoid redemption of fractional Series B Preferred Units. The aggregate Series B Redemption Price for any such partial redemption of the Outstanding Series B Preferred Units shall be allocated correspondingly among the redeemed Series B Preferred Units. The Series B Preferred Units not redeemed shall remain Outstanding and entitled to all the rights, preferences and duties provided in this </w:t>
      </w:r>
      <w:r>
        <w:rPr>
          <w:rFonts w:ascii="Times New Roman" w:hAnsi="Times New Roman"/>
          <w:sz w:val="20"/>
          <w:u w:val="single"/>
        </w:rPr>
        <w:t>Section 5.11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If the Partnership gives or causes to be given a Series B Redemption Notice, the Partnership shall deposit with the Paying Agent funds sufficient to redeem the Series B Preferred Units as to which such Series B Redemption Notice shall have been given, no later than 10:00 a.m. New York City time on the Series B Redemption Date, and shall give the Paying Agent irrevocable instructions and authority to pay the Series B Redemption Price to each Series B Holder whose Series B Preferred Units are to be redeemed upon surrender or deemed surrender (which shall occur automatically if the Certificate representing such Series B Preferred Units is issued in the name of the Depositary or its nominee) of the Certificates therefor as set forth in the Series B Redemption Notice. If a Series B Redemption Notice shall have been given, from and after the Series B Redemption Date, unless the Partnership defaults in providing funds sufficient for such redemption at the time and place specified for payment pursuant to the Series B Redemption Notice, all Series B Distributions on such Series B Preferred Units to be redeemed shall cease to accumulate and all rights of holders of such Series B Preferred Units as Limited Partners with respect to such Series B Preferred Units to be redeemed shall cease, except the right to receive the Series B Redemption Price, and such Series B Preferred Units shall not thereafter be transferred on the books of the Transfer Agent or be deemed to be Outstanding for any purpose whatsoever. The Series B Holders shall have no claim to the interest income, if any, earned on funds deposited with the Paying Agent. </w:t>
      </w:r>
    </w:p>
    <w:p>
      <w:pPr>
        <w:pStyle w:val="TextBody"/>
        <w:bidi w:val="0"/>
        <w:spacing w:before="120" w:after="0"/>
        <w:jc w:val="left"/>
        <w:rPr>
          <w:rFonts w:ascii="Times New Roman" w:hAnsi="Times New Roman"/>
          <w:sz w:val="20"/>
        </w:rPr>
      </w:pPr>
      <w:r>
        <w:rPr>
          <w:rFonts w:ascii="Times New Roman" w:hAnsi="Times New Roman"/>
          <w:sz w:val="20"/>
        </w:rPr>
        <w:t xml:space="preserve">Any funds deposited with the Paying Agent hereunder by the Partnership for any reason, including redemption of Series B Preferred Units, that remain unclaimed or unpaid after one year after the applicable Series B Redemption Date or other payment date, as applicable, shall be, to the extent permitted by law, repaid to the Partnership upon its written request, after which repayment the Series B Holders entitled to such redemption or other payment shall have recourse only to the Partnership. Notwithstanding any Series B Redemption Notice, there shall be no redemption of any Series B Preferred Units called for redemption until funds sufficient to pay the full Series B Redemption Price of such Series B Preferred Units shall have been deposited by the Partnership with the Paying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Any Series B Preferred Units that are redeemed or otherwise acquired by the Partnership shall be canceled. If only a portion of the Series B Preferred Units represented by a Certificate shall have been called for redemption, upon surrender of the Certificate to the Paying Agent (which shall occur automatically if the Certificate representing such Series B Preferred Units is registered in the name of the Depositary or its nominee), the Partnership shall issue and the Paying Agent shall deliver to the Series B Holders a new Certificate (or adjust the applicable book-entry account) representing the number of Series B Preferred Units represented by the surrendered Certificate that have not been called for redemption. </w:t>
      </w:r>
    </w:p>
    <w:p>
      <w:pPr>
        <w:pStyle w:val="TextBody"/>
        <w:bidi w:val="0"/>
        <w:spacing w:before="120" w:after="0"/>
        <w:jc w:val="left"/>
        <w:rPr>
          <w:rFonts w:ascii="Times New Roman" w:hAnsi="Times New Roman"/>
          <w:sz w:val="20"/>
        </w:rPr>
      </w:pPr>
      <w:r>
        <w:rPr>
          <w:rFonts w:ascii="Times New Roman" w:hAnsi="Times New Roman"/>
          <w:sz w:val="20"/>
        </w:rPr>
        <w:t xml:space="preserve">(F) Notwithstanding anything to the contrary in this </w:t>
      </w:r>
      <w:r>
        <w:rPr>
          <w:rFonts w:ascii="Times New Roman" w:hAnsi="Times New Roman"/>
          <w:sz w:val="20"/>
          <w:u w:val="single"/>
        </w:rPr>
        <w:t>Section 5.11</w:t>
      </w:r>
      <w:r>
        <w:rPr>
          <w:rFonts w:ascii="Times New Roman" w:hAnsi="Times New Roman"/>
          <w:sz w:val="20"/>
        </w:rPr>
        <w:t xml:space="preserve">, in the event that full cumulative distributions on the Series B Preferred Units and any Series B Parity Securities shall not have been paid or declared and set aside for payment, the Partnership shall not be permitted to repurchase, redeem or otherwise acquire, in whole or in part, any Series B Preferred Units or Series B Parity Securities except pursuant to a purchase or exchange offer made on the same relative terms to all Series B Holders and holders of any Series B Parity Securities. Subject to </w:t>
      </w:r>
      <w:r>
        <w:rPr>
          <w:rFonts w:ascii="Times New Roman" w:hAnsi="Times New Roman"/>
          <w:sz w:val="20"/>
          <w:u w:val="single"/>
        </w:rPr>
        <w:t>Section 4.9</w:t>
      </w:r>
      <w:r>
        <w:rPr>
          <w:rFonts w:ascii="Times New Roman" w:hAnsi="Times New Roman"/>
          <w:sz w:val="20"/>
        </w:rPr>
        <w:t xml:space="preserve">, so long as any Series B Preferred Units are Outstanding, the Partnership shall not be permitted to redeem, repurchase or otherwise acquire any Common Units or any other Series B Junior Securities unless full cumulative distributions on the Series B Preferred Units and any Series B Parity Securities for all prior and the then-ending Series B Distribution Periods, with respect to the Series B Preferred Units, and all prior and then ending distribution periods, with respect to any such Series B Parity Securities, shall have been paid or declared and set aside for payment.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Liquidation Rights</w:t>
      </w:r>
      <w:r>
        <w:rPr>
          <w:rFonts w:ascii="Times New Roman" w:hAnsi="Times New Roman"/>
          <w:sz w:val="20"/>
        </w:rPr>
        <w:t xml:space="preserve">. In the event of the dissolution and winding up of the Partnership under </w:t>
      </w:r>
      <w:r>
        <w:rPr>
          <w:rFonts w:ascii="Times New Roman" w:hAnsi="Times New Roman"/>
          <w:sz w:val="20"/>
          <w:u w:val="single"/>
        </w:rPr>
        <w:t>Section 12.4</w:t>
      </w:r>
      <w:r>
        <w:rPr>
          <w:rFonts w:ascii="Times New Roman" w:hAnsi="Times New Roman"/>
          <w:sz w:val="20"/>
        </w:rPr>
        <w:t xml:space="preserve"> or a sale, exchange, or other disposition of all or substantially all of the assets of the Partnership, either voluntary or involuntary, the Record Holders of the Series B Preferred Units shall be entitled to receive, out of the assets of the Partnership available for distribution to the Partners or any Assignees, prior and in preference to any distribution of any assets of the Partnership to the Record Holders of any other class or series of Partnership Interests (other than Series B Senior Securities or Series B Parity Securities), (A) first, any accumulated and unpaid distributions on the Series B Preferred Units (regardless of whether previously declared) and (B) then, any positive value in each such holder’s Capital Account in respect of such Series B Preferred Units. If in the year of such dissolution and winding up, or sale, exchange, or other disposition of all or substantially all of the assets of the Partnership, any such Record Holder’s Capital Account in respect of such Series B Preferred Units is less than the aggregate Series B Base Liquidation Preference of such Series B Preferred Units, then, notwithstanding anything to the contrary contained in this Agreement, and prior to any other allocation pursuant to this Agreement for such year and any distribution pursuant to the preceding sentence (other than any allocations or distributions made with respect to any other Series B Parity Securities upon which like allocation and distribution rights have been conferred), items of gross income and gain shall be allocated to all Unitholders then holding Series B Preferred Units, Pro Rata, until the Capital Account in respect of each Outstanding Series B Preferred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Unit is equal to the Series B Base Liquidation Preference (and no other allocation pursuant to this Agreement shall reverse the effect of such allocation);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in the event that like allocation rights have been conferred upon other Series B Parity Securities (including pursuant to </w:t>
      </w:r>
      <w:r>
        <w:rPr>
          <w:rFonts w:ascii="Times New Roman" w:hAnsi="Times New Roman"/>
          <w:sz w:val="20"/>
          <w:u w:val="single"/>
        </w:rPr>
        <w:t>5.12(b)(v)</w:t>
      </w:r>
      <w:r>
        <w:rPr>
          <w:rFonts w:ascii="Times New Roman" w:hAnsi="Times New Roman"/>
          <w:sz w:val="20"/>
        </w:rPr>
        <w:t xml:space="preserve">), then items of gross income and gain shall be allocated to all Unitholders then holding Series B Preferred Units and such Series B Parity Securities, Pro Rata, until the Capital Account in respect of each Outstanding Series B Preferred Unit and such Series B Parity Security is equal to the applicable liquidation preference (and no other allocation pursuant to this Agreement shall reverse the effect of such allocation). If in the year of such dissolution and winding up any such Record Holder’s Capital Account in respect of such Series B Preferred Units is less than the aggregate Series B Base Liquidation Preference of such Series B Preferred Units after the application of the preceding sentence, then to the extent permitted by applicable law, but otherwise notwithstanding anything to the contrary contained in this Agreement, items of gross income and gain for any preceding taxable year(s) with respect to which IRS Form 1065 Schedules K-1 have not been filed by the Partnership shall be reallocated to all Unitholders then holding Series B Preferred Units, Pro Rata, until the Capital Account in respect of each such Outstanding Series B Preferred Unit after making allocations pursuant to this and the immediately preceding sentence is equal to the Series B Base Liquidation Preference (and no other allocation pursuant to this Agreement shall reverse the effect of such allocation);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in the event like allocation rights have been conferred upon other Series B Parity Securities (including pursuant to </w:t>
      </w:r>
      <w:r>
        <w:rPr>
          <w:rFonts w:ascii="Times New Roman" w:hAnsi="Times New Roman"/>
          <w:sz w:val="20"/>
          <w:u w:val="single"/>
        </w:rPr>
        <w:t>5.12(b)(v)</w:t>
      </w:r>
      <w:r>
        <w:rPr>
          <w:rFonts w:ascii="Times New Roman" w:hAnsi="Times New Roman"/>
          <w:sz w:val="20"/>
        </w:rPr>
        <w:t xml:space="preserve">), then any such items of gross income and gain shall be reallocated to all Unitholders then holding Series B Preferred Units and such Series B Parity Securities, Pro Rata, until the Capital Account in respect of each Outstanding Series B Preferred Unit and such Series B Parity Security after making allocations pursuant to this and the immediately preceding sentence is equal to the applicable liquidation preference (and no other allocation pursuant to this Agreement shall reverse the effect of such allocation). After such allocations have been made to the Outstanding Series B Preferred Units, and any Series B Parity Securities, as applicable, any remaining Net Termination Gain or Net Termination Loss shall be allocated to the Partners pursuant to </w:t>
      </w:r>
      <w:r>
        <w:rPr>
          <w:rFonts w:ascii="Times New Roman" w:hAnsi="Times New Roman"/>
          <w:sz w:val="20"/>
          <w:u w:val="single"/>
        </w:rPr>
        <w:t>Section 6.1(c)</w:t>
      </w:r>
      <w:r>
        <w:rPr>
          <w:rFonts w:ascii="Times New Roman" w:hAnsi="Times New Roman"/>
          <w:sz w:val="20"/>
        </w:rPr>
        <w:t xml:space="preserve"> or </w:t>
      </w:r>
      <w:r>
        <w:rPr>
          <w:rFonts w:ascii="Times New Roman" w:hAnsi="Times New Roman"/>
          <w:sz w:val="20"/>
          <w:u w:val="single"/>
        </w:rPr>
        <w:t>Section 6.1(d)</w:t>
      </w:r>
      <w:r>
        <w:rPr>
          <w:rFonts w:ascii="Times New Roman" w:hAnsi="Times New Roman"/>
          <w:sz w:val="20"/>
        </w:rPr>
        <w:t xml:space="preserve">, as the case may be. At the time of the dissolution of the Partnership, subject to Sections 11.053 and 153.210 of the Texas Limited Partnership Law, the Record Holders of the Series B Preferred Units shall become entitled to receive any distributions in respect of the Series B Preferred Units that are accrued and unpaid as of the date of such distribution, and shall have the status of, and shall be entitled to all remedies available to, a creditor of the Partnership, and such entitlement of the Record Holders of the Series B Preferred Units to such accrued and unpaid distributions shall have priority over any entitlement of any other Partners or Assignees (other than holders of any Series B Senior Securities or Series B Parity Securities) with respect to any distributions by the Partnership to such other Partners or Assignees;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General Partner, as such, will have no liability for any obligations with respect to such distributions to any Record Holder(s) of Series B Preferred Units.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i/>
          <w:sz w:val="20"/>
        </w:rPr>
        <w:t>Rank</w:t>
      </w:r>
      <w:r>
        <w:rPr>
          <w:rFonts w:ascii="Times New Roman" w:hAnsi="Times New Roman"/>
          <w:sz w:val="20"/>
        </w:rPr>
        <w:t xml:space="preserve">. The Series B Preferred Units shall each be deemed to rank as to distributions on such Partnership Securities and distributions upon liquidation of the Partnership: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senior to any Series B Junior Securities; </w:t>
      </w:r>
    </w:p>
    <w:p>
      <w:pPr>
        <w:pStyle w:val="TextBody"/>
        <w:bidi w:val="0"/>
        <w:spacing w:before="120" w:after="0"/>
        <w:jc w:val="left"/>
        <w:rPr>
          <w:rFonts w:ascii="Times New Roman" w:hAnsi="Times New Roman"/>
          <w:sz w:val="20"/>
        </w:rPr>
      </w:pPr>
      <w:r>
        <w:rPr>
          <w:rFonts w:ascii="Times New Roman" w:hAnsi="Times New Roman"/>
          <w:sz w:val="20"/>
        </w:rPr>
        <w:t xml:space="preserve">(B) on a parity with any Series B Parity Securities; </w:t>
      </w:r>
    </w:p>
    <w:p>
      <w:pPr>
        <w:pStyle w:val="TextBody"/>
        <w:bidi w:val="0"/>
        <w:spacing w:before="120" w:after="0"/>
        <w:jc w:val="left"/>
        <w:rPr>
          <w:rFonts w:ascii="Times New Roman" w:hAnsi="Times New Roman"/>
          <w:sz w:val="20"/>
        </w:rPr>
      </w:pPr>
      <w:r>
        <w:rPr>
          <w:rFonts w:ascii="Times New Roman" w:hAnsi="Times New Roman"/>
          <w:sz w:val="20"/>
        </w:rPr>
        <w:t xml:space="preserve">(C) junior to any Series B Senior Securities; and </w:t>
      </w:r>
    </w:p>
    <w:p>
      <w:pPr>
        <w:pStyle w:val="TextBody"/>
        <w:bidi w:val="0"/>
        <w:spacing w:before="120" w:after="0"/>
        <w:jc w:val="left"/>
        <w:rPr>
          <w:rFonts w:ascii="Times New Roman" w:hAnsi="Times New Roman"/>
          <w:sz w:val="20"/>
        </w:rPr>
      </w:pPr>
      <w:r>
        <w:rPr>
          <w:rFonts w:ascii="Times New Roman" w:hAnsi="Times New Roman"/>
          <w:sz w:val="20"/>
        </w:rPr>
        <w:t xml:space="preserve">(D) junior to all existing and future indebtedness of the Partnership and other liabilities with respect to assets available to satisfy claims against the Partnership.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i/>
          <w:sz w:val="20"/>
        </w:rPr>
        <w:t>No Sinking Fund</w:t>
      </w:r>
      <w:r>
        <w:rPr>
          <w:rFonts w:ascii="Times New Roman" w:hAnsi="Times New Roman"/>
          <w:sz w:val="20"/>
        </w:rPr>
        <w:t xml:space="preserve">. The Series B Preferred Units shall not have the benefit of any sinking fund.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i/>
          <w:sz w:val="20"/>
        </w:rPr>
        <w:t>Record Holders</w:t>
      </w:r>
      <w:r>
        <w:rPr>
          <w:rFonts w:ascii="Times New Roman" w:hAnsi="Times New Roman"/>
          <w:sz w:val="20"/>
        </w:rPr>
        <w:t xml:space="preserve">. To the fullest extent permitted by applicable law, the General Partner, the Partnership, the Transfer Agent, and the Paying Agent may deem and treat any Series B Holder as the true, lawful, and absolute owner of the applicable Series B Preferred Units for all purposes, and none of the General Partner, the Partnership, the Transfer Agent or the Paying Agent shall be affected by any notice to the contrary, except as otherwise provided by law or any applicable rule, regulation, guideline or requirement of any National Securities Exchange on which the Series B Preferred Units may be listed or admitted to trading, if any. </w:t>
      </w:r>
    </w:p>
    <w:p>
      <w:pPr>
        <w:pStyle w:val="TextBody"/>
        <w:bidi w:val="0"/>
        <w:spacing w:before="120" w:after="0"/>
        <w:jc w:val="left"/>
        <w:rPr>
          <w:rFonts w:ascii="Times New Roman" w:hAnsi="Times New Roman"/>
          <w:sz w:val="20"/>
        </w:rPr>
      </w:pPr>
      <w:r>
        <w:rPr>
          <w:rFonts w:ascii="Times New Roman" w:hAnsi="Times New Roman"/>
          <w:sz w:val="20"/>
        </w:rPr>
        <w:t xml:space="preserve">(ix) </w:t>
      </w:r>
      <w:r>
        <w:rPr>
          <w:rFonts w:ascii="Times New Roman" w:hAnsi="Times New Roman"/>
          <w:i/>
          <w:sz w:val="20"/>
        </w:rPr>
        <w:t>Other Rights, Fiduciary Duties</w:t>
      </w:r>
      <w:r>
        <w:rPr>
          <w:rFonts w:ascii="Times New Roman" w:hAnsi="Times New Roman"/>
          <w:sz w:val="20"/>
        </w:rPr>
        <w:t xml:space="preserve">. The Series B Preferred Units and the Series B Holders shall not have any designations, preferences, rights, powers or duties, other than as set forth in this Agreement or as provided by applicable law. Notwithstanding anything to the contrary in this Agreement or any duty existing at law, in equity or otherwise, to the fullest extent permitted by applicable law, neither the General Partner nor any other Indemnitee shall owe any duties, including fiduciary duties, or have any liabilities to Series B Holders, other than the implied contractual covenant of good faith and fair dealing. The General Partner and other Indemnitees shall have no duties or obligations to the Series B Holders under Sections 152.205, 152.206 or 152.204(b) of the Texas Limited Partnership Law. </w:t>
      </w:r>
    </w:p>
    <w:p>
      <w:pPr>
        <w:pStyle w:val="TextBody"/>
        <w:bidi w:val="0"/>
        <w:spacing w:before="24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Establishment of Series G Preferred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w:t>
      </w:r>
      <w:r>
        <w:rPr>
          <w:rFonts w:ascii="Times New Roman" w:hAnsi="Times New Roman"/>
          <w:sz w:val="20"/>
        </w:rPr>
        <w:t>. The Partnership hereby designates and creates a class of Partnership Securities to be designated as “7.125% Series G Fixed-Rate Reset Cumulative Redeemable Perpetual Preferred Units” (the “</w:t>
      </w:r>
      <w:r>
        <w:rPr>
          <w:rFonts w:ascii="Times New Roman" w:hAnsi="Times New Roman"/>
          <w:i/>
          <w:sz w:val="20"/>
        </w:rPr>
        <w:t>Series G Preferred Units</w:t>
      </w:r>
      <w:r>
        <w:rPr>
          <w:rFonts w:ascii="Times New Roman" w:hAnsi="Times New Roman"/>
          <w:sz w:val="20"/>
        </w:rPr>
        <w:t xml:space="preserve">”), having the preferences, rights, powers, and duties set forth herein, including this </w:t>
      </w:r>
      <w:r>
        <w:rPr>
          <w:rFonts w:ascii="Times New Roman" w:hAnsi="Times New Roman"/>
          <w:sz w:val="20"/>
          <w:u w:val="single"/>
        </w:rPr>
        <w:t>Section 5.12</w:t>
      </w:r>
      <w:r>
        <w:rPr>
          <w:rFonts w:ascii="Times New Roman" w:hAnsi="Times New Roman"/>
          <w:sz w:val="20"/>
        </w:rPr>
        <w:t xml:space="preserve">. Each Series G Preferred Unit shall be identical in all respects to every other Series G Preferred Unit, except as to the respective dates from which the Series G Liquidation Preference shall increase or from which Series G Distributions may begin accruing, to the extent such dates may differ. The Series G Preferred Units represent perpetual equity interests in the Partnership and shall not give rise to a claim by the Partnership or a Series G Holder for conversion or, except as set forth in </w:t>
      </w:r>
      <w:r>
        <w:rPr>
          <w:rFonts w:ascii="Times New Roman" w:hAnsi="Times New Roman"/>
          <w:sz w:val="20"/>
          <w:u w:val="single"/>
        </w:rPr>
        <w:t>Section 5.12(b)(iv)</w:t>
      </w:r>
      <w:r>
        <w:rPr>
          <w:rFonts w:ascii="Times New Roman" w:hAnsi="Times New Roman"/>
          <w:sz w:val="20"/>
        </w:rPr>
        <w:t xml:space="preserve">, redemption thereof at a particular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Rights of Series G Preferred Units</w:t>
      </w:r>
      <w:r>
        <w:rPr>
          <w:rFonts w:ascii="Times New Roman" w:hAnsi="Times New Roman"/>
          <w:sz w:val="20"/>
        </w:rPr>
        <w:t xml:space="preserve">. The Series G Preferred Units shall have the following rights, preferences and privileges and shall be subject to the following duties and obligations: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Series G Preferred 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authorized number of Series G Preferred Units shall be unlimited. Series G Preferred Units that are purchased or otherwise acquired by the Partnership shall be canceled. </w:t>
      </w:r>
    </w:p>
    <w:p>
      <w:pPr>
        <w:pStyle w:val="TextBody"/>
        <w:bidi w:val="0"/>
        <w:spacing w:before="120" w:after="0"/>
        <w:jc w:val="left"/>
        <w:rPr>
          <w:rFonts w:ascii="Times New Roman" w:hAnsi="Times New Roman"/>
          <w:sz w:val="20"/>
        </w:rPr>
      </w:pPr>
      <w:r>
        <w:rPr>
          <w:rFonts w:ascii="Times New Roman" w:hAnsi="Times New Roman"/>
          <w:sz w:val="20"/>
        </w:rPr>
        <w:t xml:space="preserve">(B) The Series G Preferred Units shall be represented by one or more global Certificates registered in the name of the Depositary or its nominee, and no Series G Holder shall be entitled to receive a definitive Certificate evidencing its Series G Preferred Units, unless (1) requested by a Series G Holder and consented to by the General Partner in its sole discretion, (2) otherwise required by law or (3) the Depositary gives notice of its intention to resign or is no longer eligible to act as such with respect to the Series G Preferred Units and the General Partner shall have not selected a substitute Depositary within 60 calendar days thereafter. So long as the Depositary shall have been appointed and is serving with respect to the Series G Preferred Units, payments and communications made by the Partnership to Series G Holders shall be made by making payments to, and communicating with, the Depositary.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Distributions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Distributions on each Outstanding Series G Preferred Unit shall be cumulative and shall accumulate at the applicable Series G Distribution Rate from and including November 16, 2020 (or, for any subsequently issued and newly Outstanding Series G Preferred Units, from and including the Series G Distribution Payment Date immediately preceding the issue date of such Series G Preferred Units) until such time as the Partnership pays the Series G Distribution or redeems such Series G Preferred Unit in accordance with </w:t>
      </w:r>
      <w:r>
        <w:rPr>
          <w:rFonts w:ascii="Times New Roman" w:hAnsi="Times New Roman"/>
          <w:sz w:val="20"/>
          <w:u w:val="single"/>
        </w:rPr>
        <w:t>Section 5.12(b)(iv)</w:t>
      </w:r>
      <w:r>
        <w:rPr>
          <w:rFonts w:ascii="Times New Roman" w:hAnsi="Times New Roman"/>
          <w:sz w:val="20"/>
        </w:rPr>
        <w:t xml:space="preserve">, whether or not such Series G Distributions shall have been declared. Series G Holders shall be entitled to receive Series G Distributions from time to time out of any assets of the Partnership legally available for the payment of distributions at the Series G Distribution Rate per Series G Preferred Unit when, as, and, if declared by the General Partner. Series G Distributions, to the extent declared by the General Partner to be paid by the Partnership in accordance with this </w:t>
      </w:r>
      <w:r>
        <w:rPr>
          <w:rFonts w:ascii="Times New Roman" w:hAnsi="Times New Roman"/>
          <w:sz w:val="20"/>
          <w:u w:val="single"/>
        </w:rPr>
        <w:t>Section 5.12(b)(ii)</w:t>
      </w:r>
      <w:r>
        <w:rPr>
          <w:rFonts w:ascii="Times New Roman" w:hAnsi="Times New Roman"/>
          <w:sz w:val="20"/>
        </w:rPr>
        <w:t xml:space="preserve">, shall be paid, in Arrears, on each Series G Distribution Payment Date. Series G Distributions shall accumulate in each Series G Distribution Period from and including the preceding Series G Distribution Payment Date (other than the initial Series G Distribution Period, which shall commence on and include November 16, 2020), to, but excluding, the next Series G Distribution Payment Date for such Series G Distribution Period; </w:t>
      </w:r>
      <w:r>
        <w:rPr>
          <w:rFonts w:ascii="Times New Roman" w:hAnsi="Times New Roman"/>
          <w:sz w:val="20"/>
          <w:u w:val="single"/>
        </w:rPr>
        <w:t xml:space="preserve">provided </w:t>
      </w:r>
      <w:r>
        <w:rPr>
          <w:rFonts w:ascii="Times New Roman" w:hAnsi="Times New Roman"/>
          <w:sz w:val="20"/>
        </w:rPr>
        <w:t xml:space="preserve">that distributions shall accrue on accumulated but unpaid Series G Distributions at the Series G Distribution Rate. If any Series G Distribution Payment Date otherwise would occur on a date that is not a Business Day, declared Series G Distributions shall be paid on the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succeeding Business Day without the accumulation of additional distributions. All Series G Distributions that are (1) accumulated and unpaid or (2) payable by the Partnership pursuant to this </w:t>
      </w:r>
      <w:r>
        <w:rPr>
          <w:rFonts w:ascii="Times New Roman" w:hAnsi="Times New Roman"/>
          <w:sz w:val="20"/>
          <w:u w:val="single"/>
        </w:rPr>
        <w:t>Section 5.12(b)(ii)</w:t>
      </w:r>
      <w:r>
        <w:rPr>
          <w:rFonts w:ascii="Times New Roman" w:hAnsi="Times New Roman"/>
          <w:sz w:val="20"/>
        </w:rPr>
        <w:t xml:space="preserve"> shall be payable without regard to income of the Partnership and shall be treated for federal income tax purposes as guaranteed payments for the use of capital under Section 707(c) of the Code. The guaranteed payment with respect to any Series G Distribution Period shall be for the account of the holders of Series G Preferred Units as of the applicable Series G Distribution Record Date. </w:t>
      </w:r>
    </w:p>
    <w:p>
      <w:pPr>
        <w:pStyle w:val="TextBody"/>
        <w:bidi w:val="0"/>
        <w:spacing w:before="120" w:after="0"/>
        <w:jc w:val="left"/>
        <w:rPr>
          <w:rFonts w:ascii="Times New Roman" w:hAnsi="Times New Roman"/>
          <w:sz w:val="20"/>
        </w:rPr>
      </w:pPr>
      <w:r>
        <w:rPr>
          <w:rFonts w:ascii="Times New Roman" w:hAnsi="Times New Roman"/>
          <w:sz w:val="20"/>
        </w:rPr>
        <w:t>(B) Not later than 5:00 p.m., New York City time, on each Series G Distribution Payment Date, the Partnership shall pay those Series G Distributions, if any, that shall have been declared by the General Partner to Series G Holders on the Record Date for the applicable Series G Distribution. The Record Date (the “</w:t>
      </w:r>
      <w:r>
        <w:rPr>
          <w:rFonts w:ascii="Times New Roman" w:hAnsi="Times New Roman"/>
          <w:i/>
          <w:sz w:val="20"/>
        </w:rPr>
        <w:t>Series G Distribution Record Date</w:t>
      </w:r>
      <w:r>
        <w:rPr>
          <w:rFonts w:ascii="Times New Roman" w:hAnsi="Times New Roman"/>
          <w:sz w:val="20"/>
        </w:rPr>
        <w:t xml:space="preserve">”) for the payment of any Series G Distributions shall be as of the close of business on the first Business Day of the month of the applicable Series G Distribution Payment Date, except that in the case of payments of Series G Distributions in Arrears, the Series G Distribution Record Date with respect to a Series G Distribution Payment Date shall be such date as may be designated by the General Partner in accordance with this </w:t>
      </w:r>
      <w:r>
        <w:rPr>
          <w:rFonts w:ascii="Times New Roman" w:hAnsi="Times New Roman"/>
          <w:sz w:val="20"/>
          <w:u w:val="single"/>
        </w:rPr>
        <w:t>Section 5.12</w:t>
      </w:r>
      <w:r>
        <w:rPr>
          <w:rFonts w:ascii="Times New Roman" w:hAnsi="Times New Roman"/>
          <w:sz w:val="20"/>
        </w:rPr>
        <w:t xml:space="preserve">. So long as any Series G Preferred Units are Outstanding, no distribution shall be declared or paid or set aside for payment on any Series G Junior Securities (other than a distribution payable solely in Series G Junior Securities) unless full cumulative Series G Distributions have been or contemporaneously are being paid or set apart for payment on all Outstanding Series G Preferred Units (and distributions on any other Series G Parity Securities) through the most recent respective Series G Distribution Payment Date (and distribution payment date with respect to such Series G Parity Securities, if any);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notwithstanding anything to the contrary in this </w:t>
      </w:r>
      <w:r>
        <w:rPr>
          <w:rFonts w:ascii="Times New Roman" w:hAnsi="Times New Roman"/>
          <w:sz w:val="20"/>
          <w:u w:val="single"/>
        </w:rPr>
        <w:t>Section 5.12(b)(ii)(B)</w:t>
      </w:r>
      <w:r>
        <w:rPr>
          <w:rFonts w:ascii="Times New Roman" w:hAnsi="Times New Roman"/>
          <w:sz w:val="20"/>
        </w:rPr>
        <w:t xml:space="preserve">, if a distribution period with respect to a class of Series G Junior Securities or Series G Parity Securities is shorter than the Series G Distribution Period, the General Partner may declare and pay regular distributions with respect to such Series G Junior Securities or Series G Parity Securities, so long as, at the time of declaration of such distribution, (i) there are no Series G Distributions in Arrears, and (ii) the General Partner expects to have sufficient funds to pay the full distribution in respect of the Series G Preferred Units on the next successive Series G Distribution Payment Date. Accumulated Series G Distributions in Arrears for any past Series G Distribution Period may be declared by the General Partner and paid on any date fixed by the General Partner, whether or not a Series G Distribution Payment Date, to Series G Holders on the Record Date for such payment, which may not be less than 10 calendar days before such payment date. Subject to the next succeeding sentence, if all accumulated Series G Distributions in Arrears on all Outstanding Series G Preferred Units and all accumulated distributions in arrears on any Series G Parity Securities shall not have been declared and paid, or if sufficient funds for the payment thereof shall not have been set apart, payment of accumulated distributions in Arrears on the Series G Preferred Units and accumulated distributions in arrears on any such Series G Parity Securities shall be made in order of their respective distribution payment dates, commencing with the earliest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distribution payment date. If less than all distributions payable with respect to all Series G Preferred Units and any other Series G Parity Securities are paid, any partial payment shall be made Pro Rata with respect to the Series G Preferred Units and any such other Series G Parity Securities entitled to a distribution payment at such time in proportion to the aggregate distribution amounts remaining due in respect of such Series G Preferred Units and such other Series G Parity Securities at such time. Subject to </w:t>
      </w:r>
      <w:r>
        <w:rPr>
          <w:rFonts w:ascii="Times New Roman" w:hAnsi="Times New Roman"/>
          <w:sz w:val="20"/>
          <w:u w:val="single"/>
        </w:rPr>
        <w:t>Section 12.4</w:t>
      </w:r>
      <w:r>
        <w:rPr>
          <w:rFonts w:ascii="Times New Roman" w:hAnsi="Times New Roman"/>
          <w:sz w:val="20"/>
        </w:rPr>
        <w:t xml:space="preserve"> and </w:t>
      </w:r>
      <w:r>
        <w:rPr>
          <w:rFonts w:ascii="Times New Roman" w:hAnsi="Times New Roman"/>
          <w:sz w:val="20"/>
          <w:u w:val="single"/>
        </w:rPr>
        <w:t>Section 5.12(b)(v)</w:t>
      </w:r>
      <w:r>
        <w:rPr>
          <w:rFonts w:ascii="Times New Roman" w:hAnsi="Times New Roman"/>
          <w:sz w:val="20"/>
        </w:rPr>
        <w:t xml:space="preserve">, Series G Holders shall not be entitled to any distribution, whether payable in cash, property or Partnership Securities, in excess of full cumulative Series G Distributions. Except insofar as distributions accrue on the amount of any accumulated and unpaid Series G Distributions as described in </w:t>
      </w:r>
      <w:r>
        <w:rPr>
          <w:rFonts w:ascii="Times New Roman" w:hAnsi="Times New Roman"/>
          <w:sz w:val="20"/>
          <w:u w:val="single"/>
        </w:rPr>
        <w:t>Section 5.12(b)(ii)(A)</w:t>
      </w:r>
      <w:r>
        <w:rPr>
          <w:rFonts w:ascii="Times New Roman" w:hAnsi="Times New Roman"/>
          <w:sz w:val="20"/>
        </w:rPr>
        <w:t xml:space="preserve">, no interest or sum of money in lieu of interest shall be payable in respect of any distribution payment which may be in Arrears on the Series G Preferred Units. So long as the Series G Preferred Units are held of record by the Depositary or its nominee, declared Series G Distributions shall be paid to the Depositary in same-day funds on each Series G Distribution Payment Date or other distribution payment date in the case of payments for Series G Distributions in Arrears. </w:t>
      </w:r>
    </w:p>
    <w:p>
      <w:pPr>
        <w:pStyle w:val="TextBody"/>
        <w:bidi w:val="0"/>
        <w:spacing w:before="120" w:after="0"/>
        <w:jc w:val="left"/>
        <w:rPr>
          <w:rFonts w:ascii="Times New Roman" w:hAnsi="Times New Roman"/>
          <w:sz w:val="20"/>
        </w:rPr>
      </w:pPr>
      <w:r>
        <w:rPr>
          <w:rFonts w:ascii="Times New Roman" w:hAnsi="Times New Roman"/>
          <w:sz w:val="20"/>
        </w:rPr>
        <w:t xml:space="preserve">(C) The Series G Distribution Rate for each Series G Reset Period will be determined by the Calculation Agent for the Series G Preferred Units using the Series G Five-year U.S. Treasury Rate, as of the applicable Series G Reset Distribution Determination Date for such Series G Reset Period. The Calculation Agent for the Series G Preferred Units then will add the spread of 5.306% per annum to the Series G Five-year U.S. Treasury Rate as determined by the Calculation Agent as of the applicable Series G Reset Distribution Determination Date for such Series G Reset Period. Promptly following such determination by the Calculation Agent for the Series G Preferred Units, the Calculation Agent shall notify the Partnership of the Series G Distribution Rate for such Series G Reset Period. Such Calculation Agent’s determination of any Series G Distribution Rate for each Series G Reset Period and its calculation of the amount of Series G Distributions for any Series G Reset Period will be (i) available on file at the principal offices of the Partnership beginning on or after the Series G First Call Date, (ii) made available to any Series G Holder upon request and (iii) final and binding on each Series G Holder in the absence of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(D) The Partnership will provide notice of the relevant Series G Five-year U.S. Treasury Rate as soon as practicable to the Transfer Agent and the Series G Holders.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the foregoing, unless otherwise determined by the General Partner, Series G Distributions shall be deemed to have been paid out of deductions from Available Cash with respect to the Quarter ended immediately preceding the Quarter in which the Series G Distribution is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Voting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anything to the contrary in this Agreement, the Series G Preferred Units shall not have any voting rights or rights to consent or approve any action or matter, except as set forth in </w:t>
      </w:r>
      <w:r>
        <w:rPr>
          <w:rFonts w:ascii="Times New Roman" w:hAnsi="Times New Roman"/>
          <w:sz w:val="20"/>
          <w:u w:val="single"/>
        </w:rPr>
        <w:t>Section 13.3(c)</w:t>
      </w:r>
      <w:r>
        <w:rPr>
          <w:rFonts w:ascii="Times New Roman" w:hAnsi="Times New Roman"/>
          <w:sz w:val="20"/>
        </w:rPr>
        <w:t xml:space="preserve">, this </w:t>
      </w:r>
      <w:r>
        <w:rPr>
          <w:rFonts w:ascii="Times New Roman" w:hAnsi="Times New Roman"/>
          <w:sz w:val="20"/>
          <w:u w:val="single"/>
        </w:rPr>
        <w:t>Section 5.12(b)(iii)</w:t>
      </w:r>
      <w:r>
        <w:rPr>
          <w:rFonts w:ascii="Times New Roman" w:hAnsi="Times New Roman"/>
          <w:sz w:val="20"/>
        </w:rPr>
        <w:t xml:space="preserve"> or as otherwise required by the Texas Limited Partnership Law.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to the contrary in this Agreement, without the affirmative vote or consent of the holders of at least 66 2/3% of the Outstanding Series G Preferred Units, voting as a separate class, the General Partner shall not adopt any amendment to this Agreement that the General Partner determines would have a material adverse effect on the powers, preferences, duties, or special rights of the Series G Preferred Units;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 subject to </w:t>
      </w:r>
      <w:r>
        <w:rPr>
          <w:rFonts w:ascii="Times New Roman" w:hAnsi="Times New Roman"/>
          <w:sz w:val="20"/>
          <w:u w:val="single"/>
        </w:rPr>
        <w:t>Section 5.12(b)(iii)(C)</w:t>
      </w:r>
      <w:r>
        <w:rPr>
          <w:rFonts w:ascii="Times New Roman" w:hAnsi="Times New Roman"/>
          <w:sz w:val="20"/>
        </w:rPr>
        <w:t xml:space="preserve">, the issuance of additional Partnership Securities (and any amendment to this Agreement in connection therewith) shall not be deemed to constitute such a material adverse effect for purposes of this </w:t>
      </w:r>
      <w:r>
        <w:rPr>
          <w:rFonts w:ascii="Times New Roman" w:hAnsi="Times New Roman"/>
          <w:sz w:val="20"/>
          <w:u w:val="single"/>
        </w:rPr>
        <w:t>Section 5.12(b)(iii)(B)</w:t>
      </w:r>
      <w:r>
        <w:rPr>
          <w:rFonts w:ascii="Times New Roman" w:hAnsi="Times New Roman"/>
          <w:sz w:val="20"/>
        </w:rPr>
        <w:t xml:space="preserve"> and (ii) for purposes of this </w:t>
      </w:r>
      <w:r>
        <w:rPr>
          <w:rFonts w:ascii="Times New Roman" w:hAnsi="Times New Roman"/>
          <w:sz w:val="20"/>
          <w:u w:val="single"/>
        </w:rPr>
        <w:t>Section 5.12(b)(iii)(B)</w:t>
      </w:r>
      <w:r>
        <w:rPr>
          <w:rFonts w:ascii="Times New Roman" w:hAnsi="Times New Roman"/>
          <w:sz w:val="20"/>
        </w:rPr>
        <w:t xml:space="preserve">, no amendment of this Agreement in connection with a merger or other transaction in which the Series G Preferred Units remain Outstanding with the terms thereof materially unchanged in any respect adverse to the Series G Holders (as determined by the General Partner) shall be deemed to materially and adversely affect the powers, preferences, duties, or special rights of the Series G Preferred Units.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in this Agreement, without the affirmative vote or consent of the holders of at least 66 2/3% of the Outstanding Series G Preferred Units, voting as a class together with holders of any other Series G Parity Securities upon which like voting rights have been conferred and are exercisable, the Partnership shall not (x) create or issue any Series G Parity Securities (including any additional Series G Preferred Units) if the cumulative distributions payable on Outstanding Series G Preferred Units (or any Series G Parity Securities, if the holders of such Series G Parity Securities vote as a class together with the Series G Holders pursuant to this </w:t>
      </w:r>
      <w:r>
        <w:rPr>
          <w:rFonts w:ascii="Times New Roman" w:hAnsi="Times New Roman"/>
          <w:sz w:val="20"/>
          <w:u w:val="single"/>
        </w:rPr>
        <w:t>Section 5.12(b)(iii)(C)</w:t>
      </w:r>
      <w:r>
        <w:rPr>
          <w:rFonts w:ascii="Times New Roman" w:hAnsi="Times New Roman"/>
          <w:sz w:val="20"/>
        </w:rPr>
        <w:t xml:space="preserve">) are in Arrears or (y) create or issue any Series G Senior Securities. </w:t>
      </w:r>
    </w:p>
    <w:p>
      <w:pPr>
        <w:pStyle w:val="TextBody"/>
        <w:bidi w:val="0"/>
        <w:spacing w:before="120" w:after="0"/>
        <w:jc w:val="left"/>
        <w:rPr>
          <w:rFonts w:ascii="Times New Roman" w:hAnsi="Times New Roman"/>
          <w:sz w:val="20"/>
        </w:rPr>
      </w:pPr>
      <w:r>
        <w:rPr>
          <w:rFonts w:ascii="Times New Roman" w:hAnsi="Times New Roman"/>
          <w:sz w:val="20"/>
        </w:rPr>
        <w:t xml:space="preserve">(D) For any matter described in this </w:t>
      </w:r>
      <w:r>
        <w:rPr>
          <w:rFonts w:ascii="Times New Roman" w:hAnsi="Times New Roman"/>
          <w:sz w:val="20"/>
          <w:u w:val="single"/>
        </w:rPr>
        <w:t>Section 5.12(b)(iii)</w:t>
      </w:r>
      <w:r>
        <w:rPr>
          <w:rFonts w:ascii="Times New Roman" w:hAnsi="Times New Roman"/>
          <w:sz w:val="20"/>
        </w:rPr>
        <w:t xml:space="preserve"> in which the Series G Holders are entitled to vote as a class (whether separately or together with the holders of any Series G Parity Securities), such Series G Holders shall be entitled to one vote per Series G Preferred Unit. Any Series G Preferred Units held by the Partnership or any of its Subsidiaries or their controlled Affiliates shall not be entitled to vote.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w:t>
      </w:r>
      <w:r>
        <w:rPr>
          <w:rFonts w:ascii="Times New Roman" w:hAnsi="Times New Roman"/>
          <w:sz w:val="20"/>
          <w:u w:val="single"/>
        </w:rPr>
        <w:t>Section 5.12(b)(iii)(B)</w:t>
      </w:r>
      <w:r>
        <w:rPr>
          <w:rFonts w:ascii="Times New Roman" w:hAnsi="Times New Roman"/>
          <w:sz w:val="20"/>
        </w:rPr>
        <w:t xml:space="preserve"> and </w:t>
      </w:r>
      <w:r>
        <w:rPr>
          <w:rFonts w:ascii="Times New Roman" w:hAnsi="Times New Roman"/>
          <w:sz w:val="20"/>
          <w:u w:val="single"/>
        </w:rPr>
        <w:t>Section 5.12(b)(iii)(C)</w:t>
      </w:r>
      <w:r>
        <w:rPr>
          <w:rFonts w:ascii="Times New Roman" w:hAnsi="Times New Roman"/>
          <w:sz w:val="20"/>
        </w:rPr>
        <w:t xml:space="preserve">, no vote of the Series G Holders shall be required if, at or prior to the time when such action is to take effect, provision is made for the redemption of all Series G Preferred Units at the time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Optional Redemption; Series G Rating Event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Partnership shall have the right (i) on the Series G First Call Date or on any subsequent Series G Reset Date or (ii) at any time within 120 calendar days after the conclusion of any review or appeal process instituted by the Partnership following the occurrence of a Series G Rating Event, in each case, to redeem the Series G Preferred Units, which redemption may be in whole or in part (except with respect to a redemption pursuant to clause (ii) of this </w:t>
      </w:r>
      <w:r>
        <w:rPr>
          <w:rFonts w:ascii="Times New Roman" w:hAnsi="Times New Roman"/>
          <w:sz w:val="20"/>
          <w:u w:val="single"/>
        </w:rPr>
        <w:t>Section 5.12(b)(iv)(A)</w:t>
      </w:r>
      <w:r>
        <w:rPr>
          <w:rFonts w:ascii="Times New Roman" w:hAnsi="Times New Roman"/>
          <w:sz w:val="20"/>
        </w:rPr>
        <w:t xml:space="preserve"> which shall be in whole but not in part), using any source of funds legally available for such purpose. Any such redemption shall occur on a date set by the General Partner (the “</w:t>
      </w:r>
      <w:r>
        <w:rPr>
          <w:rFonts w:ascii="Times New Roman" w:hAnsi="Times New Roman"/>
          <w:i/>
          <w:sz w:val="20"/>
        </w:rPr>
        <w:t>Series G Redemption Date</w:t>
      </w:r>
      <w:r>
        <w:rPr>
          <w:rFonts w:ascii="Times New Roman" w:hAnsi="Times New Roman"/>
          <w:sz w:val="20"/>
        </w:rPr>
        <w:t xml:space="preserve">”). The Partnership shall effect any such redemption by paying cash for each Series G Preferred Unit to be redeemed equal to 100% (in the case of a redemption described in clause (i) of this </w:t>
      </w:r>
      <w:r>
        <w:rPr>
          <w:rFonts w:ascii="Times New Roman" w:hAnsi="Times New Roman"/>
          <w:sz w:val="20"/>
          <w:u w:val="single"/>
        </w:rPr>
        <w:t>Section 5.12(b)(iv)(A)</w:t>
      </w:r>
      <w:r>
        <w:rPr>
          <w:rFonts w:ascii="Times New Roman" w:hAnsi="Times New Roman"/>
          <w:sz w:val="20"/>
        </w:rPr>
        <w:t xml:space="preserve">), or 102% (in the case of a redemption described in clause (ii) of this </w:t>
      </w:r>
      <w:r>
        <w:rPr>
          <w:rFonts w:ascii="Times New Roman" w:hAnsi="Times New Roman"/>
          <w:sz w:val="20"/>
          <w:u w:val="single"/>
        </w:rPr>
        <w:t>Section 5.12(b)(iv)(A)</w:t>
      </w:r>
      <w:r>
        <w:rPr>
          <w:rFonts w:ascii="Times New Roman" w:hAnsi="Times New Roman"/>
          <w:sz w:val="20"/>
        </w:rPr>
        <w:t>), of the Series G Liquidation Preference for such Series G Preferred Unit on such Series G Redemption Date plus an amount equal to all unpaid Series G Distributions thereon from the date of issuance to, but excluding, the Series G Redemption Date (whether or not such distributions shall have been declared) (the “</w:t>
      </w:r>
      <w:r>
        <w:rPr>
          <w:rFonts w:ascii="Times New Roman" w:hAnsi="Times New Roman"/>
          <w:i/>
          <w:sz w:val="20"/>
        </w:rPr>
        <w:t>Series G Redemption Price</w:t>
      </w:r>
      <w:r>
        <w:rPr>
          <w:rFonts w:ascii="Times New Roman" w:hAnsi="Times New Roman"/>
          <w:sz w:val="20"/>
        </w:rPr>
        <w:t xml:space="preserve">”). So long as the Series G Preferred Units to be redeemed are held of record by the Depositary or the nominee of the Depositary, the Series G Redemption Price shall be paid by the Paying Agent to the Depositary on the Series G Redemption Date. </w:t>
      </w:r>
    </w:p>
    <w:p>
      <w:pPr>
        <w:pStyle w:val="TextBody"/>
        <w:bidi w:val="0"/>
        <w:spacing w:before="120" w:after="0"/>
        <w:jc w:val="left"/>
        <w:rPr>
          <w:rFonts w:ascii="Times New Roman" w:hAnsi="Times New Roman"/>
          <w:sz w:val="20"/>
        </w:rPr>
      </w:pPr>
      <w:r>
        <w:rPr>
          <w:rFonts w:ascii="Times New Roman" w:hAnsi="Times New Roman"/>
          <w:sz w:val="20"/>
        </w:rPr>
        <w:t>(B) The Partnership shall give notice of any redemption by mail, postage prepaid, not less than 30 calendar days and not more than 60 calendar days before the scheduled Series G Redemption Date to the Series G Holders (as of 5:00 p.m. New York City time on the Business Day next preceding the day on which notice is given) of any Series G Preferred Units to be redeemed as such Series G Holders’ names appear on the books of the Transfer Agent and at the address of such Series G Holders shown therein. Such notice (the “</w:t>
      </w:r>
      <w:r>
        <w:rPr>
          <w:rFonts w:ascii="Times New Roman" w:hAnsi="Times New Roman"/>
          <w:i/>
          <w:sz w:val="20"/>
        </w:rPr>
        <w:t>Series G Redemption Notice</w:t>
      </w:r>
      <w:r>
        <w:rPr>
          <w:rFonts w:ascii="Times New Roman" w:hAnsi="Times New Roman"/>
          <w:sz w:val="20"/>
        </w:rPr>
        <w:t xml:space="preserve">”) shall state, as applicable: (1) the Series G Redemption Date, (2) the number of Series G Preferred Units to be redeemed and, if less than all Outstanding Series G Preferred Units are to be redeemed, the number (and in the case of Series G Preferred Units in certificated form, the identification) of Series G Preferred Units to be redeemed from such Series G Holder, (3) the Series G Redemption Price, (4) the place where any Series G Preferred Units in certificated form are to be redeemed and shall be presented and surrendered for payment of the Series G Redemption Price therefor (which shall occur automatically if the Certificate representing such Series G Preferred Units is issued in the name of the Depositary or its nominee), and (5) that distributions on the Series G Preferred Units to be redeemed shall cease to accumulate from and after such Series G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(C) If the Partnership elects to redeem less than all of the Outstanding Series G Preferred Units, the number of Series G Preferred Units to be redeemed shall be determined by the General Partner, and such Series G Preferred Units shall be redeemed by such method of selection as the Depositary shall determine, either Pro Rata or by lot, with adjustments to avoid redemption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fractional Series G Preferred Units. The aggregate Series G Redemption Price for any such partial redemption of the Outstanding Series G Preferred Units shall be allocated correspondingly among the redeemed Series G Preferred Units. The Series G Preferred Units not redeemed shall remain Outstanding and entitled to all the rights, preferences and duties provided in this </w:t>
      </w:r>
      <w:r>
        <w:rPr>
          <w:rFonts w:ascii="Times New Roman" w:hAnsi="Times New Roman"/>
          <w:sz w:val="20"/>
          <w:u w:val="single"/>
        </w:rPr>
        <w:t>Section 5.12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If the Partnership gives or causes to be given a Series G Redemption Notice, the Partnership shall deposit with the Paying Agent funds sufficient to redeem the Series G Preferred Units as to which such Series G Redemption Notice shall have been given, no later than 10:00 a.m. New York City time on the Series G Redemption Date, and shall give the Paying Agent irrevocable instructions and authority to pay the Series G Redemption Price to each Series G Holder whose Series G Preferred Units are to be redeemed upon surrender or deemed surrender (which shall occur automatically if the Certificate representing such Series G Preferred Units is issued in the name of the Depositary or its nominee) of the Certificates therefor as set forth in the Series G Redemption Notice. If a Series G Redemption Notice shall have been given, from and after the Series G Redemption Date, unless the Partnership defaults in providing funds sufficient for such redemption at the time and place specified for payment pursuant to the Series G Redemption Notice, all Series G Distributions on such Series G Preferred Units to be redeemed shall cease to accumulate and all rights of holders of such Series G Preferred Units as Limited Partners with respect to such Series G Preferred Units to be redeemed shall cease, except the right to receive the Series G Redemption Price, and such Series G Preferred Units shall not thereafter be transferred on the books of the Transfer Agent or be deemed to be Outstanding for any purpose whatsoever. The Series G Holders shall have no claim to the interest income, if any, earned on funds deposited with the Paying Agent. Any funds deposited with the Paying Agent hereunder by the Partnership for any reason, including redemption of Series G Preferred Units, that remain unclaimed or unpaid after one year after the applicable Series G Redemption Date or other payment date, as applicable, shall be, to the extent permitted by law, repaid to the Partnership upon its written request, after which repayment the Series G Holders entitled to such redemption or other payment shall have recourse only to the Partnership. Notwithstanding any Series G Redemption Notice, there shall be no redemption of any Series G Preferred Units called for redemption until funds sufficient to pay the full Series G Redemption Price of such Series G Preferred Units shall have been deposited by the Partnership with the Paying Agent. </w:t>
      </w:r>
    </w:p>
    <w:p>
      <w:pPr>
        <w:pStyle w:val="TextBody"/>
        <w:bidi w:val="0"/>
        <w:spacing w:before="120" w:after="0"/>
        <w:jc w:val="left"/>
        <w:rPr>
          <w:rFonts w:ascii="Times New Roman" w:hAnsi="Times New Roman"/>
          <w:sz w:val="20"/>
        </w:rPr>
      </w:pPr>
      <w:r>
        <w:rPr>
          <w:rFonts w:ascii="Times New Roman" w:hAnsi="Times New Roman"/>
          <w:sz w:val="20"/>
        </w:rPr>
        <w:t xml:space="preserve">(E) Any Series G Preferred Units that are redeemed or otherwise acquired by the Partnership shall be canceled. If only a portion of the Series G Preferred Units represented by a Certificate shall have been called for redemption, upon surrender of the Certificate to the Paying Agent (which shall occur automatically if the Certificate representing such Series G Preferred Units is registered in the name of the Depositary or its nominee), the Partnership shall issue and the Paying Agent shall deliver to the Series G Holders a new Certificate (or adjust the applicable book-entry account) representing the number of Series G Preferred Units represented by the surrendered Certificate that have not been called for 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Notwithstanding anything to the contrary in this </w:t>
      </w:r>
      <w:r>
        <w:rPr>
          <w:rFonts w:ascii="Times New Roman" w:hAnsi="Times New Roman"/>
          <w:sz w:val="20"/>
          <w:u w:val="single"/>
        </w:rPr>
        <w:t>Section 5.12</w:t>
      </w:r>
      <w:r>
        <w:rPr>
          <w:rFonts w:ascii="Times New Roman" w:hAnsi="Times New Roman"/>
          <w:sz w:val="20"/>
        </w:rPr>
        <w:t xml:space="preserve">, in the event that full cumulative distributions on the Series G Preferred Units and any Series G Parity Securities shall not have been paid or declared and set aside for payment, the Partnership shall not be permitted to repurchase, redeem or otherwise acquire, in whole or in part, any Series G Preferred Units or Series G Parity Securities except pursuant to a purchase or exchange offer made on the same relative terms to all Series G Holders and holders of any Series G Parity Securities. Subject to </w:t>
      </w:r>
      <w:r>
        <w:rPr>
          <w:rFonts w:ascii="Times New Roman" w:hAnsi="Times New Roman"/>
          <w:sz w:val="20"/>
          <w:u w:val="single"/>
        </w:rPr>
        <w:t>Section 4.9</w:t>
      </w:r>
      <w:r>
        <w:rPr>
          <w:rFonts w:ascii="Times New Roman" w:hAnsi="Times New Roman"/>
          <w:sz w:val="20"/>
        </w:rPr>
        <w:t xml:space="preserve">, so long as any Series G Preferred Units are Outstanding, the Partnership shall not be permitted to redeem, repurchase or otherwise acquire any Common Units or any other Series G Junior Securities unless full cumulative distributions on the Series G Preferred Units and any Series G Parity Securities for all prior and the then-ending Series G Distribution Periods, with respect to the Series G Preferred Units, and all prior and then ending distribution periods, with respect to any such Series G Parity Securities, shall have been paid or declared and set aside for payment.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Liquidation Rights</w:t>
      </w:r>
      <w:r>
        <w:rPr>
          <w:rFonts w:ascii="Times New Roman" w:hAnsi="Times New Roman"/>
          <w:sz w:val="20"/>
        </w:rPr>
        <w:t xml:space="preserve">. In the event of the dissolution and winding up of the Partnership under </w:t>
      </w:r>
      <w:r>
        <w:rPr>
          <w:rFonts w:ascii="Times New Roman" w:hAnsi="Times New Roman"/>
          <w:sz w:val="20"/>
          <w:u w:val="single"/>
        </w:rPr>
        <w:t>Section 12.4</w:t>
      </w:r>
      <w:r>
        <w:rPr>
          <w:rFonts w:ascii="Times New Roman" w:hAnsi="Times New Roman"/>
          <w:sz w:val="20"/>
        </w:rPr>
        <w:t xml:space="preserve"> or a sale, exchange, or other disposition of all or substantially all of the assets of the Partnership, either voluntary or involuntary, the Record Holders of the Series G Preferred Units shall be entitled to receive, out of the assets of the Partnership available for distribution to the Partners or any Assignees, prior and in preference to any distribution of any assets of the Partnership to the Record Holders of any other class or series of Partnership Interests (other than Series G Senior Securities or Series G Parity Securities), (i) first, any accumulated and unpaid distributions on the Series G Preferred Units (regardless of whether previously declared) and (ii) then, any positive value in each such holder’s Capital Account in respect of such Series G Preferred Units. If in the year of such dissolution and winding up, or sale, exchange, or other disposition of all or substantially all of the assets of the Partnership, any such Record Holder’s Capital Account in respect of such Series G Preferred Units is less than the aggregate Series G Base Liquidation Preference of such Series G Preferred Units, then, notwithstanding anything to the contrary contained in this Agreement, and prior to any other allocation pursuant to this Agreement for such year and any distribution pursuant to the preceding sentence (other than any allocations or distributions made with respect to any other Series G Parity Securities upon which like allocation and distribution rights have been conferred), items of gross income and gain shall be allocated to all Unitholders then holding Series G Preferred Units, Pro Rata, until the Capital Account in respect of each Outstanding Series G Preferred Unit is equal to the Series G Base Liquidation Preference (and no other allocation pursuant to this Agreement shall reverse the effect of such allocation);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in the event that like allocation rights have been conferred upon other Series G Parity Securities (including pursuant to </w:t>
      </w:r>
      <w:r>
        <w:rPr>
          <w:rFonts w:ascii="Times New Roman" w:hAnsi="Times New Roman"/>
          <w:sz w:val="20"/>
          <w:u w:val="single"/>
        </w:rPr>
        <w:t>5.11(b)(v)</w:t>
      </w:r>
      <w:r>
        <w:rPr>
          <w:rFonts w:ascii="Times New Roman" w:hAnsi="Times New Roman"/>
          <w:sz w:val="20"/>
        </w:rPr>
        <w:t xml:space="preserve">), then items of gross income and gain shall be allocated to all Unitholders then holding Series G Preferred Units and such Series G Parity Securities, Pro Rata, until the Capital Account in respect of each Outstanding Series G Preferred Unit and such Series G Parity Security is equal to the applicable liquidation preference (and no other allocation pursuant to this Agreement shall reverse the effect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allocation). If in the year of such dissolution and winding up any such Record Holder’s Capital Account in respect of such Series G Preferred Units is less than the aggregate Series G Base Liquidation Preference of such Series G Preferred Units after the application of the preceding sentence, then to the extent permitted by applicable law, but otherwise notwithstanding anything to the contrary contained in this Agreement, items of gross income and gain for any preceding taxable year(s) with respect to which IRS Form 1065 Schedules K-1 have not been filed by the Partnership shall be reallocated to all Unitholders then holding Series G Preferred Units, Pro Rata, until the Capital Account in respect of each such Outstanding Series G Preferred Unit after making allocations pursuant to this and the immediately preceding sentence is equal to the Series G Base Liquidation Preference (and no other allocation pursuant to this Agreement shall reverse the effect of such allocation);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in the event like allocation rights have been conferred upon other Series G Parity Securities (including pursuant to </w:t>
      </w:r>
      <w:r>
        <w:rPr>
          <w:rFonts w:ascii="Times New Roman" w:hAnsi="Times New Roman"/>
          <w:sz w:val="20"/>
          <w:u w:val="single"/>
        </w:rPr>
        <w:t>5.11(b)(v)</w:t>
      </w:r>
      <w:r>
        <w:rPr>
          <w:rFonts w:ascii="Times New Roman" w:hAnsi="Times New Roman"/>
          <w:sz w:val="20"/>
        </w:rPr>
        <w:t xml:space="preserve">), then any such items of gross income and gain shall be reallocated to all Unitholders then holding Series G Preferred Units and such Series G Parity Securities, Pro Rata, until the Capital Account in respect of each Outstanding Series G Preferred Unit and such Series G Parity Security after making allocations pursuant to this and the immediately preceding sentence is equal to the applicable liquidation preference (and no other allocation pursuant to this Agreement shall reverse the effect of such allocation). After such allocations have been made to the Outstanding Series G Preferred Units and any Series G Parity Securities, as applicable, any remaining Net Termination Gain or Net Termination Loss shall be allocated to the Partners pursuant to </w:t>
      </w:r>
      <w:r>
        <w:rPr>
          <w:rFonts w:ascii="Times New Roman" w:hAnsi="Times New Roman"/>
          <w:sz w:val="20"/>
          <w:u w:val="single"/>
        </w:rPr>
        <w:t>Section 6.1(c)</w:t>
      </w:r>
      <w:r>
        <w:rPr>
          <w:rFonts w:ascii="Times New Roman" w:hAnsi="Times New Roman"/>
          <w:sz w:val="20"/>
        </w:rPr>
        <w:t xml:space="preserve"> or </w:t>
      </w:r>
      <w:r>
        <w:rPr>
          <w:rFonts w:ascii="Times New Roman" w:hAnsi="Times New Roman"/>
          <w:sz w:val="20"/>
          <w:u w:val="single"/>
        </w:rPr>
        <w:t>Section 6.1(d)</w:t>
      </w:r>
      <w:r>
        <w:rPr>
          <w:rFonts w:ascii="Times New Roman" w:hAnsi="Times New Roman"/>
          <w:sz w:val="20"/>
        </w:rPr>
        <w:t xml:space="preserve">, as the case may be. At the time of the dissolution of the Partnership, subject to Sections 11.053 and 153.210 of the Texas Limited Partnership Law, the Record Holders of the Series G Preferred Units shall become entitled to receive any distributions in respect of the Series G Preferred Units that are accrued and unpaid as of the date of such distribution, and shall have the status of, and shall be entitled to all remedies available to, a creditor of the Partnership, and such entitlement of the Record Holders of the Series G Preferred Units to such accrued and unpaid distributions shall have priority over any entitlement of any other Partners or Assignees (other than holders of any Series G Senior Securities or Series G Parity Securities) with respect to any distributions by the Partnership to such other Partners or Assignees;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General Partner, as such, will have no liability for any obligations with respect to such distributions to any Record Holder(s) of Series G Preferred Units.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i/>
          <w:sz w:val="20"/>
        </w:rPr>
        <w:t>Rank</w:t>
      </w:r>
      <w:r>
        <w:rPr>
          <w:rFonts w:ascii="Times New Roman" w:hAnsi="Times New Roman"/>
          <w:sz w:val="20"/>
        </w:rPr>
        <w:t xml:space="preserve">. The Series G Preferred Units shall each be deemed to rank as to distributions on such Partnership Securities and distributions upon liquidation of the Partnership: </w:t>
      </w:r>
    </w:p>
    <w:p>
      <w:pPr>
        <w:pStyle w:val="TextBody"/>
        <w:bidi w:val="0"/>
        <w:spacing w:before="120" w:after="0"/>
        <w:jc w:val="left"/>
        <w:rPr>
          <w:rFonts w:ascii="Times New Roman" w:hAnsi="Times New Roman"/>
          <w:sz w:val="20"/>
        </w:rPr>
      </w:pPr>
      <w:r>
        <w:rPr>
          <w:rFonts w:ascii="Times New Roman" w:hAnsi="Times New Roman"/>
          <w:sz w:val="20"/>
        </w:rPr>
        <w:t xml:space="preserve">(A) senior to any Series G Junior Securities; </w:t>
      </w:r>
    </w:p>
    <w:p>
      <w:pPr>
        <w:pStyle w:val="TextBody"/>
        <w:bidi w:val="0"/>
        <w:spacing w:before="120" w:after="0"/>
        <w:jc w:val="left"/>
        <w:rPr>
          <w:rFonts w:ascii="Times New Roman" w:hAnsi="Times New Roman"/>
          <w:sz w:val="20"/>
        </w:rPr>
      </w:pPr>
      <w:r>
        <w:rPr>
          <w:rFonts w:ascii="Times New Roman" w:hAnsi="Times New Roman"/>
          <w:sz w:val="20"/>
        </w:rPr>
        <w:t xml:space="preserve">(B) on a parity with any Series G Parity Securities; </w:t>
      </w:r>
    </w:p>
    <w:p>
      <w:pPr>
        <w:pStyle w:val="TextBody"/>
        <w:bidi w:val="0"/>
        <w:spacing w:before="120" w:after="0"/>
        <w:jc w:val="left"/>
        <w:rPr>
          <w:rFonts w:ascii="Times New Roman" w:hAnsi="Times New Roman"/>
          <w:sz w:val="20"/>
        </w:rPr>
      </w:pPr>
      <w:r>
        <w:rPr>
          <w:rFonts w:ascii="Times New Roman" w:hAnsi="Times New Roman"/>
          <w:sz w:val="20"/>
        </w:rPr>
        <w:t xml:space="preserve">(C) junior to any Series G Senior Securities;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junior to all existing and future indebtedness of the Partnership and other liabilities with respect to assets available to satisfy claims against the Partnership.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i/>
          <w:sz w:val="20"/>
        </w:rPr>
        <w:t>No Sinking Fund</w:t>
      </w:r>
      <w:r>
        <w:rPr>
          <w:rFonts w:ascii="Times New Roman" w:hAnsi="Times New Roman"/>
          <w:sz w:val="20"/>
        </w:rPr>
        <w:t xml:space="preserve">. The Series G Preferred Units shall not have the benefit of any sinking fund.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i/>
          <w:sz w:val="20"/>
        </w:rPr>
        <w:t>Record Holders</w:t>
      </w:r>
      <w:r>
        <w:rPr>
          <w:rFonts w:ascii="Times New Roman" w:hAnsi="Times New Roman"/>
          <w:sz w:val="20"/>
        </w:rPr>
        <w:t xml:space="preserve">. To the fullest extent permitted by applicable law, the General Partner, the Partnership, the Transfer Agent, and the Paying Agent may deem and treat any Series G Holder as the true, lawful, and absolute owner of the applicable Series G Preferred Units for all purposes, and none of the General Partner, the Partnership, the Transfer Agent or the Paying Agent shall be affected by any notice to the contrary, except as otherwise provided by law or any applicable rule, regulation, guideline or requirement of any National Securities Exchange on which the Series G Preferred Units may be listed or admitted to trading, if any. </w:t>
      </w:r>
    </w:p>
    <w:p>
      <w:pPr>
        <w:pStyle w:val="TextBody"/>
        <w:bidi w:val="0"/>
        <w:spacing w:before="120" w:after="0"/>
        <w:jc w:val="left"/>
        <w:rPr>
          <w:rFonts w:ascii="Times New Roman" w:hAnsi="Times New Roman"/>
          <w:sz w:val="20"/>
        </w:rPr>
      </w:pPr>
      <w:r>
        <w:rPr>
          <w:rFonts w:ascii="Times New Roman" w:hAnsi="Times New Roman"/>
          <w:sz w:val="20"/>
        </w:rPr>
        <w:t xml:space="preserve">(ix) </w:t>
      </w:r>
      <w:r>
        <w:rPr>
          <w:rFonts w:ascii="Times New Roman" w:hAnsi="Times New Roman"/>
          <w:i/>
          <w:sz w:val="20"/>
        </w:rPr>
        <w:t>Notices</w:t>
      </w:r>
      <w:r>
        <w:rPr>
          <w:rFonts w:ascii="Times New Roman" w:hAnsi="Times New Roman"/>
          <w:sz w:val="20"/>
        </w:rPr>
        <w:t xml:space="preserve">. All notices or other communications in respect of Series G Holders shall be sufficiently given (i) if given in writing and either delivered in person or by first class mail, postage prepaid, or (ii) if given in such other manner as may be permitted in this </w:t>
      </w:r>
      <w:r>
        <w:rPr>
          <w:rFonts w:ascii="Times New Roman" w:hAnsi="Times New Roman"/>
          <w:sz w:val="20"/>
          <w:u w:val="single"/>
        </w:rPr>
        <w:t>Section 5.12</w:t>
      </w:r>
      <w:r>
        <w:rPr>
          <w:rFonts w:ascii="Times New Roman" w:hAnsi="Times New Roman"/>
          <w:sz w:val="20"/>
        </w:rPr>
        <w:t xml:space="preserve">, the Agreement or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Other Rights; Fiduciary Duties</w:t>
      </w:r>
      <w:r>
        <w:rPr>
          <w:rFonts w:ascii="Times New Roman" w:hAnsi="Times New Roman"/>
          <w:sz w:val="20"/>
        </w:rPr>
        <w:t xml:space="preserve">. The Series G Preferred Units and the Series G Holders shall not have any designations, preferences, rights, powers or duties, other than as set forth in this Agreement or as provided by applicable law. Notwithstanding anything to the contrary in this Agreement or any duty existing at law, in equity or otherwise, to the fullest extent permitted by applicable law, neither the General Partner nor any other Indemnitee shall owe any duties, including fiduciary duties, or have any liabilities to Series G Holders, other than the implied contractual covenant of good faith and fair dealing. The General Partner and other Indemnitees shall have no duties or obligations to the Series G Holders under Sections 152.205, 152.206 or 152.204(b) of the Texas Limited Partnership Law. </w:t>
      </w:r>
    </w:p>
    <w:p>
      <w:pPr>
        <w:pStyle w:val="TextBody"/>
        <w:bidi w:val="0"/>
        <w:spacing w:before="24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Establishment of Class B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w:t>
      </w:r>
      <w:r>
        <w:rPr>
          <w:rFonts w:ascii="Times New Roman" w:hAnsi="Times New Roman"/>
          <w:sz w:val="20"/>
        </w:rPr>
        <w:t>. The Partnership hereby designates and creates a class of Partnership Securities to be designated as “Class B Units” (the “</w:t>
      </w:r>
      <w:r>
        <w:rPr>
          <w:rFonts w:ascii="Times New Roman" w:hAnsi="Times New Roman"/>
          <w:i/>
          <w:sz w:val="20"/>
        </w:rPr>
        <w:t>Class</w:t>
      </w:r>
      <w:r>
        <w:rPr>
          <w:rFonts w:ascii="Times New Roman" w:hAnsi="Times New Roman"/>
          <w:sz w:val="20"/>
        </w:rPr>
        <w:t> </w:t>
      </w:r>
      <w:r>
        <w:rPr>
          <w:rFonts w:ascii="Times New Roman" w:hAnsi="Times New Roman"/>
          <w:i/>
          <w:sz w:val="20"/>
        </w:rPr>
        <w:t>B Units</w:t>
      </w:r>
      <w:r>
        <w:rPr>
          <w:rFonts w:ascii="Times New Roman" w:hAnsi="Times New Roman"/>
          <w:sz w:val="20"/>
        </w:rPr>
        <w:t xml:space="preserve">”), having the preferences, rights, powers and duties set forth herein, including this </w:t>
      </w:r>
      <w:r>
        <w:rPr>
          <w:rFonts w:ascii="Times New Roman" w:hAnsi="Times New Roman"/>
          <w:sz w:val="20"/>
          <w:u w:val="single"/>
        </w:rPr>
        <w:t>Section 5.13</w:t>
      </w:r>
      <w:r>
        <w:rPr>
          <w:rFonts w:ascii="Times New Roman" w:hAnsi="Times New Roman"/>
          <w:sz w:val="20"/>
        </w:rPr>
        <w:t xml:space="preserve">. In accordance with </w:t>
      </w:r>
      <w:r>
        <w:rPr>
          <w:rFonts w:ascii="Times New Roman" w:hAnsi="Times New Roman"/>
          <w:sz w:val="20"/>
          <w:u w:val="single"/>
        </w:rPr>
        <w:t>Section 5.6</w:t>
      </w:r>
      <w:r>
        <w:rPr>
          <w:rFonts w:ascii="Times New Roman" w:hAnsi="Times New Roman"/>
          <w:sz w:val="20"/>
        </w:rPr>
        <w:t xml:space="preserve">, the General Partner shall have the power and authority to issue additional Class B Units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Rights of Class</w:t>
      </w:r>
      <w:r>
        <w:rPr>
          <w:rFonts w:ascii="Times New Roman" w:hAnsi="Times New Roman"/>
          <w:sz w:val="20"/>
        </w:rPr>
        <w:t> </w:t>
      </w:r>
      <w:r>
        <w:rPr>
          <w:rFonts w:ascii="Times New Roman" w:hAnsi="Times New Roman"/>
          <w:i/>
          <w:sz w:val="20"/>
        </w:rPr>
        <w:t>B Units</w:t>
      </w:r>
      <w:r>
        <w:rPr>
          <w:rFonts w:ascii="Times New Roman" w:hAnsi="Times New Roman"/>
          <w:sz w:val="20"/>
        </w:rPr>
        <w:t xml:space="preserve">. The Class B Units shall have the following rights, preferences and privileges and shall be subject to the following duties and obligations: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Initial Capital Account</w:t>
      </w:r>
      <w:r>
        <w:rPr>
          <w:rFonts w:ascii="Times New Roman" w:hAnsi="Times New Roman"/>
          <w:sz w:val="20"/>
        </w:rPr>
        <w:t xml:space="preserve">. The initial Capital Account with respect to each Class B Unit held by ETP Holdco was equal to the Class B Unit Issue Price. The initial Capital Account balance in respect of the Class B Units held by each of IPCH and Crestwood Partners immediately following the closing of the Energy Transfer Merger will be equal to IPCH’s and Crestwood Partners’ respective capital account balance with respect to its Class A Units (as defined in the limited partnership agreement of Crestwood Equity Partners LP) immediately prior to the Energy Transfer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Allocations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holders of Class B Units shall not be entitled to receive (1) any allocations of ETP Holdco Items, and (2) except as otherwise provided in this </w:t>
      </w:r>
      <w:r>
        <w:rPr>
          <w:rFonts w:ascii="Times New Roman" w:hAnsi="Times New Roman"/>
          <w:sz w:val="20"/>
          <w:u w:val="single"/>
        </w:rPr>
        <w:t>Section 5.13(b)(ii)</w:t>
      </w:r>
      <w:r>
        <w:rPr>
          <w:rFonts w:ascii="Times New Roman" w:hAnsi="Times New Roman"/>
          <w:sz w:val="20"/>
        </w:rPr>
        <w:t xml:space="preserve">, allocations of (a) Net Income pursuant to </w:t>
      </w:r>
      <w:r>
        <w:rPr>
          <w:rFonts w:ascii="Times New Roman" w:hAnsi="Times New Roman"/>
          <w:sz w:val="20"/>
          <w:u w:val="single"/>
        </w:rPr>
        <w:t>Section 6.1(a)</w:t>
      </w:r>
      <w:r>
        <w:rPr>
          <w:rFonts w:ascii="Times New Roman" w:hAnsi="Times New Roman"/>
          <w:sz w:val="20"/>
        </w:rPr>
        <w:t xml:space="preserve">, (b) Net Loss pursuant to </w:t>
      </w:r>
      <w:r>
        <w:rPr>
          <w:rFonts w:ascii="Times New Roman" w:hAnsi="Times New Roman"/>
          <w:sz w:val="20"/>
          <w:u w:val="single"/>
        </w:rPr>
        <w:t>Section 6.1(b)</w:t>
      </w:r>
      <w:r>
        <w:rPr>
          <w:rFonts w:ascii="Times New Roman" w:hAnsi="Times New Roman"/>
          <w:sz w:val="20"/>
        </w:rPr>
        <w:t xml:space="preserve">, or (c) Net Termination Gains and Net Termination Losses pursuant to </w:t>
      </w:r>
      <w:r>
        <w:rPr>
          <w:rFonts w:ascii="Times New Roman" w:hAnsi="Times New Roman"/>
          <w:sz w:val="20"/>
          <w:u w:val="single"/>
        </w:rPr>
        <w:t>Section 6.1(c)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each taxable period, the holders of the Class B Units shall be allocated, Pro Rata in proportion to the number of Class B Units of the holders, items of Partnership gross income, gain, loss or deduction (other than from ETP Holdco Items and items of Partnership depreciation, amortization and cost recovery deductions) until the aggregate amount of such items allocated to the holders of the Class B Units pursuant to this </w:t>
      </w:r>
      <w:r>
        <w:rPr>
          <w:rFonts w:ascii="Times New Roman" w:hAnsi="Times New Roman"/>
          <w:sz w:val="20"/>
          <w:u w:val="single"/>
        </w:rPr>
        <w:t>Section 5.13(b)(ii)(B)</w:t>
      </w:r>
      <w:r>
        <w:rPr>
          <w:rFonts w:ascii="Times New Roman" w:hAnsi="Times New Roman"/>
          <w:sz w:val="20"/>
        </w:rPr>
        <w:t xml:space="preserve"> for the current taxable period and all previous taxable periods is equal to the cumulative amount of all distributions made to the holders of the Class B Units pursuant to </w:t>
      </w:r>
      <w:r>
        <w:rPr>
          <w:rFonts w:ascii="Times New Roman" w:hAnsi="Times New Roman"/>
          <w:sz w:val="20"/>
          <w:u w:val="single"/>
        </w:rPr>
        <w:t>Section 5.13(b)(iii)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Items of Partnership depreciation, amortization and cost recovery deductions (other than from ETP Holdco Items) with respect to each taxable period shall be allocated to the holders of Class B Units to the extent such items would be allocated to the holders of Class B Units as if each Class B Unit was treated as a Common Unit. </w:t>
      </w:r>
    </w:p>
    <w:p>
      <w:pPr>
        <w:pStyle w:val="TextBody"/>
        <w:bidi w:val="0"/>
        <w:spacing w:before="120" w:after="0"/>
        <w:jc w:val="left"/>
        <w:rPr>
          <w:rFonts w:ascii="Times New Roman" w:hAnsi="Times New Roman"/>
          <w:sz w:val="20"/>
        </w:rPr>
      </w:pPr>
      <w:r>
        <w:rPr>
          <w:rFonts w:ascii="Times New Roman" w:hAnsi="Times New Roman"/>
          <w:sz w:val="20"/>
        </w:rPr>
        <w:t xml:space="preserve">(D) With respect to each taxable period, after the application of </w:t>
      </w:r>
      <w:r>
        <w:rPr>
          <w:rFonts w:ascii="Times New Roman" w:hAnsi="Times New Roman"/>
          <w:sz w:val="20"/>
          <w:u w:val="single"/>
        </w:rPr>
        <w:t>Section 6.1(c)(i)(B)</w:t>
      </w:r>
      <w:r>
        <w:rPr>
          <w:rFonts w:ascii="Times New Roman" w:hAnsi="Times New Roman"/>
          <w:sz w:val="20"/>
        </w:rPr>
        <w:t xml:space="preserve"> but before the application of </w:t>
      </w:r>
      <w:r>
        <w:rPr>
          <w:rFonts w:ascii="Times New Roman" w:hAnsi="Times New Roman"/>
          <w:sz w:val="20"/>
          <w:u w:val="single"/>
        </w:rPr>
        <w:t>Section 6.1(c)(i)(C)</w:t>
      </w:r>
      <w:r>
        <w:rPr>
          <w:rFonts w:ascii="Times New Roman" w:hAnsi="Times New Roman"/>
          <w:sz w:val="20"/>
        </w:rPr>
        <w:t xml:space="preserve">, Net Termination Gain (other than from ETP Holdco Items) shall be allocated to the holders of the Class B Units, until the Capital Account of each Class B Unit is equal to the Class B Unit Issue Price. </w:t>
      </w:r>
    </w:p>
    <w:p>
      <w:pPr>
        <w:pStyle w:val="TextBody"/>
        <w:bidi w:val="0"/>
        <w:spacing w:before="120" w:after="0"/>
        <w:jc w:val="left"/>
        <w:rPr>
          <w:rFonts w:ascii="Times New Roman" w:hAnsi="Times New Roman"/>
          <w:sz w:val="20"/>
        </w:rPr>
      </w:pPr>
      <w:r>
        <w:rPr>
          <w:rFonts w:ascii="Times New Roman" w:hAnsi="Times New Roman"/>
          <w:sz w:val="20"/>
        </w:rPr>
        <w:t xml:space="preserve">(E) For each taxable period, after the application of </w:t>
      </w:r>
      <w:r>
        <w:rPr>
          <w:rFonts w:ascii="Times New Roman" w:hAnsi="Times New Roman"/>
          <w:sz w:val="20"/>
          <w:u w:val="single"/>
        </w:rPr>
        <w:t>Section 6.1(c)(i)(B)</w:t>
      </w:r>
      <w:r>
        <w:rPr>
          <w:rFonts w:ascii="Times New Roman" w:hAnsi="Times New Roman"/>
          <w:sz w:val="20"/>
        </w:rPr>
        <w:t xml:space="preserve"> but before the application of </w:t>
      </w:r>
      <w:r>
        <w:rPr>
          <w:rFonts w:ascii="Times New Roman" w:hAnsi="Times New Roman"/>
          <w:sz w:val="20"/>
          <w:u w:val="single"/>
        </w:rPr>
        <w:t>Section 6.1(c)(i)(C)</w:t>
      </w:r>
      <w:r>
        <w:rPr>
          <w:rFonts w:ascii="Times New Roman" w:hAnsi="Times New Roman"/>
          <w:sz w:val="20"/>
        </w:rPr>
        <w:t xml:space="preserve">, and after making the allocations provided for in </w:t>
      </w:r>
      <w:r>
        <w:rPr>
          <w:rFonts w:ascii="Times New Roman" w:hAnsi="Times New Roman"/>
          <w:sz w:val="20"/>
          <w:u w:val="single"/>
        </w:rPr>
        <w:t>Section 5.13(b)(ii)(D)</w:t>
      </w:r>
      <w:r>
        <w:rPr>
          <w:rFonts w:ascii="Times New Roman" w:hAnsi="Times New Roman"/>
          <w:sz w:val="20"/>
        </w:rPr>
        <w:t xml:space="preserve">, the holders of the Class B Units shall be allocated, 1% of the remaining aggregate Net Termination Gain (other than from ETP Holdco Items), if any, that is to be allocated pursuant to </w:t>
      </w:r>
      <w:r>
        <w:rPr>
          <w:rFonts w:ascii="Times New Roman" w:hAnsi="Times New Roman"/>
          <w:sz w:val="20"/>
          <w:u w:val="single"/>
        </w:rPr>
        <w:t>Section 6.1(c)(i)(C)</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an allocation shall only be made to the holders of Class B Units pursuant to this </w:t>
      </w:r>
      <w:r>
        <w:rPr>
          <w:rFonts w:ascii="Times New Roman" w:hAnsi="Times New Roman"/>
          <w:sz w:val="20"/>
          <w:u w:val="single"/>
        </w:rPr>
        <w:t>Section 5.13(b)(ii)(E)</w:t>
      </w:r>
      <w:r>
        <w:rPr>
          <w:rFonts w:ascii="Times New Roman" w:hAnsi="Times New Roman"/>
          <w:sz w:val="20"/>
        </w:rPr>
        <w:t xml:space="preserve"> if the Capital Account of each Common Unit is equal to or greater than the Class B Unit Issue Price immediately prior to making such allocation. </w:t>
      </w:r>
    </w:p>
    <w:p>
      <w:pPr>
        <w:pStyle w:val="TextBody"/>
        <w:bidi w:val="0"/>
        <w:spacing w:before="120" w:after="0"/>
        <w:jc w:val="left"/>
        <w:rPr>
          <w:rFonts w:ascii="Times New Roman" w:hAnsi="Times New Roman"/>
          <w:sz w:val="20"/>
        </w:rPr>
      </w:pPr>
      <w:r>
        <w:rPr>
          <w:rFonts w:ascii="Times New Roman" w:hAnsi="Times New Roman"/>
          <w:sz w:val="20"/>
        </w:rPr>
        <w:t xml:space="preserve">(F) For each taxable period, after the application of </w:t>
      </w:r>
      <w:r>
        <w:rPr>
          <w:rFonts w:ascii="Times New Roman" w:hAnsi="Times New Roman"/>
          <w:sz w:val="20"/>
          <w:u w:val="single"/>
        </w:rPr>
        <w:t>Section 6.1(c)(ii)(B)</w:t>
      </w:r>
      <w:r>
        <w:rPr>
          <w:rFonts w:ascii="Times New Roman" w:hAnsi="Times New Roman"/>
          <w:sz w:val="20"/>
        </w:rPr>
        <w:t xml:space="preserve">, but before the application of </w:t>
      </w:r>
      <w:r>
        <w:rPr>
          <w:rFonts w:ascii="Times New Roman" w:hAnsi="Times New Roman"/>
          <w:sz w:val="20"/>
          <w:u w:val="single"/>
        </w:rPr>
        <w:t>Section 6.1(c)(ii)(C)</w:t>
      </w:r>
      <w:r>
        <w:rPr>
          <w:rFonts w:ascii="Times New Roman" w:hAnsi="Times New Roman"/>
          <w:sz w:val="20"/>
        </w:rPr>
        <w:t xml:space="preserve">, the holders of the Class B Units shall be allocated Net Termination Loss (other than from ETP Holdco Items) until the Capital Account in respect of each Class B Unit has been reduced to zero.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For the purposes of effectuating the intent of the foregoing allocation provisions, the General Partner shall have the sole discretion to make special allocations of items of Partnership gross income, gain, loss or deductions among the General Partner and the Unitholders as it deems reasonable (including, for the avoidance of doubt, to (1) avoid circularity among ETP Holdco, IPCH and Crestwood Partners and their respective ownership of Class B Units and (2) account for any future internal reorganizations or restructurings of the Partnership and/or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Distributions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For each taxable period, no portion of any Partnership cash distribution attributable to ETP Holdco Distributions shall be distributed to the holders of the Class B Units. </w:t>
      </w:r>
    </w:p>
    <w:p>
      <w:pPr>
        <w:pStyle w:val="TextBody"/>
        <w:bidi w:val="0"/>
        <w:spacing w:before="120" w:after="0"/>
        <w:jc w:val="left"/>
        <w:rPr>
          <w:rFonts w:ascii="Times New Roman" w:hAnsi="Times New Roman"/>
          <w:sz w:val="20"/>
        </w:rPr>
      </w:pPr>
      <w:r>
        <w:rPr>
          <w:rFonts w:ascii="Times New Roman" w:hAnsi="Times New Roman"/>
          <w:sz w:val="20"/>
        </w:rPr>
        <w:t>(B) Commencing with the Class B Unit Original Issuance Date, the holder of the Class B Units as of an applicable Record Date shall be entitled to receive distributions (each, a “</w:t>
      </w:r>
      <w:r>
        <w:rPr>
          <w:rFonts w:ascii="Times New Roman" w:hAnsi="Times New Roman"/>
          <w:i/>
          <w:sz w:val="20"/>
        </w:rPr>
        <w:t>Class</w:t>
      </w:r>
      <w:r>
        <w:rPr>
          <w:rFonts w:ascii="Times New Roman" w:hAnsi="Times New Roman"/>
          <w:sz w:val="20"/>
        </w:rPr>
        <w:t> </w:t>
      </w:r>
      <w:r>
        <w:rPr>
          <w:rFonts w:ascii="Times New Roman" w:hAnsi="Times New Roman"/>
          <w:i/>
          <w:sz w:val="20"/>
        </w:rPr>
        <w:t>B Unit Quarterly Distribution</w:t>
      </w:r>
      <w:r>
        <w:rPr>
          <w:rFonts w:ascii="Times New Roman" w:hAnsi="Times New Roman"/>
          <w:sz w:val="20"/>
        </w:rPr>
        <w:t xml:space="preserve">”) in cash in an amount equal to the Class B Unit Distribution Rate on all Outstanding Class B Units. Distributions shall be paid Quarterly, in arrears, within 50 days after the end of each Quarter (or the Business Day immediately thereafter). Each Record Date established for paying a Class B Unit Quarterly Distribution in respect of any Quarter shall be the same Record Date established for any distribution to be made by the Partnership in respect of other Partnership Interests pursuant to </w:t>
      </w:r>
      <w:r>
        <w:rPr>
          <w:rFonts w:ascii="Times New Roman" w:hAnsi="Times New Roman"/>
          <w:sz w:val="20"/>
          <w:u w:val="single"/>
        </w:rPr>
        <w:t>Section 6.3</w:t>
      </w:r>
      <w:r>
        <w:rPr>
          <w:rFonts w:ascii="Times New Roman" w:hAnsi="Times New Roman"/>
          <w:sz w:val="20"/>
        </w:rPr>
        <w:t xml:space="preserve">. If the Partnership is unable to pay the Class B Unit Quarterly Distribution with respect to any Quarter, (1) the amount of such accrued and unpaid distributions will accumulate until paid in full in cash and (2) the balance of such accrued and unpaid distributions shall increase at a rate of 1.5% per annum, compounded quarterly, from the date such distribution was due until the date it is paid. For the avoidance of doubt, except as set forth in this </w:t>
      </w:r>
      <w:r>
        <w:rPr>
          <w:rFonts w:ascii="Times New Roman" w:hAnsi="Times New Roman"/>
          <w:sz w:val="20"/>
          <w:u w:val="single"/>
        </w:rPr>
        <w:t>Section 5.13(b)(iii)(B)</w:t>
      </w:r>
      <w:r>
        <w:rPr>
          <w:rFonts w:ascii="Times New Roman" w:hAnsi="Times New Roman"/>
          <w:sz w:val="20"/>
        </w:rPr>
        <w:t xml:space="preserve"> or </w:t>
      </w:r>
      <w:r>
        <w:rPr>
          <w:rFonts w:ascii="Times New Roman" w:hAnsi="Times New Roman"/>
          <w:sz w:val="20"/>
          <w:u w:val="single"/>
        </w:rPr>
        <w:t>Article XII</w:t>
      </w:r>
      <w:r>
        <w:rPr>
          <w:rFonts w:ascii="Times New Roman" w:hAnsi="Times New Roman"/>
          <w:sz w:val="20"/>
        </w:rPr>
        <w:t xml:space="preserve">, the Class B Units will not be entitled to receive any distributions.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Voting Rights</w:t>
      </w:r>
      <w:r>
        <w:rPr>
          <w:rFonts w:ascii="Times New Roman" w:hAnsi="Times New Roman"/>
          <w:sz w:val="20"/>
        </w:rPr>
        <w:t xml:space="preserve">. Except as set forth in this </w:t>
      </w:r>
      <w:r>
        <w:rPr>
          <w:rFonts w:ascii="Times New Roman" w:hAnsi="Times New Roman"/>
          <w:sz w:val="20"/>
          <w:u w:val="single"/>
        </w:rPr>
        <w:t>Section 5.13(b)(iv)</w:t>
      </w:r>
      <w:r>
        <w:rPr>
          <w:rFonts w:ascii="Times New Roman" w:hAnsi="Times New Roman"/>
          <w:sz w:val="20"/>
        </w:rPr>
        <w:t xml:space="preserve"> and </w:t>
      </w:r>
      <w:r>
        <w:rPr>
          <w:rFonts w:ascii="Times New Roman" w:hAnsi="Times New Roman"/>
          <w:sz w:val="20"/>
          <w:u w:val="single"/>
        </w:rPr>
        <w:t>Section 13.3(c)</w:t>
      </w:r>
      <w:r>
        <w:rPr>
          <w:rFonts w:ascii="Times New Roman" w:hAnsi="Times New Roman"/>
          <w:sz w:val="20"/>
        </w:rPr>
        <w:t xml:space="preserve"> and except to the extent the Texas Limited Partnership Law gives the Class B Units a vote as a class on any matter, the Class B Units shall not have any voting rights. With respect to any matter on which the Class B Units are entitled to vote, each Class B Unit will be entitled to one vote on such matter. The General Partner shall not, without the affirmative vote or written consent of holders of a majority of the Class B Units then Outstanding, amend, alter, modify or change this </w:t>
      </w:r>
      <w:r>
        <w:rPr>
          <w:rFonts w:ascii="Times New Roman" w:hAnsi="Times New Roman"/>
          <w:sz w:val="20"/>
          <w:u w:val="single"/>
        </w:rPr>
        <w:t>Section 5.13</w:t>
      </w:r>
      <w:r>
        <w:rPr>
          <w:rFonts w:ascii="Times New Roman" w:hAnsi="Times New Roman"/>
          <w:sz w:val="20"/>
        </w:rPr>
        <w:t xml:space="preserve"> (or vote or consent or resolve to take such action).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Redemption and Conversion Rights</w:t>
      </w:r>
      <w:r>
        <w:rPr>
          <w:rFonts w:ascii="Times New Roman" w:hAnsi="Times New Roman"/>
          <w:sz w:val="20"/>
        </w:rPr>
        <w:t xml:space="preserve">. The Class B Units will be perpetual and shall not have any rights of redemption or conversion.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w:t>
      </w:r>
      <w:r>
        <w:rPr>
          <w:rFonts w:ascii="Times New Roman" w:hAnsi="Times New Roman"/>
          <w:i/>
          <w:sz w:val="20"/>
        </w:rPr>
        <w:t>Certificates; Book-Entry</w:t>
      </w:r>
      <w:r>
        <w:rPr>
          <w:rFonts w:ascii="Times New Roman" w:hAnsi="Times New Roman"/>
          <w:sz w:val="20"/>
        </w:rPr>
        <w:t xml:space="preserve">. Unless the General Partner shall determine otherwise, the Class B Units shall not be evidenced by Certificates. Any Certificates relating to the Class B Units that may be issued will be in such form as the General Partner may approve. The Class B Units, subject to the satisfaction of any applicable legal, regulatory and contractual requirements, may be assigned or transferred in a manner identical to the assignment and transfer of other Units.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i/>
          <w:sz w:val="20"/>
        </w:rPr>
        <w:t>Registrar and Transfer Agent</w:t>
      </w:r>
      <w:r>
        <w:rPr>
          <w:rFonts w:ascii="Times New Roman" w:hAnsi="Times New Roman"/>
          <w:sz w:val="20"/>
        </w:rPr>
        <w:t xml:space="preserve">. Unless and until the General Partner determines to assign the responsibility to another Person, the General Partner will act as the registrar and transfer agent for the Class B Units. </w:t>
      </w:r>
    </w:p>
    <w:p>
      <w:pPr>
        <w:pStyle w:val="TextBody"/>
        <w:bidi w:val="0"/>
        <w:spacing w:before="240" w:after="0"/>
        <w:jc w:val="left"/>
        <w:rPr>
          <w:rFonts w:ascii="Times New Roman" w:hAnsi="Times New Roman"/>
          <w:sz w:val="20"/>
        </w:rPr>
      </w:pPr>
      <w:r>
        <w:rPr>
          <w:rFonts w:ascii="Times New Roman" w:hAnsi="Times New Roman"/>
          <w:sz w:val="20"/>
        </w:rPr>
        <w:t xml:space="preserve">Section 5.14 </w:t>
      </w:r>
      <w:r>
        <w:rPr>
          <w:rFonts w:ascii="Times New Roman" w:hAnsi="Times New Roman"/>
          <w:sz w:val="20"/>
          <w:u w:val="single"/>
        </w:rPr>
        <w:t>Establishment of Series H Preferred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w:t>
      </w:r>
      <w:r>
        <w:rPr>
          <w:rFonts w:ascii="Times New Roman" w:hAnsi="Times New Roman"/>
          <w:sz w:val="20"/>
        </w:rPr>
        <w:t>. The Partnership hereby designates and creates a class of Partnership Securities to be designated as “6.500% Series H Fixed-Rate Reset Cumulative Redeemable Perpetual Preferred Units” (the “</w:t>
      </w:r>
      <w:r>
        <w:rPr>
          <w:rFonts w:ascii="Times New Roman" w:hAnsi="Times New Roman"/>
          <w:i/>
          <w:sz w:val="20"/>
        </w:rPr>
        <w:t>Series H Preferred Units</w:t>
      </w:r>
      <w:r>
        <w:rPr>
          <w:rFonts w:ascii="Times New Roman" w:hAnsi="Times New Roman"/>
          <w:sz w:val="20"/>
        </w:rPr>
        <w:t xml:space="preserve">”), having the preferences, rights, powers, and duties set forth herein, including this </w:t>
      </w:r>
      <w:r>
        <w:rPr>
          <w:rFonts w:ascii="Times New Roman" w:hAnsi="Times New Roman"/>
          <w:sz w:val="20"/>
          <w:u w:val="single"/>
        </w:rPr>
        <w:t>Section 5.14</w:t>
      </w:r>
      <w:r>
        <w:rPr>
          <w:rFonts w:ascii="Times New Roman" w:hAnsi="Times New Roman"/>
          <w:sz w:val="20"/>
        </w:rPr>
        <w:t xml:space="preserve">. Each Series H Preferred Unit shall be identical in all respects to every other Series H Preferred Unit, except as to the respective dates from which the Series H Liquidation Preference shall increase or from which Series H Distributions may begin accruing, to the extent such dates may differ. The Series H Preferred Units represent perpetual equity interests in the Partnership and shall not give rise to a claim by the Partnership or a Series H Holder for conversion or, except as set forth in </w:t>
      </w:r>
      <w:r>
        <w:rPr>
          <w:rFonts w:ascii="Times New Roman" w:hAnsi="Times New Roman"/>
          <w:sz w:val="20"/>
          <w:u w:val="single"/>
        </w:rPr>
        <w:t>Section 5.14(b)(iv)</w:t>
      </w:r>
      <w:r>
        <w:rPr>
          <w:rFonts w:ascii="Times New Roman" w:hAnsi="Times New Roman"/>
          <w:sz w:val="20"/>
        </w:rPr>
        <w:t xml:space="preserve">, redemption thereof at a particular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Rights of Series H Preferred Units</w:t>
      </w:r>
      <w:r>
        <w:rPr>
          <w:rFonts w:ascii="Times New Roman" w:hAnsi="Times New Roman"/>
          <w:sz w:val="20"/>
        </w:rPr>
        <w:t xml:space="preserve">. The Series H Preferred Units shall have the following rights, preferences and privileges and shall be subject to the following duties and obligations: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Series H Preferred 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authorized number of Series H Preferred Units shall be unlimited. Series H Preferred Units that are purchased or otherwise acquired by the Partnership shall be canceled. </w:t>
      </w:r>
    </w:p>
    <w:p>
      <w:pPr>
        <w:pStyle w:val="TextBody"/>
        <w:bidi w:val="0"/>
        <w:spacing w:before="120" w:after="0"/>
        <w:jc w:val="left"/>
        <w:rPr>
          <w:rFonts w:ascii="Times New Roman" w:hAnsi="Times New Roman"/>
          <w:sz w:val="20"/>
        </w:rPr>
      </w:pPr>
      <w:r>
        <w:rPr>
          <w:rFonts w:ascii="Times New Roman" w:hAnsi="Times New Roman"/>
          <w:sz w:val="20"/>
        </w:rPr>
        <w:t xml:space="preserve">(B) The Series H Preferred Units shall be represented by one or more global Certificates registered in the name of the Depositary or its nominee, and no Series H Holder shall be entitled to receive a definitive Certificate evidencing its Series H Preferred Units, unless (1) requested by a Series H Holder and consented to by the General Partner in its sole discretion, (2) otherwise required by law or (3) the Depositary gives notice of its intention to resign or is no longer eligible to act as such with respect to the Series H Preferred Units and the General Partner shall have not selected a substitute Depositary within 60 calendar days thereafter. So long as the Depositary shall have been appointed and is serving with respect to the Series H Preferred Units, payments and communications made by the Partnership to Series H Holders shall be made by making payments to, and communicating with,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Distributions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Distributions on each Outstanding Series H Preferred Unit shall be cumulative and shall accumulate at the applicable Series H Distribution Rate from and including the Series H Original Issue Date (or, for any subsequently issued and newly Outstanding Series H Preferred Units, from and including the Series H Distribution Payment Date immediately preceding the issue date of such Series H Preferred Units) until such time as the Partnership pays the Series H Distributions or redeems such Series H Preferred Unit in accordance with </w:t>
      </w:r>
      <w:r>
        <w:rPr>
          <w:rFonts w:ascii="Times New Roman" w:hAnsi="Times New Roman"/>
          <w:sz w:val="20"/>
          <w:u w:val="single"/>
        </w:rPr>
        <w:t>Section 5.14(b)(iv)</w:t>
      </w:r>
      <w:r>
        <w:rPr>
          <w:rFonts w:ascii="Times New Roman" w:hAnsi="Times New Roman"/>
          <w:sz w:val="20"/>
        </w:rPr>
        <w:t xml:space="preserve">, whether or not such Series H Distributions shall have been declared. Series H Holders shall be entitled to receive Series H Distributions from time to time out of any assets of the Partnership legally available for the payment of distributions at the Series H Distribution Rate per Series H Preferred Unit when, as, and, if declared by the General Partner. Series H Distributions, to the extent declared by the General Partner to be paid by the Partnership in accordance with this </w:t>
      </w:r>
      <w:r>
        <w:rPr>
          <w:rFonts w:ascii="Times New Roman" w:hAnsi="Times New Roman"/>
          <w:sz w:val="20"/>
          <w:u w:val="single"/>
        </w:rPr>
        <w:t>Section 5.14(b)(ii)</w:t>
      </w:r>
      <w:r>
        <w:rPr>
          <w:rFonts w:ascii="Times New Roman" w:hAnsi="Times New Roman"/>
          <w:sz w:val="20"/>
        </w:rPr>
        <w:t xml:space="preserve">, shall be paid, in Arrears, on each Series H Distribution Payment Date (other than the initial Series H Distribution, which shall be paid on November 15, 2021). Series H Distributions shall accumulate in each Series H Distribution Period from and including the preceding Series H Distribution Payment Date (other than the initial Series H Distribution Period, which shall commence on and include the Series H Original Issue Date), to, but excluding, the next Series H Distribution Payment Date for such Series H Distribution Period; </w:t>
      </w:r>
      <w:r>
        <w:rPr>
          <w:rFonts w:ascii="Times New Roman" w:hAnsi="Times New Roman"/>
          <w:sz w:val="20"/>
          <w:u w:val="single"/>
        </w:rPr>
        <w:t xml:space="preserve">provided </w:t>
      </w:r>
      <w:r>
        <w:rPr>
          <w:rFonts w:ascii="Times New Roman" w:hAnsi="Times New Roman"/>
          <w:sz w:val="20"/>
        </w:rPr>
        <w:t xml:space="preserve">that distributions shall accrue on accumulated but unpaid Series H Distributions at the Series H Distribution Rate. If any Series H Distribution Payment Date otherwise would occur on a date that is not a Business Day, declared Series H Distributions shall be paid on the immediately succeeding Business Day without the accumulation of additional distributions. All Series H Distributions that are (1) accumulated and unpaid or (2) payable by the Partnership pursuant to this </w:t>
      </w:r>
      <w:r>
        <w:rPr>
          <w:rFonts w:ascii="Times New Roman" w:hAnsi="Times New Roman"/>
          <w:sz w:val="20"/>
          <w:u w:val="single"/>
        </w:rPr>
        <w:t>Section 5.14(b)(ii)</w:t>
      </w:r>
      <w:r>
        <w:rPr>
          <w:rFonts w:ascii="Times New Roman" w:hAnsi="Times New Roman"/>
          <w:sz w:val="20"/>
        </w:rPr>
        <w:t xml:space="preserve"> shall be payable without regard to income of the Partnership and shall be treated for federal income tax purposes as guaranteed payments for the use of capital under Section 707(c) of the Code. The guaranteed payment with respect to any Series H Distribution Period shall be for the account of the holders of Series H Preferred Units as of the applicable Series H Distribution Record Date. </w:t>
      </w:r>
    </w:p>
    <w:p>
      <w:pPr>
        <w:pStyle w:val="TextBody"/>
        <w:bidi w:val="0"/>
        <w:spacing w:before="120" w:after="0"/>
        <w:jc w:val="left"/>
        <w:rPr>
          <w:rFonts w:ascii="Times New Roman" w:hAnsi="Times New Roman"/>
          <w:sz w:val="20"/>
        </w:rPr>
      </w:pPr>
      <w:r>
        <w:rPr>
          <w:rFonts w:ascii="Times New Roman" w:hAnsi="Times New Roman"/>
          <w:sz w:val="20"/>
        </w:rPr>
        <w:t>(B) Not later than 5:00 p.m., New York City time, on each Series H Distribution Payment Date, the Partnership shall pay those Series H Distributions, if any, that shall have been declared by the General Partner to Series H Holders on the Record Date for the applicable Series H Distribution. The Record Date (the “</w:t>
      </w:r>
      <w:r>
        <w:rPr>
          <w:rFonts w:ascii="Times New Roman" w:hAnsi="Times New Roman"/>
          <w:i/>
          <w:sz w:val="20"/>
        </w:rPr>
        <w:t>Series H Distribution Record Date</w:t>
      </w:r>
      <w:r>
        <w:rPr>
          <w:rFonts w:ascii="Times New Roman" w:hAnsi="Times New Roman"/>
          <w:sz w:val="20"/>
        </w:rPr>
        <w:t xml:space="preserve">”) for the payment of any Series H Distributions shall be as of the close of business on the first Business Day of the month of the applicable Series H Distribution Payment Date, except that in the case of payments of Series H Distributions in Arrears, the Series H Distribution Record Date with respect to a Series H Distribution Payment Date shall be such date as may be designated by the General Partner in accordance with this </w:t>
      </w:r>
      <w:r>
        <w:rPr>
          <w:rFonts w:ascii="Times New Roman" w:hAnsi="Times New Roman"/>
          <w:sz w:val="20"/>
          <w:u w:val="single"/>
        </w:rPr>
        <w:t>Section 5.14</w:t>
      </w:r>
      <w:r>
        <w:rPr>
          <w:rFonts w:ascii="Times New Roman" w:hAnsi="Times New Roman"/>
          <w:sz w:val="20"/>
        </w:rPr>
        <w:t xml:space="preserve">. So long as any Series H Preferred Units are Outstanding, no distribution shall be declared or paid or set aside for payment on any Series H Junior Securities (other than a distribution payable solely in Series H Junior Securities) unless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cumulative Series H Distributions have been or contemporaneously are being paid or set apart for payment on all Outstanding Series H Preferred Units (and distributions on any other Series H Parity Securities) through the most recent respective Series H Distribution Payment Date (and distribution payment date with respect to such Series H Parity Securities, if any);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notwithstanding anything to the contrary in this </w:t>
      </w:r>
      <w:r>
        <w:rPr>
          <w:rFonts w:ascii="Times New Roman" w:hAnsi="Times New Roman"/>
          <w:sz w:val="20"/>
          <w:u w:val="single"/>
        </w:rPr>
        <w:t>Section 5.14(b)(ii)(B)</w:t>
      </w:r>
      <w:r>
        <w:rPr>
          <w:rFonts w:ascii="Times New Roman" w:hAnsi="Times New Roman"/>
          <w:sz w:val="20"/>
        </w:rPr>
        <w:t xml:space="preserve">, if a distribution period with respect to a class of Series H Junior Securities or Series H Parity Securities is shorter than the Series H Distribution Period, the General Partner may declare and pay regular distributions with respect to such Series H Junior Securities or Series H Parity Securities, so long as, at the time of declaration of such distribution, (i) there are no Series H Distributions in Arrears, and (ii) the General Partner expects to have sufficient funds to pay the full distribution in respect of the Series H Preferred Units on the next successive Series H Distribution Payment Date. Accumulated Series H Distributions in Arrears for any past Series H Distribution Period may be declared by the General Partner and paid on any date fixed by the General Partner, whether or not a Series H Distribution Payment Date, to Series H Holders on the Record Date for such payment, which may not be less than 10 calendar days before such payment date. Subject to the next succeeding sentence, if all accumulated Series H Distributions in Arrears on all Outstanding Series H Preferred Units and all accumulated distributions in arrears on any Series H Parity Securities shall not have been declared and paid, or if sufficient funds for the payment thereof shall not have been set apart, payment of accumulated distributions in Arrears on the Series H Preferred Units and accumulated distributions in arrears on any such Series H Parity Securities shall be made in order of their respective distribution payment dates, commencing with the earliest distribution payment date. If less than all distributions payable with respect to all Series H Preferred Units and any other Series H Parity Securities are paid, any partial payment shall be made Pro Rata with respect to the Series H Preferred Units and any such other Series H Parity Securities entitled to a distribution payment at such time in proportion to the aggregate distribution amounts remaining due in respect of such Series H Preferred Units and such other Series H Parity Securities at such time. Subject to </w:t>
      </w:r>
      <w:r>
        <w:rPr>
          <w:rFonts w:ascii="Times New Roman" w:hAnsi="Times New Roman"/>
          <w:sz w:val="20"/>
          <w:u w:val="single"/>
        </w:rPr>
        <w:t>Section 12.4</w:t>
      </w:r>
      <w:r>
        <w:rPr>
          <w:rFonts w:ascii="Times New Roman" w:hAnsi="Times New Roman"/>
          <w:sz w:val="20"/>
        </w:rPr>
        <w:t xml:space="preserve"> and </w:t>
      </w:r>
      <w:r>
        <w:rPr>
          <w:rFonts w:ascii="Times New Roman" w:hAnsi="Times New Roman"/>
          <w:sz w:val="20"/>
          <w:u w:val="single"/>
        </w:rPr>
        <w:t>Section 5.14(b)(v)</w:t>
      </w:r>
      <w:r>
        <w:rPr>
          <w:rFonts w:ascii="Times New Roman" w:hAnsi="Times New Roman"/>
          <w:sz w:val="20"/>
        </w:rPr>
        <w:t xml:space="preserve">, Series H Holders shall not be entitled to any distribution, whether payable in cash, property or Partnership Securities, in excess of full cumulative Series H Distributions. Except insofar as distributions accrue on the amount of any accumulated and unpaid Series H Distributions as described in </w:t>
      </w:r>
      <w:r>
        <w:rPr>
          <w:rFonts w:ascii="Times New Roman" w:hAnsi="Times New Roman"/>
          <w:sz w:val="20"/>
          <w:u w:val="single"/>
        </w:rPr>
        <w:t>Section 5.14(b)(ii)(A)</w:t>
      </w:r>
      <w:r>
        <w:rPr>
          <w:rFonts w:ascii="Times New Roman" w:hAnsi="Times New Roman"/>
          <w:sz w:val="20"/>
        </w:rPr>
        <w:t xml:space="preserve">, no interest or sum of money in lieu of interest shall be payable in respect of any distribution payment which may be in Arrears on the Series H Preferred Units. So long as the Series H Preferred Units are held of record by the Depositary or its nominee, declared Series H Distributions shall be paid to the Depositary in same-day funds on each Series H Distribution Payment Date or other distribution payment date in the case of payments for Series H Distributions in Arrears. </w:t>
      </w:r>
    </w:p>
    <w:p>
      <w:pPr>
        <w:pStyle w:val="TextBody"/>
        <w:bidi w:val="0"/>
        <w:spacing w:before="120" w:after="0"/>
        <w:jc w:val="left"/>
        <w:rPr>
          <w:rFonts w:ascii="Times New Roman" w:hAnsi="Times New Roman"/>
          <w:sz w:val="20"/>
        </w:rPr>
      </w:pPr>
      <w:r>
        <w:rPr>
          <w:rFonts w:ascii="Times New Roman" w:hAnsi="Times New Roman"/>
          <w:sz w:val="20"/>
        </w:rPr>
        <w:t xml:space="preserve">(C) The Series H Distribution Rate for each Series H Reset Period will be determined by the Calculation Agent for the Series H Preferred Units using the Series H Five-year U.S. Treasury Rate, as of the applicable Series H Reset Distribution Determination Date for such Series H Reset Period. The Calculation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Agent for the Series H Preferred Units then will add the spread of 5.694% per annum to the Series H Five-year U.S. Treasury Rate as determined by the Calculation Agent as of the applicable Series H Reset Distribution Determination Date for such Series H Reset Period. Promptly following such determination by the Calculation Agent for the Series H Preferred Units, the Calculation Agent shall notify the Partnership of the Series H Distribution Rate for such Series H Reset Period. Such Calculation Agent’s determination of any Series H Distribution Rate for each Series H Reset Period and its calculation of the amount of Series H Distributions for any Series H Reset Period will be (i) available on file at the principal offices of the Partnership beginning on or after the Series H First Reset Date, (ii) made available to any Series H Holder upon request and (iii) final and binding on each Series H Holder in the absence of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(D) The Partnership will provide notice of the relevant Series H Five-year U.S. Treasury Rate as soon as practicable to the Transfer Agent and the Series H Holders.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the foregoing, unless otherwise determined by the General Partner, Series H Distributions shall be deemed to have been paid out of deductions from Available Cash with respect to the Quarter ended immediately preceding the Quarter in which the Series H Distribution is made.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Voting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anything to the contrary in this Agreement, the Series H Preferred Units shall not have any voting rights or rights to consent or approve any action or matter, except as set forth in </w:t>
      </w:r>
      <w:r>
        <w:rPr>
          <w:rFonts w:ascii="Times New Roman" w:hAnsi="Times New Roman"/>
          <w:sz w:val="20"/>
          <w:u w:val="single"/>
        </w:rPr>
        <w:t>Section 13.3(c)</w:t>
      </w:r>
      <w:r>
        <w:rPr>
          <w:rFonts w:ascii="Times New Roman" w:hAnsi="Times New Roman"/>
          <w:sz w:val="20"/>
        </w:rPr>
        <w:t xml:space="preserve">, this </w:t>
      </w:r>
      <w:r>
        <w:rPr>
          <w:rFonts w:ascii="Times New Roman" w:hAnsi="Times New Roman"/>
          <w:sz w:val="20"/>
          <w:u w:val="single"/>
        </w:rPr>
        <w:t>Section 5.14(b)(iii)</w:t>
      </w:r>
      <w:r>
        <w:rPr>
          <w:rFonts w:ascii="Times New Roman" w:hAnsi="Times New Roman"/>
          <w:sz w:val="20"/>
        </w:rPr>
        <w:t xml:space="preserve"> or as otherwise required by the Texas Limited Partnership Law.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to the contrary in this Agreement, without the affirmative vote or consent of the holders of at least 66 2/3% of the Outstanding Series H Preferred Units, voting as a separate class, the General Partner shall not adopt any amendment to this Agreement that the General Partner determines would have a material adverse effect on the powers, preferences, duties, or special rights of the Series H Preferred Units;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 subject to </w:t>
      </w:r>
      <w:r>
        <w:rPr>
          <w:rFonts w:ascii="Times New Roman" w:hAnsi="Times New Roman"/>
          <w:sz w:val="20"/>
          <w:u w:val="single"/>
        </w:rPr>
        <w:t>Section 5.14(b)(iii)(C)</w:t>
      </w:r>
      <w:r>
        <w:rPr>
          <w:rFonts w:ascii="Times New Roman" w:hAnsi="Times New Roman"/>
          <w:sz w:val="20"/>
        </w:rPr>
        <w:t xml:space="preserve">, the issuance of additional Partnership Securities (and any amendment to this Agreement in connection therewith) shall not be deemed to constitute such a material adverse effect for purposes of this </w:t>
      </w:r>
      <w:r>
        <w:rPr>
          <w:rFonts w:ascii="Times New Roman" w:hAnsi="Times New Roman"/>
          <w:sz w:val="20"/>
          <w:u w:val="single"/>
        </w:rPr>
        <w:t>Section 5.14(b)(iii)(B)</w:t>
      </w:r>
      <w:r>
        <w:rPr>
          <w:rFonts w:ascii="Times New Roman" w:hAnsi="Times New Roman"/>
          <w:sz w:val="20"/>
        </w:rPr>
        <w:t xml:space="preserve"> and (ii) for purposes of this </w:t>
      </w:r>
      <w:r>
        <w:rPr>
          <w:rFonts w:ascii="Times New Roman" w:hAnsi="Times New Roman"/>
          <w:sz w:val="20"/>
          <w:u w:val="single"/>
        </w:rPr>
        <w:t>Section 5.14(b)(iii)(B)</w:t>
      </w:r>
      <w:r>
        <w:rPr>
          <w:rFonts w:ascii="Times New Roman" w:hAnsi="Times New Roman"/>
          <w:sz w:val="20"/>
        </w:rPr>
        <w:t xml:space="preserve">, no amendment of this Agreement in connection with a merger or other transaction in which the Series H Preferred Units remain Outstanding with the terms thereof materially unchanged in any respect adverse to the Series H Holders (as determined by the General Partner) shall be deemed to materially and adversely affect the powers, preferences, duties, or special rights of the Series H Preferred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anything to the contrary in this Agreement, without the affirmative vote or consent of the holders of at least 66 2/3% of the Outstanding Series H Preferred Units, voting as a class together with holders of any other Series H Parity Securities upon which like voting rights have been conferred and are exercisable, the Partnership shall not (x) create or issue any Series H Parity Securities (including any additional Series H Preferred Units) if the cumulative distributions payable on Outstanding Series H Preferred Units (or any Series H Parity Securities, if the holders of such Series H Parity Securities vote as a class together with the Series H Holders pursuant to this </w:t>
      </w:r>
      <w:r>
        <w:rPr>
          <w:rFonts w:ascii="Times New Roman" w:hAnsi="Times New Roman"/>
          <w:sz w:val="20"/>
          <w:u w:val="single"/>
        </w:rPr>
        <w:t>Section 5.14(b)(iii)(C)</w:t>
      </w:r>
      <w:r>
        <w:rPr>
          <w:rFonts w:ascii="Times New Roman" w:hAnsi="Times New Roman"/>
          <w:sz w:val="20"/>
        </w:rPr>
        <w:t xml:space="preserve">) are in Arrears or (y) create or issue any Series H Senior Securities. </w:t>
      </w:r>
    </w:p>
    <w:p>
      <w:pPr>
        <w:pStyle w:val="TextBody"/>
        <w:bidi w:val="0"/>
        <w:spacing w:before="120" w:after="0"/>
        <w:jc w:val="left"/>
        <w:rPr>
          <w:rFonts w:ascii="Times New Roman" w:hAnsi="Times New Roman"/>
          <w:sz w:val="20"/>
        </w:rPr>
      </w:pPr>
      <w:r>
        <w:rPr>
          <w:rFonts w:ascii="Times New Roman" w:hAnsi="Times New Roman"/>
          <w:sz w:val="20"/>
        </w:rPr>
        <w:t xml:space="preserve">(D) For any matter described in this </w:t>
      </w:r>
      <w:r>
        <w:rPr>
          <w:rFonts w:ascii="Times New Roman" w:hAnsi="Times New Roman"/>
          <w:sz w:val="20"/>
          <w:u w:val="single"/>
        </w:rPr>
        <w:t>Section 5.14(b)(iii)</w:t>
      </w:r>
      <w:r>
        <w:rPr>
          <w:rFonts w:ascii="Times New Roman" w:hAnsi="Times New Roman"/>
          <w:sz w:val="20"/>
        </w:rPr>
        <w:t xml:space="preserve"> in which the Series H Holders are entitled to vote as a class (whether separately or together with the holders of any Series H Parity Securities), such Series H Holders shall be entitled to one vote per Series H Preferred Unit. Any Series H Preferred Units held by the Partnership or any of its Subsidiaries or their controlled Affiliates shall not be entitled to vote.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w:t>
      </w:r>
      <w:r>
        <w:rPr>
          <w:rFonts w:ascii="Times New Roman" w:hAnsi="Times New Roman"/>
          <w:sz w:val="20"/>
          <w:u w:val="single"/>
        </w:rPr>
        <w:t>Section 5.14(b)(iii)(B)</w:t>
      </w:r>
      <w:r>
        <w:rPr>
          <w:rFonts w:ascii="Times New Roman" w:hAnsi="Times New Roman"/>
          <w:sz w:val="20"/>
        </w:rPr>
        <w:t xml:space="preserve"> and </w:t>
      </w:r>
      <w:r>
        <w:rPr>
          <w:rFonts w:ascii="Times New Roman" w:hAnsi="Times New Roman"/>
          <w:sz w:val="20"/>
          <w:u w:val="single"/>
        </w:rPr>
        <w:t>Section 5.14(b)(iii)(C)</w:t>
      </w:r>
      <w:r>
        <w:rPr>
          <w:rFonts w:ascii="Times New Roman" w:hAnsi="Times New Roman"/>
          <w:sz w:val="20"/>
        </w:rPr>
        <w:t xml:space="preserve">, no vote of the Series H Holders shall be required if, at or prior to the time when such action is to take effect, provision is made for the redemption of all Series H Preferred Units at the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Optional Redemption; Series H Rating Event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Partnership shall have the right (i) during any Series H Redemption Period or (ii) at any time within 120 calendar days after the conclusion of any review or appeal process instituted by the Partnership following the occurrence of a Series H Rating Event, in each case, to redeem the Series H Preferred Units, which redemption may be in whole or in part, on one or more occasions (except with respect to a redemption pursuant to clause (ii) of this </w:t>
      </w:r>
      <w:r>
        <w:rPr>
          <w:rFonts w:ascii="Times New Roman" w:hAnsi="Times New Roman"/>
          <w:sz w:val="20"/>
          <w:u w:val="single"/>
        </w:rPr>
        <w:t>Section 5.14(b)(iv)(A)</w:t>
      </w:r>
      <w:r>
        <w:rPr>
          <w:rFonts w:ascii="Times New Roman" w:hAnsi="Times New Roman"/>
          <w:sz w:val="20"/>
        </w:rPr>
        <w:t xml:space="preserve"> which shall be in whole but not in part), using any source of funds legally available for such purpose. Any such redemption shall occur on a date set by the General Partner (the “</w:t>
      </w:r>
      <w:r>
        <w:rPr>
          <w:rFonts w:ascii="Times New Roman" w:hAnsi="Times New Roman"/>
          <w:i/>
          <w:sz w:val="20"/>
        </w:rPr>
        <w:t>Series H Redemption Date</w:t>
      </w:r>
      <w:r>
        <w:rPr>
          <w:rFonts w:ascii="Times New Roman" w:hAnsi="Times New Roman"/>
          <w:sz w:val="20"/>
        </w:rPr>
        <w:t xml:space="preserve">”). The Partnership shall effect any such redemption by paying cash for each Series H Preferred Unit to be redeemed equal to 100% (in the case of a redemption described in clause (i) of this </w:t>
      </w:r>
      <w:r>
        <w:rPr>
          <w:rFonts w:ascii="Times New Roman" w:hAnsi="Times New Roman"/>
          <w:sz w:val="20"/>
          <w:u w:val="single"/>
        </w:rPr>
        <w:t>Section 5.14(b)(iv)(A)</w:t>
      </w:r>
      <w:r>
        <w:rPr>
          <w:rFonts w:ascii="Times New Roman" w:hAnsi="Times New Roman"/>
          <w:sz w:val="20"/>
        </w:rPr>
        <w:t xml:space="preserve">), or 102% (in the case of a redemption described in clause (ii) of this </w:t>
      </w:r>
      <w:r>
        <w:rPr>
          <w:rFonts w:ascii="Times New Roman" w:hAnsi="Times New Roman"/>
          <w:sz w:val="20"/>
          <w:u w:val="single"/>
        </w:rPr>
        <w:t>Section 5.14(b)(iv)(A)</w:t>
      </w:r>
      <w:r>
        <w:rPr>
          <w:rFonts w:ascii="Times New Roman" w:hAnsi="Times New Roman"/>
          <w:sz w:val="20"/>
        </w:rPr>
        <w:t>), of the Series H Liquidation Preference for such Series H Preferred Unit on such Series H Redemption Date plus an amount equal to all unpaid Series H Distributions thereon from the Series H Original Issue Date to, but excluding, the Series H Redemption Date (whether or not such distributions shall have been declared) (the “</w:t>
      </w:r>
      <w:r>
        <w:rPr>
          <w:rFonts w:ascii="Times New Roman" w:hAnsi="Times New Roman"/>
          <w:i/>
          <w:sz w:val="20"/>
        </w:rPr>
        <w:t>Series H Redemption Price</w:t>
      </w:r>
      <w:r>
        <w:rPr>
          <w:rFonts w:ascii="Times New Roman" w:hAnsi="Times New Roman"/>
          <w:sz w:val="20"/>
        </w:rPr>
        <w:t xml:space="preserve">”). So long as the Series H Preferred Units to be redeemed are held of record by the Depositary or the nominee of the Depositary, the Series H Redemption Price shall be paid by the Paying Agent to the Depositary on the Series H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The Partnership shall give notice of any redemption by mail, postage prepaid, not less than 30 calendar days and not more than 60 calendar days before the scheduled Series H Redemption Date to the Series H Holders (as of 5:00 p.m. New York City time on the Business Day next preceding the day on which notice is given) of any Series H Preferred Units to be redeemed as such Series H Holders’ names appear on the books of the Transfer Agent and at the address of such Series H Holders shown therein. Such notice (the “</w:t>
      </w:r>
      <w:r>
        <w:rPr>
          <w:rFonts w:ascii="Times New Roman" w:hAnsi="Times New Roman"/>
          <w:i/>
          <w:sz w:val="20"/>
        </w:rPr>
        <w:t>Series H Redemption Notice</w:t>
      </w:r>
      <w:r>
        <w:rPr>
          <w:rFonts w:ascii="Times New Roman" w:hAnsi="Times New Roman"/>
          <w:sz w:val="20"/>
        </w:rPr>
        <w:t xml:space="preserve">”) shall state, as applicable: (1) the Series H Redemption Date, (2) the number of Series H Preferred Units to be redeemed and, if less than all Outstanding Series H Preferred Units are to be redeemed, the number (and in the case of Series H Preferred Units in certificated form, the identification) of Series H Preferred Units to be redeemed from such Series H Holder, (3) the Series H Redemption Price, (4) the place where any Series H Preferred Units in certificated form are to be redeemed and shall be presented and surrendered for payment of the Series H Redemption Price therefor (which shall occur automatically if the Certificate representing such Series H Preferred Units is issued in the name of the Depositary or its nominee), and (5) that distributions on the Series H Preferred Units to be redeemed shall cease to accumulate from and after such Series H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(C) If the Partnership elects to redeem less than all of the Outstanding Series H Preferred Units, the number of Series H Preferred Units to be redeemed shall be determined by the General Partner, and such Series H Preferred Units shall be redeemed by such method of selection as the Depositary shall determine, either Pro Rata or by lot, with adjustments to avoid redemption of fractional Series H Preferred Units. The aggregate Series H Redemption Price for any such partial redemption of the Outstanding Series H Preferred Units shall be allocated correspondingly among the redeemed Series H Preferred Units. The Series H Preferred Units not redeemed shall remain Outstanding and entitled to all the rights, preferences and duties provided in this </w:t>
      </w:r>
      <w:r>
        <w:rPr>
          <w:rFonts w:ascii="Times New Roman" w:hAnsi="Times New Roman"/>
          <w:sz w:val="20"/>
          <w:u w:val="single"/>
        </w:rPr>
        <w:t>Section 5.14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If the Partnership gives or causes to be given a Series H Redemption Notice, the Partnership shall deposit with the Paying Agent funds sufficient to redeem the Series H Preferred Units as to which such Series H Redemption Notice shall have been given, no later than 10:00 a.m. New York City time on the Series H Redemption Date, and shall give the Paying Agent irrevocable instructions and authority to pay the Series H Redemption Price to each Series H Holder whose Series H Preferred Units are to be redeemed upon surrender or deemed surrender (which shall occur automatically if the Certificate representing such Series H Preferred Units is issued in the name of the Depositary or its nominee) of the Certificates therefor as set forth in the Series H Redemption Notice. If a Series H Redemption Notice shall have been given, from and after the Series H Redemption Date, unless the Partnership defaults in providing funds sufficient for such redemption at the time and place specified for payment pursuant to the Series H Redemption Notice, all Series H Distributions on such Series H Preferred Units to be redeemed shall cease to accumulate and all rights of holders of such Series H Preferred Units as Limited Partners with respect to such Series H Preferred Units to be redeemed shall cease, except the right to receive the Series H Redemption Price, and such Series H Preferred Units shall not thereafter be transferred on the books of the Transfer Agent or be deemed to be Outstanding for any purpose whatsoever. The Series H Holders shall have no claim to the interest income,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earned on funds deposited with the Paying Agent. Any funds deposited with the Paying Agent hereunder by the Partnership for any reason, including redemption of Series H Preferred Units, that remain unclaimed or unpaid after one year after the applicable Series H Redemption Date or other payment date, as applicable, shall be, to the extent permitted by law, repaid to the Partnership upon its written request, after which repayment the Series H Holders entitled to such redemption or other payment shall have recourse only to the Partnership. Notwithstanding any Series H Redemption Notice, there shall be no redemption of any Series H Preferred Units called for redemption until funds sufficient to pay the full Series H Redemption Price of such Series H Preferred Units shall have been deposited by the Partnership with the Paying Agent. </w:t>
      </w:r>
    </w:p>
    <w:p>
      <w:pPr>
        <w:pStyle w:val="TextBody"/>
        <w:bidi w:val="0"/>
        <w:spacing w:before="120" w:after="0"/>
        <w:jc w:val="left"/>
        <w:rPr>
          <w:rFonts w:ascii="Times New Roman" w:hAnsi="Times New Roman"/>
          <w:sz w:val="20"/>
        </w:rPr>
      </w:pPr>
      <w:r>
        <w:rPr>
          <w:rFonts w:ascii="Times New Roman" w:hAnsi="Times New Roman"/>
          <w:sz w:val="20"/>
        </w:rPr>
        <w:t xml:space="preserve">(E) Any Series H Preferred Units that are redeemed or otherwise acquired by the Partnership shall be canceled. If only a portion of the Series H Preferred Units represented by a Certificate shall have been called for redemption, upon surrender of the Certificate to the Paying Agent (which shall occur automatically if the Certificate representing such Series H Preferred Units is registered in the name of the Depositary or its nominee), the Partnership shall issue and the Paying Agent shall deliver to the Series H Holders a new Certificate (or adjust the applicable book-entry account) representing the number of Series H Preferred Units represented by the surrendered Certificate that have not been called for redemption. </w:t>
      </w:r>
    </w:p>
    <w:p>
      <w:pPr>
        <w:pStyle w:val="TextBody"/>
        <w:bidi w:val="0"/>
        <w:spacing w:before="120" w:after="0"/>
        <w:jc w:val="left"/>
        <w:rPr>
          <w:rFonts w:ascii="Times New Roman" w:hAnsi="Times New Roman"/>
          <w:sz w:val="20"/>
        </w:rPr>
      </w:pPr>
      <w:r>
        <w:rPr>
          <w:rFonts w:ascii="Times New Roman" w:hAnsi="Times New Roman"/>
          <w:sz w:val="20"/>
        </w:rPr>
        <w:t xml:space="preserve">(F) Notwithstanding anything to the contrary in this </w:t>
      </w:r>
      <w:r>
        <w:rPr>
          <w:rFonts w:ascii="Times New Roman" w:hAnsi="Times New Roman"/>
          <w:sz w:val="20"/>
          <w:u w:val="single"/>
        </w:rPr>
        <w:t>Section 5.14</w:t>
      </w:r>
      <w:r>
        <w:rPr>
          <w:rFonts w:ascii="Times New Roman" w:hAnsi="Times New Roman"/>
          <w:sz w:val="20"/>
        </w:rPr>
        <w:t xml:space="preserve">, in the event that full cumulative distributions on the Series H Preferred Units and any Series H Parity Securities shall not have been paid or declared and set aside for payment, the Partnership shall not be permitted to repurchase, redeem or otherwise acquire, in whole or in part, any Series H Preferred Units or Series H Parity Securities except pursuant to a purchase or exchange offer made on the same relative terms to all Series H Holders and holders of any Series H Parity Securities. Subject to </w:t>
      </w:r>
      <w:r>
        <w:rPr>
          <w:rFonts w:ascii="Times New Roman" w:hAnsi="Times New Roman"/>
          <w:sz w:val="20"/>
          <w:u w:val="single"/>
        </w:rPr>
        <w:t>Section 4.9</w:t>
      </w:r>
      <w:r>
        <w:rPr>
          <w:rFonts w:ascii="Times New Roman" w:hAnsi="Times New Roman"/>
          <w:sz w:val="20"/>
        </w:rPr>
        <w:t xml:space="preserve">, so long as any Series H Preferred Units are Outstanding, the Partnership shall not be permitted to redeem, repurchase or otherwise acquire any Common Units or any other Series H Junior Securities unless full cumulative distributions on the Series H Preferred Units and any Series H Parity Securities for all prior and the then-ending Series H Distribution Periods, with respect to the Series H Preferred Units, and all prior and then ending distribution periods, with respect to any such Series H Parity Securities, shall have been paid or declared and set aside for payment.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Liquidation Rights</w:t>
      </w:r>
      <w:r>
        <w:rPr>
          <w:rFonts w:ascii="Times New Roman" w:hAnsi="Times New Roman"/>
          <w:sz w:val="20"/>
        </w:rPr>
        <w:t xml:space="preserve">. In the event of the dissolution and winding up of the Partnership under </w:t>
      </w:r>
      <w:r>
        <w:rPr>
          <w:rFonts w:ascii="Times New Roman" w:hAnsi="Times New Roman"/>
          <w:sz w:val="20"/>
          <w:u w:val="single"/>
        </w:rPr>
        <w:t>Section 12.4</w:t>
      </w:r>
      <w:r>
        <w:rPr>
          <w:rFonts w:ascii="Times New Roman" w:hAnsi="Times New Roman"/>
          <w:sz w:val="20"/>
        </w:rPr>
        <w:t xml:space="preserve"> or a sale, exchange, or other disposition of all or substantially all of the assets of the Partnership, either voluntary or involuntary, the Record Holders of the Series H Preferred Units shall be entitled to receive, out of the assets of the Partnership available for distribution to the Partners or any Assignees, prior and in preference to any distribution of any assets of the Partnership to the Record Holders of any other class or series of Partnership Interests (other than Series H Senior Securities or Series H Parity Securities), (i) first, any accumulated and unpaid distributions on the Series 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Preferred Units (regardless of whether previously declared) and (ii) then, any positive value in each such holder’s Capital Account in respect of such Series H Preferred Units. If in the year of such dissolution and winding up, or sale, exchange, or other disposition of all or substantially all of the assets of the Partnership, any such Record Holder’s Capital Account in respect of such Series H Preferred Units is less than the aggregate Series H Base Liquidation Preference of such Series H Preferred Units, then, notwithstanding anything to the contrary contained in this Agreement, and prior to any other allocation pursuant to this Agreement for such year and any distribution pursuant to the preceding sentence (other than any allocations or distributions made with respect to any other Series H Parity Securities upon which like allocation and distribution rights have been conferred), items of gross income and gain shall be allocated to all Unitholders then holding Series H Preferred Units, Pro Rata, until the Capital Account in respect of each Outstanding Series H Preferred Unit is equal to the Series H Base Liquidation Preference (and no other allocation pursuant to this Agreement shall reverse the effect of such allocation);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in the event that like allocation rights have been conferred upon other Series H Parity Securities (including pursuant to </w:t>
      </w:r>
      <w:r>
        <w:rPr>
          <w:rFonts w:ascii="Times New Roman" w:hAnsi="Times New Roman"/>
          <w:sz w:val="20"/>
          <w:u w:val="single"/>
        </w:rPr>
        <w:t>Sections 5.11(b)(v)</w:t>
      </w:r>
      <w:r>
        <w:rPr>
          <w:rFonts w:ascii="Times New Roman" w:hAnsi="Times New Roman"/>
          <w:sz w:val="20"/>
        </w:rPr>
        <w:t xml:space="preserve"> and </w:t>
      </w:r>
      <w:r>
        <w:rPr>
          <w:rFonts w:ascii="Times New Roman" w:hAnsi="Times New Roman"/>
          <w:sz w:val="20"/>
          <w:u w:val="single"/>
        </w:rPr>
        <w:t>5.12(b)(v)</w:t>
      </w:r>
      <w:r>
        <w:rPr>
          <w:rFonts w:ascii="Times New Roman" w:hAnsi="Times New Roman"/>
          <w:sz w:val="20"/>
        </w:rPr>
        <w:t xml:space="preserve">), then items of gross income and gain shall be allocated to all Unitholders then holding Series H Preferred Units and such Series H Parity Securities, Pro Rata, until the Capital Account in respect of each Outstanding Series H Preferred Unit and such Series H Parity Security is equal to the applicable liquidation preference (and no other allocation pursuant to this Agreement shall reverse the effect of such allocation). If in the year of such dissolution and winding up any such Record Holder’s Capital Account in respect of such Series H Preferred Units is less than the aggregate Series H Base Liquidation Preference of such Series H Preferred Units after the application of the preceding sentence, then to the extent permitted by applicable law, but otherwise notwithstanding anything to the contrary contained in this Agreement, items of gross income and gain for any preceding taxable year(s) with respect to which IRS Form 1065 Schedules K-1 have not been filed by the Partnership shall be reallocated to all Unitholders then holding Series H Preferred Units, Pro Rata, until the Capital Account in respect of each such Outstanding Series H Preferred Unit after making allocations pursuant to this and the immediately preceding sentence is equal to the Series H Base Liquidation Preference (and no other allocation pursuant to this Agreement shall reverse the effect of such allocation);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in the event like allocation rights have been conferred upon other Series H Parity Securities (including pursuant to </w:t>
      </w:r>
      <w:r>
        <w:rPr>
          <w:rFonts w:ascii="Times New Roman" w:hAnsi="Times New Roman"/>
          <w:sz w:val="20"/>
          <w:u w:val="single"/>
        </w:rPr>
        <w:t xml:space="preserve">Sections 5.11(b)(v) </w:t>
      </w:r>
      <w:r>
        <w:rPr>
          <w:rFonts w:ascii="Times New Roman" w:hAnsi="Times New Roman"/>
          <w:sz w:val="20"/>
        </w:rPr>
        <w:t xml:space="preserve">and </w:t>
      </w:r>
      <w:r>
        <w:rPr>
          <w:rFonts w:ascii="Times New Roman" w:hAnsi="Times New Roman"/>
          <w:sz w:val="20"/>
          <w:u w:val="single"/>
        </w:rPr>
        <w:t>5.12(b)(v)</w:t>
      </w:r>
      <w:r>
        <w:rPr>
          <w:rFonts w:ascii="Times New Roman" w:hAnsi="Times New Roman"/>
          <w:sz w:val="20"/>
        </w:rPr>
        <w:t xml:space="preserve">), then any such items of gross income and gain shall be reallocated to all Unitholders then holding Series H Preferred Units and such Series H Parity Securities, Pro Rata, until the Capital Account in respect of each Outstanding Series H Preferred Unit and such Series H Parity Security after making allocations pursuant to this and the immediately preceding sentence is equal to the applicable liquidation preference (and no other allocation pursuant to this Agreement shall reverse the effect of such allocation). After such allocations have been made to the Outstanding Series H Preferred Units and any Series H Parity Securities, as applicable, any remaining Net Termination Gain or Net Termination Loss shall be allocated to the Partners pursuant to </w:t>
      </w:r>
      <w:r>
        <w:rPr>
          <w:rFonts w:ascii="Times New Roman" w:hAnsi="Times New Roman"/>
          <w:sz w:val="20"/>
          <w:u w:val="single"/>
        </w:rPr>
        <w:t>Section 6.1(c)</w:t>
      </w:r>
      <w:r>
        <w:rPr>
          <w:rFonts w:ascii="Times New Roman" w:hAnsi="Times New Roman"/>
          <w:sz w:val="20"/>
        </w:rPr>
        <w:t xml:space="preserve"> or </w:t>
      </w:r>
      <w:r>
        <w:rPr>
          <w:rFonts w:ascii="Times New Roman" w:hAnsi="Times New Roman"/>
          <w:sz w:val="20"/>
          <w:u w:val="single"/>
        </w:rPr>
        <w:t>Section 6.1(d)</w:t>
      </w:r>
      <w:r>
        <w:rPr>
          <w:rFonts w:ascii="Times New Roman" w:hAnsi="Times New Roman"/>
          <w:sz w:val="20"/>
        </w:rPr>
        <w:t xml:space="preserve">, as the case may be. At the time of the dissolution of the Partnership, subject to Sections 11.053 and 153.210 of the Texas Limited Partnership Law, the Record Holders of the Series H Preferred Units shall become entitled to receive any distributions in respect of the Series H Preferred Units that are accrued and unpaid as of the date of such distribution, and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have the status of, and shall be entitled to all remedies available to, a creditor of the Partnership, and such entitlement of the Record Holders of the Series H Preferred Units to such accrued and unpaid distributions shall have priority over any entitlement of any other Partners or Assignees (other than holders of any Series H Senior Securities or Series H Parity Securities) with respect to any distributions by the Partnership to such other Partners or Assignees;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General Partner, as such, will have no liability for any obligations with respect to such distributions to any Record Holder(s) of Series H Preferred Units.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i/>
          <w:sz w:val="20"/>
        </w:rPr>
        <w:t>Rank</w:t>
      </w:r>
      <w:r>
        <w:rPr>
          <w:rFonts w:ascii="Times New Roman" w:hAnsi="Times New Roman"/>
          <w:sz w:val="20"/>
        </w:rPr>
        <w:t xml:space="preserve">. The Series H Preferred Units shall each be deemed to rank as to distributions on such Partnership Securities and distributions upon liquidation of the Partnership: </w:t>
      </w:r>
    </w:p>
    <w:p>
      <w:pPr>
        <w:pStyle w:val="TextBody"/>
        <w:bidi w:val="0"/>
        <w:spacing w:before="120" w:after="0"/>
        <w:jc w:val="left"/>
        <w:rPr>
          <w:rFonts w:ascii="Times New Roman" w:hAnsi="Times New Roman"/>
          <w:sz w:val="20"/>
        </w:rPr>
      </w:pPr>
      <w:r>
        <w:rPr>
          <w:rFonts w:ascii="Times New Roman" w:hAnsi="Times New Roman"/>
          <w:sz w:val="20"/>
        </w:rPr>
        <w:t xml:space="preserve">(A) senior to any Series H Junior Securities; </w:t>
      </w:r>
    </w:p>
    <w:p>
      <w:pPr>
        <w:pStyle w:val="TextBody"/>
        <w:bidi w:val="0"/>
        <w:spacing w:before="120" w:after="0"/>
        <w:jc w:val="left"/>
        <w:rPr>
          <w:rFonts w:ascii="Times New Roman" w:hAnsi="Times New Roman"/>
          <w:sz w:val="20"/>
        </w:rPr>
      </w:pPr>
      <w:r>
        <w:rPr>
          <w:rFonts w:ascii="Times New Roman" w:hAnsi="Times New Roman"/>
          <w:sz w:val="20"/>
        </w:rPr>
        <w:t xml:space="preserve">(B) on a parity with any Series H Parity Securities; </w:t>
      </w:r>
    </w:p>
    <w:p>
      <w:pPr>
        <w:pStyle w:val="TextBody"/>
        <w:bidi w:val="0"/>
        <w:spacing w:before="120" w:after="0"/>
        <w:jc w:val="left"/>
        <w:rPr>
          <w:rFonts w:ascii="Times New Roman" w:hAnsi="Times New Roman"/>
          <w:sz w:val="20"/>
        </w:rPr>
      </w:pPr>
      <w:r>
        <w:rPr>
          <w:rFonts w:ascii="Times New Roman" w:hAnsi="Times New Roman"/>
          <w:sz w:val="20"/>
        </w:rPr>
        <w:t xml:space="preserve">(C) junior to any Series H Senior Securities; and </w:t>
      </w:r>
    </w:p>
    <w:p>
      <w:pPr>
        <w:pStyle w:val="TextBody"/>
        <w:bidi w:val="0"/>
        <w:spacing w:before="120" w:after="0"/>
        <w:jc w:val="left"/>
        <w:rPr>
          <w:rFonts w:ascii="Times New Roman" w:hAnsi="Times New Roman"/>
          <w:sz w:val="20"/>
        </w:rPr>
      </w:pPr>
      <w:r>
        <w:rPr>
          <w:rFonts w:ascii="Times New Roman" w:hAnsi="Times New Roman"/>
          <w:sz w:val="20"/>
        </w:rPr>
        <w:t xml:space="preserve">(D) junior to all existing and future indebtedness of the Partnership and other liabilities with respect to assets available to satisfy claims against the Partnership.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i/>
          <w:sz w:val="20"/>
        </w:rPr>
        <w:t>No Sinking Fund</w:t>
      </w:r>
      <w:r>
        <w:rPr>
          <w:rFonts w:ascii="Times New Roman" w:hAnsi="Times New Roman"/>
          <w:sz w:val="20"/>
        </w:rPr>
        <w:t xml:space="preserve">. The Series H Preferred Units shall not have the benefit of any sinking fund.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i/>
          <w:sz w:val="20"/>
        </w:rPr>
        <w:t>Record Holders</w:t>
      </w:r>
      <w:r>
        <w:rPr>
          <w:rFonts w:ascii="Times New Roman" w:hAnsi="Times New Roman"/>
          <w:sz w:val="20"/>
        </w:rPr>
        <w:t xml:space="preserve">. To the fullest extent permitted by applicable law, the General Partner, the Partnership, the Transfer Agent, and the Paying Agent may deem and treat any Series H Holder as the true, lawful, and absolute owner of the applicable Series H Preferred Units for all purposes, and none of the General Partner, the Partnership, the Transfer Agent or the Paying Agent shall be affected by any notice to the contrary, except as otherwise provided by law or any applicable rule, regulation, guideline or requirement of any National Securities Exchange on which the Series H Preferred Units may be listed or admitted to trading, if any. </w:t>
      </w:r>
    </w:p>
    <w:p>
      <w:pPr>
        <w:pStyle w:val="TextBody"/>
        <w:bidi w:val="0"/>
        <w:spacing w:before="120" w:after="0"/>
        <w:jc w:val="left"/>
        <w:rPr>
          <w:rFonts w:ascii="Times New Roman" w:hAnsi="Times New Roman"/>
          <w:sz w:val="20"/>
        </w:rPr>
      </w:pPr>
      <w:r>
        <w:rPr>
          <w:rFonts w:ascii="Times New Roman" w:hAnsi="Times New Roman"/>
          <w:sz w:val="20"/>
        </w:rPr>
        <w:t xml:space="preserve">(ix) </w:t>
      </w:r>
      <w:r>
        <w:rPr>
          <w:rFonts w:ascii="Times New Roman" w:hAnsi="Times New Roman"/>
          <w:i/>
          <w:sz w:val="20"/>
        </w:rPr>
        <w:t>Notices</w:t>
      </w:r>
      <w:r>
        <w:rPr>
          <w:rFonts w:ascii="Times New Roman" w:hAnsi="Times New Roman"/>
          <w:sz w:val="20"/>
        </w:rPr>
        <w:t xml:space="preserve">. All notices or other communications in respect of Series H Holders shall be sufficiently given (i) if given in writing and either delivered in person or by first class mail, postage prepaid, or (ii) if given in such other manner as may be permitted in this </w:t>
      </w:r>
      <w:r>
        <w:rPr>
          <w:rFonts w:ascii="Times New Roman" w:hAnsi="Times New Roman"/>
          <w:sz w:val="20"/>
          <w:u w:val="single"/>
        </w:rPr>
        <w:t>Section 5.14</w:t>
      </w:r>
      <w:r>
        <w:rPr>
          <w:rFonts w:ascii="Times New Roman" w:hAnsi="Times New Roman"/>
          <w:sz w:val="20"/>
        </w:rPr>
        <w:t xml:space="preserve">, this Agreement or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Other Rights; Fiduciary Duties</w:t>
      </w:r>
      <w:r>
        <w:rPr>
          <w:rFonts w:ascii="Times New Roman" w:hAnsi="Times New Roman"/>
          <w:sz w:val="20"/>
        </w:rPr>
        <w:t xml:space="preserve">. The Series H Preferred Units and the Series H Holders shall not have any designations, preferences, rights, powers or duties, other than as set forth in this Agreement or as provided by applicable law. Notwithstanding anything to the contrary in this Agreement or any duty existing at law, in equity or otherwise, to the fullest extent permitted by applicable law, neither the General Partner nor any other Indemnitee shall owe any duties, including fiduciary duties, or have any liabilities to Series H Holders, other than the implied contractual covenant of good faith and fair dealing. The General Partner and other Indemnitees shall have no duties or obligations to the Series H Holders under Sections 152.205, 152.206 or 152.204(b) of the Texas Limited Partnership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5.15 </w:t>
      </w:r>
      <w:r>
        <w:rPr>
          <w:rFonts w:ascii="Times New Roman" w:hAnsi="Times New Roman"/>
          <w:sz w:val="20"/>
          <w:u w:val="single"/>
        </w:rPr>
        <w:t>Establishment of Series I Preferred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w:t>
      </w:r>
      <w:r>
        <w:rPr>
          <w:rFonts w:ascii="Times New Roman" w:hAnsi="Times New Roman"/>
          <w:sz w:val="20"/>
        </w:rPr>
        <w:t>. The Partnership hereby designates and creates a class of Partnership Securities to be designated as “</w:t>
      </w:r>
      <w:r>
        <w:rPr>
          <w:rFonts w:ascii="Times New Roman" w:hAnsi="Times New Roman"/>
          <w:i/>
          <w:sz w:val="20"/>
        </w:rPr>
        <w:t>Series I Fixed Rate Perpetual Preferred Units</w:t>
      </w:r>
      <w:r>
        <w:rPr>
          <w:rFonts w:ascii="Times New Roman" w:hAnsi="Times New Roman"/>
          <w:sz w:val="20"/>
        </w:rPr>
        <w:t>” (the “</w:t>
      </w:r>
      <w:r>
        <w:rPr>
          <w:rFonts w:ascii="Times New Roman" w:hAnsi="Times New Roman"/>
          <w:i/>
          <w:sz w:val="20"/>
        </w:rPr>
        <w:t>Series I Preferred Units</w:t>
      </w:r>
      <w:r>
        <w:rPr>
          <w:rFonts w:ascii="Times New Roman" w:hAnsi="Times New Roman"/>
          <w:sz w:val="20"/>
        </w:rPr>
        <w:t xml:space="preserve">”), having the preferences, rights, powers, and duties set forth herein, including this </w:t>
      </w:r>
      <w:r>
        <w:rPr>
          <w:rFonts w:ascii="Times New Roman" w:hAnsi="Times New Roman"/>
          <w:sz w:val="20"/>
          <w:u w:val="single"/>
        </w:rPr>
        <w:t>Section 5.15</w:t>
      </w:r>
      <w:r>
        <w:rPr>
          <w:rFonts w:ascii="Times New Roman" w:hAnsi="Times New Roman"/>
          <w:sz w:val="20"/>
        </w:rPr>
        <w:t xml:space="preserve">. Each Series I Preferred Unit shall be identical in all respects to every other Series I Preferred Unit, except as to the respective dates from which the Series I Liquidation Preference shall increase or from which Series I Distributions may begin accruing, to the extent such dates may differ. The Series I Preferred Units represent perpetual equity interests in the Partnership and shall not give rise to a claim by the Partnership or a Series I Holder for conversion or, except as set forth in </w:t>
      </w:r>
      <w:r>
        <w:rPr>
          <w:rFonts w:ascii="Times New Roman" w:hAnsi="Times New Roman"/>
          <w:sz w:val="20"/>
          <w:u w:val="single"/>
        </w:rPr>
        <w:t>Section 5.15</w:t>
      </w:r>
      <w:r>
        <w:rPr>
          <w:rFonts w:ascii="Times New Roman" w:hAnsi="Times New Roman"/>
          <w:sz w:val="20"/>
        </w:rPr>
        <w:t xml:space="preserve">, redemption thereof at a particular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Conversion of Series I Preferred 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One or more Series I Holders may elect, each in its own discretion, (A) at any time, to convert all or any portion of the Series I Preferred Units held by such electing Series I Holder(s) in an aggregate amount equaling or exceeding the Minimum Conversion Amount into Common Units, at the then-applicable Series I Conversion Ratio, subject to payment of any accrued but unpaid distributions to the date of conversion in accordance with </w:t>
      </w:r>
      <w:r>
        <w:rPr>
          <w:rFonts w:ascii="Times New Roman" w:hAnsi="Times New Roman"/>
          <w:sz w:val="20"/>
          <w:u w:val="single"/>
        </w:rPr>
        <w:t>Section 5.15(b)(iv)</w:t>
      </w:r>
      <w:r>
        <w:rPr>
          <w:rFonts w:ascii="Times New Roman" w:hAnsi="Times New Roman"/>
          <w:sz w:val="20"/>
        </w:rPr>
        <w:t xml:space="preserve">, and (B) in the event of any voluntary liquidation, dissolution or winding up of the Partnership, to convert all or any portion of the Series I Preferred Units held by such Series I Holder(s), at the then-applicable Series I Conversion Ratio, subject to payment of any accrued but unpaid distributions to the date of conversion in accordance with </w:t>
      </w:r>
      <w:r>
        <w:rPr>
          <w:rFonts w:ascii="Times New Roman" w:hAnsi="Times New Roman"/>
          <w:sz w:val="20"/>
          <w:u w:val="single"/>
        </w:rPr>
        <w:t>Section 5.15(b)(iv)</w:t>
      </w:r>
      <w:r>
        <w:rPr>
          <w:rFonts w:ascii="Times New Roman" w:hAnsi="Times New Roman"/>
          <w:sz w:val="20"/>
        </w:rPr>
        <w:t xml:space="preserve">, in each case, by delivery of: (A) written notice to the Partnership, in the form set forth as </w:t>
      </w:r>
      <w:r>
        <w:rPr>
          <w:rFonts w:ascii="Times New Roman" w:hAnsi="Times New Roman"/>
          <w:sz w:val="20"/>
          <w:u w:val="single"/>
        </w:rPr>
        <w:t>Exhibit B</w:t>
      </w:r>
      <w:r>
        <w:rPr>
          <w:rFonts w:ascii="Times New Roman" w:hAnsi="Times New Roman"/>
          <w:sz w:val="20"/>
        </w:rPr>
        <w:t xml:space="preserve"> hereto, setting forth the number of Series I Preferred Units it holds and the number of Series I Preferred Units it is electing to convert, and (B) if such Series I Preferred Units are in certificated form, a Series I Preferred Unit Certificate to the Transfer Agent representing an amount of Series I Preferred Units at least equal to the amount such Series I Holder is electing to convert (or an instruction letter to the Transfer Agent if the Series I Preferred Units are in book-entry form), together with such additional information as may be requested by the Transfer Agent, </w:t>
      </w:r>
      <w:r>
        <w:rPr>
          <w:rFonts w:ascii="Times New Roman" w:hAnsi="Times New Roman"/>
          <w:sz w:val="20"/>
          <w:u w:val="single"/>
        </w:rPr>
        <w:t xml:space="preserve">provided </w:t>
      </w:r>
      <w:r>
        <w:rPr>
          <w:rFonts w:ascii="Times New Roman" w:hAnsi="Times New Roman"/>
          <w:sz w:val="20"/>
        </w:rPr>
        <w:t>that with respect to any Series I Change of Control, such delivery shall be made by the later of (x) 5 Business Days from receipt of notice from the Partnership of such Series I Change of Control and (y) 20 Business Days prior to the anticipated closing date (which anticipated closing date shall be specified by the Partnership in such notice and shall be based on the Partnership’s reasonable best estimate of such anticipated closing date at the time of providing such notice) of such Series I Change of Control (the “</w:t>
      </w:r>
      <w:r>
        <w:rPr>
          <w:rFonts w:ascii="Times New Roman" w:hAnsi="Times New Roman"/>
          <w:i/>
          <w:sz w:val="20"/>
        </w:rPr>
        <w:t>Series I COC Election</w:t>
      </w:r>
      <w:r>
        <w:rPr>
          <w:rFonts w:ascii="Times New Roman" w:hAnsi="Times New Roman"/>
          <w:sz w:val="20"/>
        </w:rPr>
        <w:t xml:space="preserve">”). Such Series I COC Election shall be irrevocable unless (a) any material terms related to the Series I Change of Control consideration are changed or (b) the expected closing date of the Series I Change of Control is pushed back by more than 20 Business Days;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any Series I Holder that made a Series I COC Election shall have until the later of (x) 5 Business Days from receipt of notice from the Partnership of the occurrence of any of the events in clause (a) or (b) or (y) 20 Business Days prior to the new anticipated closing date (which new anticipated closing date shall be specified by the Partnership in such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shall be based on the Partnership’s reasonable best estimate of such new anticipated closing date at the time of providing such notice) of any Series I Change of Control to provide notice to the Partnership that such Series I Holder is revoking its Series I COC Election and if such notice is not provided within such period, the Series I COC Election shall be irrevocable. Thereafter, the Partnership shall take all such actions as are necessary or appropriate to complete such conversion in accordance with this </w:t>
      </w:r>
      <w:r>
        <w:rPr>
          <w:rFonts w:ascii="Times New Roman" w:hAnsi="Times New Roman"/>
          <w:sz w:val="20"/>
          <w:u w:val="single"/>
        </w:rPr>
        <w:t>Section 5.15(b)</w:t>
      </w:r>
      <w:r>
        <w:rPr>
          <w:rFonts w:ascii="Times New Roman" w:hAnsi="Times New Roman"/>
          <w:sz w:val="20"/>
        </w:rPr>
        <w:t xml:space="preserve">, </w:t>
      </w:r>
      <w:r>
        <w:rPr>
          <w:rFonts w:ascii="Times New Roman" w:hAnsi="Times New Roman"/>
          <w:sz w:val="20"/>
          <w:u w:val="single"/>
        </w:rPr>
        <w:t xml:space="preserve">provided </w:t>
      </w:r>
      <w:r>
        <w:rPr>
          <w:rFonts w:ascii="Times New Roman" w:hAnsi="Times New Roman"/>
          <w:sz w:val="20"/>
        </w:rPr>
        <w:t xml:space="preserve">that such conversion shall be consummated prior to the tenth Business Day following the date of receipt of notice by the Partnership (or, in the event of a Series I Change of Control, prior to such Series I Change of Control). In the case of any Certificate representing Series I Preferred Units which are converted in part only, upon such conversion the Transfer Agent shall authenticate and deliver to the Series I Holder thereof, at the expense of the Partnership, a new Certificate representing the number of Series I Preferred Units not so converted. </w:t>
      </w:r>
    </w:p>
    <w:p>
      <w:pPr>
        <w:pStyle w:val="TextBody"/>
        <w:bidi w:val="0"/>
        <w:spacing w:before="120" w:after="0"/>
        <w:jc w:val="left"/>
        <w:rPr>
          <w:rFonts w:ascii="Times New Roman" w:hAnsi="Times New Roman"/>
          <w:sz w:val="20"/>
        </w:rPr>
      </w:pPr>
      <w:r>
        <w:rPr>
          <w:rFonts w:ascii="Times New Roman" w:hAnsi="Times New Roman"/>
          <w:sz w:val="20"/>
        </w:rPr>
        <w:t xml:space="preserve">(ii) At any time, and </w:t>
      </w:r>
      <w:r>
        <w:rPr>
          <w:rFonts w:ascii="Times New Roman" w:hAnsi="Times New Roman"/>
          <w:sz w:val="20"/>
          <w:u w:val="single"/>
        </w:rPr>
        <w:t xml:space="preserve">provided </w:t>
      </w:r>
      <w:r>
        <w:rPr>
          <w:rFonts w:ascii="Times New Roman" w:hAnsi="Times New Roman"/>
          <w:sz w:val="20"/>
        </w:rPr>
        <w:t xml:space="preserve">that the average daily trading volume of the Common Units on the National Securities Exchange upon which such Common Units are listed or admitted to trading was at least 1,168,750 Common Units (subject to appropriate adjustments in accordance with </w:t>
      </w:r>
      <w:r>
        <w:rPr>
          <w:rFonts w:ascii="Times New Roman" w:hAnsi="Times New Roman"/>
          <w:sz w:val="20"/>
          <w:u w:val="single"/>
        </w:rPr>
        <w:t>Section 5.15(b)(xi)</w:t>
      </w:r>
      <w:r>
        <w:rPr>
          <w:rFonts w:ascii="Times New Roman" w:hAnsi="Times New Roman"/>
          <w:sz w:val="20"/>
        </w:rPr>
        <w:t xml:space="preserve">) for 20-trading days over the 30-trading day period ending on the close of trading on the trading day immediately prior to the date of delivery of notice by the Partnership pursuant to this </w:t>
      </w:r>
      <w:r>
        <w:rPr>
          <w:rFonts w:ascii="Times New Roman" w:hAnsi="Times New Roman"/>
          <w:sz w:val="20"/>
          <w:u w:val="single"/>
        </w:rPr>
        <w:t>Section 5.15(b)(ii)</w:t>
      </w:r>
      <w:r>
        <w:rPr>
          <w:rFonts w:ascii="Times New Roman" w:hAnsi="Times New Roman"/>
          <w:sz w:val="20"/>
        </w:rPr>
        <w:t xml:space="preserve">, if the VWAP Price for 20 trading days over the 30-trading day period ending on the close of trading on the trading day immediately prior to the date of delivery of notice by the Partnership to any Series I Holder of exercise of its conversion right pursuant to this </w:t>
      </w:r>
      <w:r>
        <w:rPr>
          <w:rFonts w:ascii="Times New Roman" w:hAnsi="Times New Roman"/>
          <w:sz w:val="20"/>
          <w:u w:val="single"/>
        </w:rPr>
        <w:t>Section 5.15(b)(ii)</w:t>
      </w:r>
      <w:r>
        <w:rPr>
          <w:rFonts w:ascii="Times New Roman" w:hAnsi="Times New Roman"/>
          <w:sz w:val="20"/>
        </w:rPr>
        <w:t xml:space="preserve"> is greater than (x) 150% of the Series I Preferred Unit Price divided by (y) the then applicable Series I Conversion Ratio, the General Partner, in its sole discretion, may convert all or a portion of the Outstanding Series I Preferred Units into Common Units, at the then-applicable Series I Conversion Ratio, subject to payment of any accrued but unpaid distributions to the date of conversion in accordance with </w:t>
      </w:r>
      <w:r>
        <w:rPr>
          <w:rFonts w:ascii="Times New Roman" w:hAnsi="Times New Roman"/>
          <w:sz w:val="20"/>
          <w:u w:val="single"/>
        </w:rPr>
        <w:t>Section 5.15(b)(iv)</w:t>
      </w:r>
      <w:r>
        <w:rPr>
          <w:rFonts w:ascii="Times New Roman" w:hAnsi="Times New Roman"/>
          <w:sz w:val="20"/>
        </w:rPr>
        <w:t xml:space="preserve">; </w:t>
      </w:r>
      <w:r>
        <w:rPr>
          <w:rFonts w:ascii="Times New Roman" w:hAnsi="Times New Roman"/>
          <w:sz w:val="20"/>
          <w:u w:val="single"/>
        </w:rPr>
        <w:t xml:space="preserve">provided </w:t>
      </w:r>
      <w:r>
        <w:rPr>
          <w:rFonts w:ascii="Times New Roman" w:hAnsi="Times New Roman"/>
          <w:sz w:val="20"/>
        </w:rPr>
        <w:t xml:space="preserve">that if the General Partner elects to convert less than all of the Outstanding Series I Preferred Units, such conversion shall be effected on a Pro Rata basis among the Outstanding Series I Preferred Units, including any Outstanding Series I PIK Units. The Partnership shall deliver to each Series I Holder a written notice at least 5 Business Days prior to the date of the expected conversion. Immediately as of the close of business on the date of conversion pursuant to this </w:t>
      </w:r>
      <w:r>
        <w:rPr>
          <w:rFonts w:ascii="Times New Roman" w:hAnsi="Times New Roman"/>
          <w:sz w:val="20"/>
          <w:u w:val="single"/>
        </w:rPr>
        <w:t>Section 5.15(b)(ii)</w:t>
      </w:r>
      <w:r>
        <w:rPr>
          <w:rFonts w:ascii="Times New Roman" w:hAnsi="Times New Roman"/>
          <w:sz w:val="20"/>
        </w:rPr>
        <w:t xml:space="preserve">, which date shall be prior to the fifth Business Day following the date of delivery of notice by the Partnership, all or such portion of the Outstanding Series I Preferred Units shall automatically convert into Common Units, at the then-applicable Series I Conversion Ratio, subject to payment of any accrued but unpaid distributions to the date of conversion in accordance with </w:t>
      </w:r>
      <w:r>
        <w:rPr>
          <w:rFonts w:ascii="Times New Roman" w:hAnsi="Times New Roman"/>
          <w:sz w:val="20"/>
          <w:u w:val="single"/>
        </w:rPr>
        <w:t>Section 5.15(b)(iv)</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(iii) At any time, provided</w:t>
      </w:r>
      <w:r>
        <w:rPr>
          <w:rFonts w:ascii="Times New Roman" w:hAnsi="Times New Roman"/>
          <w:sz w:val="20"/>
          <w:u w:val="single"/>
        </w:rPr>
        <w:t xml:space="preserve"> </w:t>
      </w:r>
      <w:r>
        <w:rPr>
          <w:rFonts w:ascii="Times New Roman" w:hAnsi="Times New Roman"/>
          <w:sz w:val="20"/>
        </w:rPr>
        <w:t xml:space="preserve">that the average daily trading volume of the Common Units on the National Securities Exchange upon which such Common Units are listed or admitted to trading was at least 1,168,750 Common Units (subject to appropriate adjustment in accordance with </w:t>
      </w:r>
      <w:r>
        <w:rPr>
          <w:rFonts w:ascii="Times New Roman" w:hAnsi="Times New Roman"/>
          <w:sz w:val="20"/>
          <w:u w:val="single"/>
        </w:rPr>
        <w:t>Section 5.15(b)(xi)</w:t>
      </w:r>
      <w:r>
        <w:rPr>
          <w:rFonts w:ascii="Times New Roman" w:hAnsi="Times New Roman"/>
          <w:sz w:val="20"/>
        </w:rPr>
        <w:t xml:space="preserve">) for 20-trading days over the 30-trading day period ending on the close of trading on the trading day immediately prior to the date of delivery of notice by the Partnership pursuant to this </w:t>
      </w:r>
      <w:r>
        <w:rPr>
          <w:rFonts w:ascii="Times New Roman" w:hAnsi="Times New Roman"/>
          <w:sz w:val="20"/>
          <w:u w:val="single"/>
        </w:rPr>
        <w:t>Section 5.15(b)(iii)</w:t>
      </w:r>
      <w:r>
        <w:rPr>
          <w:rFonts w:ascii="Times New Roman" w:hAnsi="Times New Roman"/>
          <w:sz w:val="20"/>
        </w:rPr>
        <w:t xml:space="preserve">, if the VWAP Price for 20 trading days over the 30-trading day period ending on the close of trading on the trading day immediately prior to the date of delivery of notice by the Partnership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Series I Holder of exercise of its conversion right pursuant to this </w:t>
      </w:r>
      <w:r>
        <w:rPr>
          <w:rFonts w:ascii="Times New Roman" w:hAnsi="Times New Roman"/>
          <w:sz w:val="20"/>
          <w:u w:val="single"/>
        </w:rPr>
        <w:t>Section 5.15(b)(iii)</w:t>
      </w:r>
      <w:r>
        <w:rPr>
          <w:rFonts w:ascii="Times New Roman" w:hAnsi="Times New Roman"/>
          <w:sz w:val="20"/>
        </w:rPr>
        <w:t xml:space="preserve"> is greater than (x) the Series I Preferred Unit Price divided by (y) the then-applicable Series I Conversion Ratio, the General Partner, in its sole discretion, may convert all, but not less than all, of the Outstanding Series I Preferred Units into a number of Common Units equal to the Adjusted Conversion Amount. The Partnership shall deliver to each Series I Holder a written notice at least 5 Business Days prior to the date of the expected conversion. Immediately as of the close of business on the date of conversion pursuant to this </w:t>
      </w:r>
      <w:r>
        <w:rPr>
          <w:rFonts w:ascii="Times New Roman" w:hAnsi="Times New Roman"/>
          <w:sz w:val="20"/>
          <w:u w:val="single"/>
        </w:rPr>
        <w:t>Section 5.15(b)(iii)</w:t>
      </w:r>
      <w:r>
        <w:rPr>
          <w:rFonts w:ascii="Times New Roman" w:hAnsi="Times New Roman"/>
          <w:sz w:val="20"/>
        </w:rPr>
        <w:t xml:space="preserve">, which date shall be prior to the fifth Business Day following the date of delivery of notice by the Partnership, all Outstanding Series I Preferred Units shall automatically convert into Common Units, subject to payment of any accrued but unpaid distributions to the date of conversion in accordance with </w:t>
      </w:r>
      <w:r>
        <w:rPr>
          <w:rFonts w:ascii="Times New Roman" w:hAnsi="Times New Roman"/>
          <w:sz w:val="20"/>
          <w:u w:val="single"/>
        </w:rPr>
        <w:t>Section 5.15(b)(iv)</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The Partnership shall make a cash payment to any Series I Holder with respect to any Series I Preferred Units converted pursuant to this </w:t>
      </w:r>
      <w:r>
        <w:rPr>
          <w:rFonts w:ascii="Times New Roman" w:hAnsi="Times New Roman"/>
          <w:sz w:val="20"/>
          <w:u w:val="single"/>
        </w:rPr>
        <w:t>Section 5.15(b)</w:t>
      </w:r>
      <w:r>
        <w:rPr>
          <w:rFonts w:ascii="Times New Roman" w:hAnsi="Times New Roman"/>
          <w:sz w:val="20"/>
        </w:rPr>
        <w:t xml:space="preserve"> to account for any accrued but unpaid distributions on such Series I Preferred Units as of the date of such conversion. </w:t>
      </w:r>
    </w:p>
    <w:p>
      <w:pPr>
        <w:pStyle w:val="TextBody"/>
        <w:bidi w:val="0"/>
        <w:spacing w:before="120" w:after="0"/>
        <w:jc w:val="left"/>
        <w:rPr>
          <w:rFonts w:ascii="Times New Roman" w:hAnsi="Times New Roman"/>
          <w:sz w:val="20"/>
        </w:rPr>
      </w:pPr>
      <w:r>
        <w:rPr>
          <w:rFonts w:ascii="Times New Roman" w:hAnsi="Times New Roman"/>
          <w:sz w:val="20"/>
        </w:rPr>
        <w:t xml:space="preserve">(v) Upon conversion, the rights of a holder of converted Series I Preferred Units as a Series I Holder shall cease with respect to such converted Series I Preferred Units, including any rights under this Agreement with respect to Series I Holders, and such Person shall continue to be a Limited Partner and have the rights of a holder of Common Units under this Agreement. Each Series I Preferred Unit shall, upon its Series I Conversion Date, be deemed to be transferred to, and canceled by, the Partnership in exchange for the issuance of the Common Unit(s) into which such Series I Preferred Unit converted. Notwithstanding the foregoing, as the result of a conversion, a holder shall not lose or relinquish any claims or rights of action such holder may then or thereafter have as a result of such holder’s ownership of the converted Series I Preferred Units. </w:t>
      </w:r>
    </w:p>
    <w:p>
      <w:pPr>
        <w:pStyle w:val="TextBody"/>
        <w:bidi w:val="0"/>
        <w:spacing w:before="120" w:after="0"/>
        <w:jc w:val="left"/>
        <w:rPr>
          <w:rFonts w:ascii="Times New Roman" w:hAnsi="Times New Roman"/>
          <w:sz w:val="20"/>
        </w:rPr>
      </w:pPr>
      <w:r>
        <w:rPr>
          <w:rFonts w:ascii="Times New Roman" w:hAnsi="Times New Roman"/>
          <w:sz w:val="20"/>
        </w:rPr>
        <w:t xml:space="preserve">(vi) The Partnership shall pay any documentary, stamp or similar issue or transfer taxes or duties relating to the issuance or delivery of Common Units upon conversion of the Series I Preferred Units. However, the holder shall pay any tax or duty which may be payable relating to any transfer involving the issuance or delivery of Common Units in a name other than the holder’s name. The Transfer Agent may refuse to deliver the Certificate representing Common Units (or notation of book-entry) being issued in a name other than the holder’s name until the Transfer Agent receives a sum sufficient to pay any tax or duties due because the Units are to be issued in a name other than the holder’s name. Nothing herein shall preclude any tax withholding required by law or regulation. </w:t>
      </w:r>
    </w:p>
    <w:p>
      <w:pPr>
        <w:pStyle w:val="TextBody"/>
        <w:bidi w:val="0"/>
        <w:spacing w:before="120" w:after="0"/>
        <w:jc w:val="left"/>
        <w:rPr>
          <w:rFonts w:ascii="Times New Roman" w:hAnsi="Times New Roman"/>
          <w:sz w:val="20"/>
        </w:rPr>
      </w:pPr>
      <w:r>
        <w:rPr>
          <w:rFonts w:ascii="Times New Roman" w:hAnsi="Times New Roman"/>
          <w:sz w:val="20"/>
        </w:rPr>
        <w:t xml:space="preserve">(vii) The Partnership shall keep free from preemptive rights a sufficient number of Common Units to permit the conversion of all outstanding Series I Preferred Units into Common Units to the extent provided in, and in accordance with, this </w:t>
      </w:r>
      <w:r>
        <w:rPr>
          <w:rFonts w:ascii="Times New Roman" w:hAnsi="Times New Roman"/>
          <w:sz w:val="20"/>
          <w:u w:val="single"/>
        </w:rPr>
        <w:t>Section 5.15(b)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All Common Units delivered upon conversion of the Series I Preferred Units in accordance with this </w:t>
      </w:r>
      <w:r>
        <w:rPr>
          <w:rFonts w:ascii="Times New Roman" w:hAnsi="Times New Roman"/>
          <w:sz w:val="20"/>
          <w:u w:val="single"/>
        </w:rPr>
        <w:t>Section 5.15(b)</w:t>
      </w:r>
      <w:r>
        <w:rPr>
          <w:rFonts w:ascii="Times New Roman" w:hAnsi="Times New Roman"/>
          <w:sz w:val="20"/>
        </w:rPr>
        <w:t xml:space="preserve"> shall be (1) newly issued, (2) duly authorized, validly issued fully paid and non-assessable Limited Partner Interests in the Partnership, except as such non-assessability may be affected by Section 153.112 of the Texas Limited Partnership Law, and shall be free from preemptive rights and free of any lien, claim, rights or encumbrances, other than those arising under the Texas Limited Partnership Law or this Agreement and (3) with respect to Common Units delivered upon a conversion in accordance with </w:t>
      </w:r>
      <w:r>
        <w:rPr>
          <w:rFonts w:ascii="Times New Roman" w:hAnsi="Times New Roman"/>
          <w:sz w:val="20"/>
          <w:u w:val="single"/>
        </w:rPr>
        <w:t>Section 5.15(b)(ii)</w:t>
      </w:r>
      <w:r>
        <w:rPr>
          <w:rFonts w:ascii="Times New Roman" w:hAnsi="Times New Roman"/>
          <w:sz w:val="20"/>
        </w:rPr>
        <w:t xml:space="preserve"> or (iii), registered for public resale under the Securities Act, pursuant to an effective registration statement that is then available for the resale of such Common Units. </w:t>
      </w:r>
    </w:p>
    <w:p>
      <w:pPr>
        <w:pStyle w:val="TextBody"/>
        <w:bidi w:val="0"/>
        <w:spacing w:before="120" w:after="0"/>
        <w:jc w:val="left"/>
        <w:rPr>
          <w:rFonts w:ascii="Times New Roman" w:hAnsi="Times New Roman"/>
          <w:sz w:val="20"/>
        </w:rPr>
      </w:pPr>
      <w:r>
        <w:rPr>
          <w:rFonts w:ascii="Times New Roman" w:hAnsi="Times New Roman"/>
          <w:sz w:val="20"/>
        </w:rPr>
        <w:t xml:space="preserve">(ix) The Partnership shall comply with all applicable securities laws regulating the offer and delivery of any Common Units upon conversion of Series I Preferred Units and, if the Common Units are then listed or quoted on any National Securities Exchange or other market, shall list or cause to have quoted and keep listed and quoted the Common Units issuable upon conversion of the Series I Preferred Units to the extent permitted or required by the rules of such exchange or market. </w:t>
      </w:r>
    </w:p>
    <w:p>
      <w:pPr>
        <w:pStyle w:val="TextBody"/>
        <w:bidi w:val="0"/>
        <w:spacing w:before="120" w:after="0"/>
        <w:jc w:val="left"/>
        <w:rPr>
          <w:rFonts w:ascii="Times New Roman" w:hAnsi="Times New Roman"/>
          <w:sz w:val="20"/>
        </w:rPr>
      </w:pPr>
      <w:r>
        <w:rPr>
          <w:rFonts w:ascii="Times New Roman" w:hAnsi="Times New Roman"/>
          <w:sz w:val="20"/>
        </w:rPr>
        <w:t xml:space="preserve">(x) Notwithstanding anything to the contrary contained herein, in connection with any conversion of Series I Preferred Units pursuant to </w:t>
      </w:r>
      <w:r>
        <w:rPr>
          <w:rFonts w:ascii="Times New Roman" w:hAnsi="Times New Roman"/>
          <w:sz w:val="20"/>
          <w:u w:val="single"/>
        </w:rPr>
        <w:t>Section 5.15(b)(i)</w:t>
      </w:r>
      <w:r>
        <w:rPr>
          <w:rFonts w:ascii="Times New Roman" w:hAnsi="Times New Roman"/>
          <w:sz w:val="20"/>
        </w:rPr>
        <w:t xml:space="preserve"> or (ii), (A) each Series I Preferred Unit must be converted together with all Series I PIK Units issued as distributions thereon, and (B) each Series I PIK Unit must be converted together with the Series I Preferred Unit in connection with which such Series I PIK Unit was distributed;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in the event that compliance with this </w:t>
      </w:r>
      <w:r>
        <w:rPr>
          <w:rFonts w:ascii="Times New Roman" w:hAnsi="Times New Roman"/>
          <w:sz w:val="20"/>
          <w:u w:val="single"/>
        </w:rPr>
        <w:t>Section 5.15(b)(x)</w:t>
      </w:r>
      <w:r>
        <w:rPr>
          <w:rFonts w:ascii="Times New Roman" w:hAnsi="Times New Roman"/>
          <w:sz w:val="20"/>
        </w:rPr>
        <w:t xml:space="preserve"> would result in the conversion of any fractional Series I Preferred Unit or Series I PIK Unit, the number of Series I Preferred Units or Series I PIK Units to be converted shall be rounded down to the nearest whole Series I Preferred Unit or Series I PIK Unit,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(xi) If, after the Series I Original Issue Date, the Partnership (A) makes a distribution on its Common Units in Common Units, (B) subdivides or splits its outstanding Common Units into a greater number of Common Units, (C) combines or reclassifies its Common Units into a smaller number of Common Units or (D) issues by reclassification of its Common Units any Partnership Interests (including any reclassification in connection with a merger, consolidation or business combination in which the Partnership is the Surviving Business Entity), then the Series I Conversion Ratio in effect at the time of the Series I Distribution Record Date for such distribution or of the effective date of such subdivision, split, combination, or reclassification shall be proportionately adjusted so that the conversion of the Series I Preferred Units after such time shall entitle the holder to receive the aggregate number of Common Units (or shares of any Partnership Interests into which such shares of Common Units would have been combined, consolidated, merged or reclassified pursuant to clauses (C) and (D) above) that such holder would have been entitled to receive if the Series I Preferred Units had been converted into Common Units immediately prior to such Record Date or effective date, as the case may be, and in the case of a merger, consolidation or business combination in which the Partnership is the Surviving Business Entity, the Partnership shall provide effective provisions to ensure that the provisions in this </w:t>
      </w:r>
      <w:r>
        <w:rPr>
          <w:rFonts w:ascii="Times New Roman" w:hAnsi="Times New Roman"/>
          <w:sz w:val="20"/>
          <w:u w:val="single"/>
        </w:rPr>
        <w:t>Section 5.15</w:t>
      </w:r>
      <w:r>
        <w:rPr>
          <w:rFonts w:ascii="Times New Roman" w:hAnsi="Times New Roman"/>
          <w:sz w:val="20"/>
        </w:rPr>
        <w:t xml:space="preserve"> relating to the Series I Preferred Units shall not be abridged or amended and that the Series I Preferred Units shall thereafter retain the same powers, preferences and relative participating, optional and other special rights, and the qualifications, limitations and restrictions thereon,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Series I Preferred Units had immediately prior to such transaction or event. An adjustment made pursuant to this </w:t>
      </w:r>
      <w:r>
        <w:rPr>
          <w:rFonts w:ascii="Times New Roman" w:hAnsi="Times New Roman"/>
          <w:sz w:val="20"/>
          <w:u w:val="single"/>
        </w:rPr>
        <w:t>Section 5.15(b)(xi)</w:t>
      </w:r>
      <w:r>
        <w:rPr>
          <w:rFonts w:ascii="Times New Roman" w:hAnsi="Times New Roman"/>
          <w:sz w:val="20"/>
        </w:rPr>
        <w:t xml:space="preserve"> shall become effective immediately after the Record Date in the case of a distribution and shall become effective immediately after the effective date in the case of a subdivision, combination, reclassification (including any reclassification in connection with a merger, consolidation or business combination in which the Partnership is the Surviving Business Entity) or split. Such adjustment shall be made successively whenever any event described above shall occur.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Distributions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Beginning with the first Quarter ending after the Series I Original Issue Date, the Series I Holders as of the applicable Record Date (each, a “</w:t>
      </w:r>
      <w:r>
        <w:rPr>
          <w:rFonts w:ascii="Times New Roman" w:hAnsi="Times New Roman"/>
          <w:i/>
          <w:sz w:val="20"/>
        </w:rPr>
        <w:t>Series I Distribution Record Date</w:t>
      </w:r>
      <w:r>
        <w:rPr>
          <w:rFonts w:ascii="Times New Roman" w:hAnsi="Times New Roman"/>
          <w:sz w:val="20"/>
        </w:rPr>
        <w:t xml:space="preserve">”) shall be entitled to receive distributions in accordance with the following provisions: </w:t>
      </w:r>
    </w:p>
    <w:p>
      <w:pPr>
        <w:pStyle w:val="TextBody"/>
        <w:bidi w:val="0"/>
        <w:spacing w:before="120" w:after="0"/>
        <w:jc w:val="left"/>
        <w:rPr>
          <w:rFonts w:ascii="Times New Roman" w:hAnsi="Times New Roman"/>
          <w:sz w:val="20"/>
        </w:rPr>
      </w:pPr>
      <w:r>
        <w:rPr>
          <w:rFonts w:ascii="Times New Roman" w:hAnsi="Times New Roman"/>
          <w:sz w:val="20"/>
        </w:rPr>
        <w:t xml:space="preserve">(A) The Partnership shall pay a cumulative distribution of $0.2111 per Quarter in respect of each Outstanding Series I Preferred Unit, subject to adjustment in accordance with </w:t>
      </w:r>
      <w:r>
        <w:rPr>
          <w:rFonts w:ascii="Times New Roman" w:hAnsi="Times New Roman"/>
          <w:sz w:val="20"/>
          <w:u w:val="single"/>
        </w:rPr>
        <w:t>Sections 5.15(c)(i)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(the “</w:t>
      </w:r>
      <w:r>
        <w:rPr>
          <w:rFonts w:ascii="Times New Roman" w:hAnsi="Times New Roman"/>
          <w:i/>
          <w:sz w:val="20"/>
        </w:rPr>
        <w:t>Series I Preferred Unit Distribution Rate</w:t>
      </w:r>
      <w:r>
        <w:rPr>
          <w:rFonts w:ascii="Times New Roman" w:hAnsi="Times New Roman"/>
          <w:sz w:val="20"/>
        </w:rPr>
        <w:t>” and such distribution, a “</w:t>
      </w:r>
      <w:r>
        <w:rPr>
          <w:rFonts w:ascii="Times New Roman" w:hAnsi="Times New Roman"/>
          <w:i/>
          <w:sz w:val="20"/>
        </w:rPr>
        <w:t>Series I Distribution</w:t>
      </w:r>
      <w:r>
        <w:rPr>
          <w:rFonts w:ascii="Times New Roman" w:hAnsi="Times New Roman"/>
          <w:sz w:val="20"/>
        </w:rPr>
        <w:t xml:space="preserve">”). For the avoidance of doubt, the Series I Preferred Unit Distribution Rate for the first Quarter ending after the Series I Original Issue Date shall be calculated for a full Quarter, notwithstanding the fact that the Series I Preferred Units may have been issued after the beginning of such Quarter as a result of the Series I Original Issue Date occurring during such Quarter. </w:t>
      </w:r>
    </w:p>
    <w:p>
      <w:pPr>
        <w:pStyle w:val="TextBody"/>
        <w:bidi w:val="0"/>
        <w:spacing w:before="120" w:after="0"/>
        <w:jc w:val="left"/>
        <w:rPr>
          <w:rFonts w:ascii="Times New Roman" w:hAnsi="Times New Roman"/>
          <w:sz w:val="20"/>
        </w:rPr>
      </w:pPr>
      <w:r>
        <w:rPr>
          <w:rFonts w:ascii="Times New Roman" w:hAnsi="Times New Roman"/>
          <w:sz w:val="20"/>
        </w:rPr>
        <w:t xml:space="preserve">(B) Each Series I Distribution paid for any Quarter shall be paid in cash at the Series I Preferred Unit Distribution Rate unless (x) no distribution is made with respect to such Quarter pursuant to </w:t>
      </w:r>
      <w:r>
        <w:rPr>
          <w:rFonts w:ascii="Times New Roman" w:hAnsi="Times New Roman"/>
          <w:sz w:val="20"/>
          <w:u w:val="single"/>
        </w:rPr>
        <w:t>Section 6.3</w:t>
      </w:r>
      <w:r>
        <w:rPr>
          <w:rFonts w:ascii="Times New Roman" w:hAnsi="Times New Roman"/>
          <w:sz w:val="20"/>
        </w:rPr>
        <w:t xml:space="preserve"> with respect to the Series I Parity Securities and Series I Junior Securities (including the Common Units, the Class A Units, the Class B Units or the General Partner Interest) and (y) the Partnership’s Available Cash is insufficient to pay the Series I Distribution;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for purposes of this </w:t>
      </w:r>
      <w:r>
        <w:rPr>
          <w:rFonts w:ascii="Times New Roman" w:hAnsi="Times New Roman"/>
          <w:sz w:val="20"/>
          <w:u w:val="single"/>
        </w:rPr>
        <w:t>Section 5.15(c)(i)(B)</w:t>
      </w:r>
      <w:r>
        <w:rPr>
          <w:rFonts w:ascii="Times New Roman" w:hAnsi="Times New Roman"/>
          <w:sz w:val="20"/>
        </w:rPr>
        <w:t xml:space="preserve">, Available Cash shall not include any deduction to provide funds for distributions under </w:t>
      </w:r>
      <w:r>
        <w:rPr>
          <w:rFonts w:ascii="Times New Roman" w:hAnsi="Times New Roman"/>
          <w:sz w:val="20"/>
          <w:u w:val="single"/>
        </w:rPr>
        <w:t>Section 6.3</w:t>
      </w:r>
      <w:r>
        <w:rPr>
          <w:rFonts w:ascii="Times New Roman" w:hAnsi="Times New Roman"/>
          <w:sz w:val="20"/>
        </w:rPr>
        <w:t xml:space="preserve"> in respect of any one or more of the next four Quarters. If the Partnership fails to pay in full in cash any distribution (or portion thereof) which any Series I Holder accrues and is entitled to receive pursuant to this </w:t>
      </w:r>
      <w:r>
        <w:rPr>
          <w:rFonts w:ascii="Times New Roman" w:hAnsi="Times New Roman"/>
          <w:sz w:val="20"/>
          <w:u w:val="single"/>
        </w:rPr>
        <w:t>Section 5.15(c)(i)(B)</w:t>
      </w:r>
      <w:r>
        <w:rPr>
          <w:rFonts w:ascii="Times New Roman" w:hAnsi="Times New Roman"/>
          <w:sz w:val="20"/>
        </w:rPr>
        <w:t xml:space="preserve">, then (x) the amount of such accrued and unpaid distributions will accumulate until paid in full in cash and (y) the Partnership shall not be permitted to, and shall not, declare or make (i) any distributions in respect of any Series I Junior Securities and (ii) any distributions in respect of any Series I Parity Securities, unless and until all accrued and unpaid distributions on the Series I Preferred Units have been paid in full in cash.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anything in this </w:t>
      </w:r>
      <w:r>
        <w:rPr>
          <w:rFonts w:ascii="Times New Roman" w:hAnsi="Times New Roman"/>
          <w:sz w:val="20"/>
          <w:u w:val="single"/>
        </w:rPr>
        <w:t>Section 5.15(c)</w:t>
      </w:r>
      <w:r>
        <w:rPr>
          <w:rFonts w:ascii="Times New Roman" w:hAnsi="Times New Roman"/>
          <w:sz w:val="20"/>
        </w:rPr>
        <w:t xml:space="preserve"> to the contrary, with respect to Series I Preferred Units that are converted into Common Units, the holder thereof shall not be entitled to a Series I Distribution and a Common Unit distribution with respect to the same period, but shall be entitled only to the distribution to be paid based upon the class of Units held as of the close of business on the applicable Record Date, together with all accrued but unpaid distributions on the converted Series I Preferred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Subject to and without limiting the other provisions of this </w:t>
      </w:r>
      <w:r>
        <w:rPr>
          <w:rFonts w:ascii="Times New Roman" w:hAnsi="Times New Roman"/>
          <w:sz w:val="20"/>
          <w:u w:val="single"/>
        </w:rPr>
        <w:t>Section 5.15</w:t>
      </w:r>
      <w:r>
        <w:rPr>
          <w:rFonts w:ascii="Times New Roman" w:hAnsi="Times New Roman"/>
          <w:sz w:val="20"/>
        </w:rPr>
        <w:t xml:space="preserve">, each Series I Preferred Unit shall have the right to receive, and will share pro rata with holders of Common Units (as if the Series I Preferred Units had converted into Common Units at the then-applicable Series I Conversion Ratio) in, any portion of any cash distribution made in the normal course pursuant to </w:t>
      </w:r>
      <w:r>
        <w:rPr>
          <w:rFonts w:ascii="Times New Roman" w:hAnsi="Times New Roman"/>
          <w:sz w:val="20"/>
          <w:u w:val="single"/>
        </w:rPr>
        <w:t>Section 6.3</w:t>
      </w:r>
      <w:r>
        <w:rPr>
          <w:rFonts w:ascii="Times New Roman" w:hAnsi="Times New Roman"/>
          <w:sz w:val="20"/>
        </w:rPr>
        <w:t xml:space="preserve"> (a “</w:t>
      </w:r>
      <w:r>
        <w:rPr>
          <w:rFonts w:ascii="Times New Roman" w:hAnsi="Times New Roman"/>
          <w:i/>
          <w:sz w:val="20"/>
        </w:rPr>
        <w:t>Quarterly Distribution</w:t>
      </w:r>
      <w:r>
        <w:rPr>
          <w:rFonts w:ascii="Times New Roman" w:hAnsi="Times New Roman"/>
          <w:sz w:val="20"/>
        </w:rPr>
        <w:t>”) that is in excess of the Series I Specified Distribution Amount. For purposes of this paragraph, “</w:t>
      </w:r>
      <w:r>
        <w:rPr>
          <w:rFonts w:ascii="Times New Roman" w:hAnsi="Times New Roman"/>
          <w:i/>
          <w:sz w:val="20"/>
        </w:rPr>
        <w:t>Series I Specified Distribution Amount</w:t>
      </w:r>
      <w:r>
        <w:rPr>
          <w:rFonts w:ascii="Times New Roman" w:hAnsi="Times New Roman"/>
          <w:sz w:val="20"/>
        </w:rPr>
        <w:t xml:space="preserve">” means an amount that is the greater of (A) the amount of the highest previously paid Quarterly Distribution, on a per Common Unit basis, after the date of the Energy Transfer Merger (as adjusted for combinations, splits, subdivision and similar transactions) and (B) the amount equal to 115% of the Quarterly Distribution, on a per Common Unit basis, for the immediately preceding Quarter. </w:t>
      </w:r>
    </w:p>
    <w:p>
      <w:pPr>
        <w:pStyle w:val="TextBody"/>
        <w:bidi w:val="0"/>
        <w:spacing w:before="120" w:after="0"/>
        <w:jc w:val="left"/>
        <w:rPr>
          <w:rFonts w:ascii="Times New Roman" w:hAnsi="Times New Roman"/>
          <w:sz w:val="20"/>
        </w:rPr>
      </w:pPr>
      <w:r>
        <w:rPr>
          <w:rFonts w:ascii="Times New Roman" w:hAnsi="Times New Roman"/>
          <w:sz w:val="20"/>
        </w:rPr>
        <w:t xml:space="preserve">(iv) Subject to and without limiting the other provisions of this </w:t>
      </w:r>
      <w:r>
        <w:rPr>
          <w:rFonts w:ascii="Times New Roman" w:hAnsi="Times New Roman"/>
          <w:sz w:val="20"/>
          <w:u w:val="single"/>
        </w:rPr>
        <w:t>Section 5.15</w:t>
      </w:r>
      <w:r>
        <w:rPr>
          <w:rFonts w:ascii="Times New Roman" w:hAnsi="Times New Roman"/>
          <w:sz w:val="20"/>
        </w:rPr>
        <w:t xml:space="preserve">, at any time there are accrued but unpaid distributions on the Series I Preferred Units, no special distributions shall be permitted. </w:t>
      </w:r>
    </w:p>
    <w:p>
      <w:pPr>
        <w:pStyle w:val="TextBody"/>
        <w:bidi w:val="0"/>
        <w:spacing w:before="120" w:after="0"/>
        <w:jc w:val="left"/>
        <w:rPr>
          <w:rFonts w:ascii="Times New Roman" w:hAnsi="Times New Roman"/>
          <w:sz w:val="20"/>
        </w:rPr>
      </w:pPr>
      <w:r>
        <w:rPr>
          <w:rFonts w:ascii="Times New Roman" w:hAnsi="Times New Roman"/>
          <w:sz w:val="20"/>
        </w:rPr>
        <w:t xml:space="preserve">(v) All distributions payable on the Series I Preferred Units shall be paid Quarterly, in Arrears, on the earlier of: (A) the date that distributions are made on the Common Units for such Quarter pursuant to </w:t>
      </w:r>
      <w:r>
        <w:rPr>
          <w:rFonts w:ascii="Times New Roman" w:hAnsi="Times New Roman"/>
          <w:sz w:val="20"/>
          <w:u w:val="single"/>
        </w:rPr>
        <w:t>Section 6.3(a)</w:t>
      </w:r>
      <w:r>
        <w:rPr>
          <w:rFonts w:ascii="Times New Roman" w:hAnsi="Times New Roman"/>
          <w:sz w:val="20"/>
        </w:rPr>
        <w:t xml:space="preserve">, and (B) the date that is forty-five (45) days after the end of such Quarter. </w:t>
      </w:r>
    </w:p>
    <w:p>
      <w:pPr>
        <w:pStyle w:val="TextBody"/>
        <w:bidi w:val="0"/>
        <w:spacing w:before="120" w:after="0"/>
        <w:jc w:val="left"/>
        <w:rPr>
          <w:rFonts w:ascii="Times New Roman" w:hAnsi="Times New Roman"/>
          <w:sz w:val="20"/>
        </w:rPr>
      </w:pPr>
      <w:r>
        <w:rPr>
          <w:rFonts w:ascii="Times New Roman" w:hAnsi="Times New Roman"/>
          <w:sz w:val="20"/>
        </w:rPr>
        <w:t xml:space="preserve">(vi) For the avoidance of doubt, any Available Cash that is distributed pursuant to </w:t>
      </w:r>
      <w:r>
        <w:rPr>
          <w:rFonts w:ascii="Times New Roman" w:hAnsi="Times New Roman"/>
          <w:sz w:val="20"/>
          <w:u w:val="single"/>
        </w:rPr>
        <w:t>Section 6.3</w:t>
      </w:r>
      <w:r>
        <w:rPr>
          <w:rFonts w:ascii="Times New Roman" w:hAnsi="Times New Roman"/>
          <w:sz w:val="20"/>
        </w:rPr>
        <w:t xml:space="preserve"> shall be distributed in accordance with this </w:t>
      </w:r>
      <w:r>
        <w:rPr>
          <w:rFonts w:ascii="Times New Roman" w:hAnsi="Times New Roman"/>
          <w:sz w:val="20"/>
          <w:u w:val="single"/>
        </w:rPr>
        <w:t>Section 5.15(c)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Voting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Notwithstanding anything to the contrary in this Agreement, the Series I Preferred Units shall not have any voting rights or rights to consent or approve any action or matter, except as set forth in </w:t>
      </w:r>
      <w:r>
        <w:rPr>
          <w:rFonts w:ascii="Times New Roman" w:hAnsi="Times New Roman"/>
          <w:sz w:val="20"/>
          <w:u w:val="single"/>
        </w:rPr>
        <w:t>Section 13.3(c)</w:t>
      </w:r>
      <w:r>
        <w:rPr>
          <w:rFonts w:ascii="Times New Roman" w:hAnsi="Times New Roman"/>
          <w:sz w:val="20"/>
        </w:rPr>
        <w:t xml:space="preserve">, this </w:t>
      </w:r>
      <w:r>
        <w:rPr>
          <w:rFonts w:ascii="Times New Roman" w:hAnsi="Times New Roman"/>
          <w:sz w:val="20"/>
          <w:u w:val="single"/>
        </w:rPr>
        <w:t>Section 5.15(d)</w:t>
      </w:r>
      <w:r>
        <w:rPr>
          <w:rFonts w:ascii="Times New Roman" w:hAnsi="Times New Roman"/>
          <w:sz w:val="20"/>
        </w:rPr>
        <w:t xml:space="preserve"> or as otherwise required by Texas law.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anything to the contrary in this Agreement, without the affirmative vote or consent of the holders of at least 66 2/3% of the Outstanding Series I Preferred Units, voting as a separate class, the General Partner shall not adopt any amendment to this Agreement that the General Partner determines would have a material adverse effect on the rights, powers, preferences, duties or special rights of the Series I Preferred Units;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 subject to </w:t>
      </w:r>
      <w:r>
        <w:rPr>
          <w:rFonts w:ascii="Times New Roman" w:hAnsi="Times New Roman"/>
          <w:sz w:val="20"/>
          <w:u w:val="single"/>
        </w:rPr>
        <w:t>Section 5.15(d)(iii)</w:t>
      </w:r>
      <w:r>
        <w:rPr>
          <w:rFonts w:ascii="Times New Roman" w:hAnsi="Times New Roman"/>
          <w:sz w:val="20"/>
        </w:rPr>
        <w:t xml:space="preserve">, the issuance of additional Partnership Interests (and any amendment to this Agreement in connection therewith) shall not be deemed to constitute such a material adverse effect for purposes of this </w:t>
      </w:r>
      <w:r>
        <w:rPr>
          <w:rFonts w:ascii="Times New Roman" w:hAnsi="Times New Roman"/>
          <w:sz w:val="20"/>
          <w:u w:val="single"/>
        </w:rPr>
        <w:t>Section 5.15(d)(ii)</w:t>
      </w:r>
      <w:r>
        <w:rPr>
          <w:rFonts w:ascii="Times New Roman" w:hAnsi="Times New Roman"/>
          <w:sz w:val="20"/>
        </w:rPr>
        <w:t xml:space="preserve"> and (ii) for purposes of this </w:t>
      </w:r>
      <w:r>
        <w:rPr>
          <w:rFonts w:ascii="Times New Roman" w:hAnsi="Times New Roman"/>
          <w:sz w:val="20"/>
          <w:u w:val="single"/>
        </w:rPr>
        <w:t>Section 5.15(d)(ii)</w:t>
      </w:r>
      <w:r>
        <w:rPr>
          <w:rFonts w:ascii="Times New Roman" w:hAnsi="Times New Roman"/>
          <w:sz w:val="20"/>
        </w:rPr>
        <w:t xml:space="preserve">, no amendment of this Agreement in connection with a merger or other transaction in which the Series I Preferred Units remain Outstanding with the terms thereof materially unchanged in any respect adverse to the Series I Holders (as determined by the General Partner) shall be deemed to materially and adversely affect the rights, powers, privileges or preferences of the Series I Preferred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Notwithstanding anything to the contrary in this Agreement, without the affirmative vote or consent of the holders of at least 66 2/3% of the Outstanding Series I Preferred Units, voting as a class, together with the holders of any other Series I Parity Securities upon which like voting rights have been conferred and are exercisable, the Partnership shall not (x) create or issue any Series I Parity Securities (including any additional Series I Preferred Units) if the cumulative distributions payable on Outstanding Series I Preferred Units (or any Series I Parity Securities, if the holders of such Series I Parity Securities vote as a class together with the Series I Holders pursuant to </w:t>
      </w:r>
      <w:r>
        <w:rPr>
          <w:rFonts w:ascii="Times New Roman" w:hAnsi="Times New Roman"/>
          <w:sz w:val="20"/>
          <w:u w:val="single"/>
        </w:rPr>
        <w:t>Section 5.15(c)</w:t>
      </w:r>
      <w:r>
        <w:rPr>
          <w:rFonts w:ascii="Times New Roman" w:hAnsi="Times New Roman"/>
          <w:sz w:val="20"/>
        </w:rPr>
        <w:t xml:space="preserve">) through the most recent payment date have not been paid on all Outstanding Series I Preferred Units or (y) create or issue any Series I Senior Securities. </w:t>
      </w:r>
    </w:p>
    <w:p>
      <w:pPr>
        <w:pStyle w:val="TextBody"/>
        <w:bidi w:val="0"/>
        <w:spacing w:before="120" w:after="0"/>
        <w:jc w:val="left"/>
        <w:rPr>
          <w:rFonts w:ascii="Times New Roman" w:hAnsi="Times New Roman"/>
          <w:sz w:val="20"/>
        </w:rPr>
      </w:pPr>
      <w:r>
        <w:rPr>
          <w:rFonts w:ascii="Times New Roman" w:hAnsi="Times New Roman"/>
          <w:sz w:val="20"/>
        </w:rPr>
        <w:t xml:space="preserve">(iv) For any matter described in this </w:t>
      </w:r>
      <w:r>
        <w:rPr>
          <w:rFonts w:ascii="Times New Roman" w:hAnsi="Times New Roman"/>
          <w:sz w:val="20"/>
          <w:u w:val="single"/>
        </w:rPr>
        <w:t>Section 5.15(d)</w:t>
      </w:r>
      <w:r>
        <w:rPr>
          <w:rFonts w:ascii="Times New Roman" w:hAnsi="Times New Roman"/>
          <w:sz w:val="20"/>
        </w:rPr>
        <w:t xml:space="preserve"> in which the Series I Holders are entitled to vote as a class (whether separately or together with the holders of any Series I Parity Securities), such Series I Holders shall be entitled to one vote per Series I Preferred Unit. Any Series I Preferred Units held by the Partnership or any of its Subsidiaries or their controlled Affiliates shall not be entitled to vote.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Series I Change of Control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In the event of a Series I Cash COC Event, the Series I Holders shall convert the Outstanding Series I Preferred Units into Common Units immediately prior to the closing of the Series I Cash COC Event at a conversion ratio equal to the greater of (A) the Series I Conversion Ratio and (B) the quotient of (1) the product of (a) the Series I Preferred Unit Price, multiplied by (b) the Series I Cash COC Conversion Premium, divided by (2) the VWAP Price for the 10 consecutive trading days ending immediately prior to the date of closing of the Series I Cash COC Event, subject to a $1.00 per unit floor on Common Units received, subject to payment of any accrued but unpaid distributions to the date of conversion in accordance with </w:t>
      </w:r>
      <w:r>
        <w:rPr>
          <w:rFonts w:ascii="Times New Roman" w:hAnsi="Times New Roman"/>
          <w:sz w:val="20"/>
          <w:u w:val="single"/>
        </w:rPr>
        <w:t>Section 5.15(b)(iv)</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If a Series I Change of Control (other than a Series I Cash COC Event) occurs, then each Series I Holder shall, at its sole election: </w:t>
      </w:r>
    </w:p>
    <w:p>
      <w:pPr>
        <w:pStyle w:val="TextBody"/>
        <w:bidi w:val="0"/>
        <w:spacing w:before="120" w:after="0"/>
        <w:jc w:val="left"/>
        <w:rPr>
          <w:rFonts w:ascii="Times New Roman" w:hAnsi="Times New Roman"/>
          <w:sz w:val="20"/>
        </w:rPr>
      </w:pPr>
      <w:r>
        <w:rPr>
          <w:rFonts w:ascii="Times New Roman" w:hAnsi="Times New Roman"/>
          <w:sz w:val="20"/>
        </w:rPr>
        <w:t xml:space="preserve">(A) convert all, but not less than all, Series I Preferred Units held by such Series I Holder into Common Units, at the then-applicable Series I Conversion Ratio, subject to payment of any accrued but unpaid distributions to the date of conversion in accordance with </w:t>
      </w:r>
      <w:r>
        <w:rPr>
          <w:rFonts w:ascii="Times New Roman" w:hAnsi="Times New Roman"/>
          <w:sz w:val="20"/>
          <w:u w:val="single"/>
        </w:rPr>
        <w:t>Section 5.15(b)(iv)</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if (1) either (x) the Partnership is not the Surviving Business Entity or (y) the Partnership is the Surviving Business Entity of a Series I Change of Control but the Common Units are no longer listed or admitted to trading on a National Securities Exchange and (2) the consideration per Common Unit received by the holders of Common Units in such Series I Change of Control exceeds $1.00, then, at the election of such Series I Holder, the Partnership shall use its best efforts to deliver or to cause to be delivered to the Series I Holders, in exchange for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Series I Preferred Units upon such Series I Change of Control, a security in the Surviving Business Entity that has substantially similar terms, including with respect to economics and structural protections, as the Series I Preferred Units (a “</w:t>
      </w:r>
      <w:r>
        <w:rPr>
          <w:rFonts w:ascii="Times New Roman" w:hAnsi="Times New Roman"/>
          <w:i/>
          <w:sz w:val="20"/>
        </w:rPr>
        <w:t>Substantially Equivalent Security</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if the Partnership is unable to deliver or cause to be delivered a Substantially Equivalent Security to any such electing Series I Holder in connection with such Series I Change of Control, each such Series I Holder shall be entitled to (x) take any action otherwise permitted by clause (A), (C) or (D) of this </w:t>
      </w:r>
      <w:r>
        <w:rPr>
          <w:rFonts w:ascii="Times New Roman" w:hAnsi="Times New Roman"/>
          <w:sz w:val="20"/>
          <w:u w:val="single"/>
        </w:rPr>
        <w:t>Section 5.15(e)(ii)</w:t>
      </w:r>
      <w:r>
        <w:rPr>
          <w:rFonts w:ascii="Times New Roman" w:hAnsi="Times New Roman"/>
          <w:sz w:val="20"/>
        </w:rPr>
        <w:t xml:space="preserve">, or (y) convert the Series I Preferred Units held by such Series I Holder immediately prior to such Series I Change of Control (other than (in the case of clauses (1) and (2) below) any Series I PIK Units, which, solely with respect to a Series I Change of Control contemplated by this </w:t>
      </w:r>
      <w:r>
        <w:rPr>
          <w:rFonts w:ascii="Times New Roman" w:hAnsi="Times New Roman"/>
          <w:sz w:val="20"/>
          <w:u w:val="single"/>
        </w:rPr>
        <w:t>Section 5.15(e)(ii)(B)</w:t>
      </w:r>
      <w:r>
        <w:rPr>
          <w:rFonts w:ascii="Times New Roman" w:hAnsi="Times New Roman"/>
          <w:sz w:val="20"/>
        </w:rPr>
        <w:t xml:space="preserve">, shall be extinguished for no consideration upon the closing of such Series I Change of Control) into a number of Common Units equal to: the quotient of (a) (i) 160% multiplied by the Series I Preferred Unit Price plus (ii) accrued and unpaid distributions as of the effective date of the conversion with respect to the Series I Preferred Units held by such electing Series I Holder (including any distributions paid at the Series I Deficiency Rate), divided by (b) 0.97 multiplied by the VWAP Price for the 10 consecutive trading days ending immediately prior to the date of the closing of such Series I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(C) if the Partnership is the Surviving Business Entity of such Series I Change of Control and the consideration per Common Unit received by the holders of Common Units in such Series I Change of Control exceeds $1.00, continue to hold Series I Preferred Units; or </w:t>
      </w:r>
    </w:p>
    <w:p>
      <w:pPr>
        <w:pStyle w:val="TextBody"/>
        <w:bidi w:val="0"/>
        <w:spacing w:before="120" w:after="0"/>
        <w:jc w:val="left"/>
        <w:rPr>
          <w:rFonts w:ascii="Times New Roman" w:hAnsi="Times New Roman"/>
          <w:sz w:val="20"/>
        </w:rPr>
      </w:pPr>
      <w:r>
        <w:rPr>
          <w:rFonts w:ascii="Times New Roman" w:hAnsi="Times New Roman"/>
          <w:sz w:val="20"/>
        </w:rPr>
        <w:t xml:space="preserve">(D) require the Partnership to redeem the Series I Preferred Units held by such Series I Holder at a price per Series I Preferred Unit equal to 101% of the Series I Preferred Unit Price plus accrued and unpaid distributions to the date of such redemption with respect to each of the Series I Preferred Units held by such electing Series I Holder. Any redemption pursuant to this sub-clause (D) shall, in the sole discretion of the General Partner, be paid in either cash or a number of Common Units equal to quotient of (1) the product of (a) 101% of the Series I Preferred Unit Price, multiplied by (b) the number of Series I Preferred Units owned by such Series I Holder that the Partnership has elected to redeem “in kind,” divided by (2) the greater of (i) $1.00 and (ii) the product of (x) 0.92 multiplied by (y) the VWAP Price for the 10 consecutive trading days ending immediately prior to such redemption date. Notwithstanding the preceding, the Partnership shall have no obligation to redeem any such Series I Preferred Units in cash unless such redemption complies with the restricted payments covenant in the Crestwood Indentures.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 of this </w:t>
      </w:r>
      <w:r>
        <w:rPr>
          <w:rFonts w:ascii="Times New Roman" w:hAnsi="Times New Roman"/>
          <w:sz w:val="20"/>
          <w:u w:val="single"/>
        </w:rPr>
        <w:t>Section 5.15(e)</w:t>
      </w:r>
      <w:r>
        <w:rPr>
          <w:rFonts w:ascii="Times New Roman" w:hAnsi="Times New Roman"/>
          <w:sz w:val="20"/>
        </w:rPr>
        <w:t xml:space="preserve">, any Series I Change of Control in which the consideration to be received by the holders of Common Units has a value of less than $1.00 per Common Unit shall require the affirmative vote of the then-applicable Series I Voting Threshold of the Outstanding Series I Preferred Units, voting separately as a class with one vote per Series I Preferred Unit.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Common Units delivered upon any conversion or redemption of the Series I Preferred Units in accordance with this </w:t>
      </w:r>
      <w:r>
        <w:rPr>
          <w:rFonts w:ascii="Times New Roman" w:hAnsi="Times New Roman"/>
          <w:sz w:val="20"/>
          <w:u w:val="single"/>
        </w:rPr>
        <w:t>Section 5.15(e)</w:t>
      </w:r>
      <w:r>
        <w:rPr>
          <w:rFonts w:ascii="Times New Roman" w:hAnsi="Times New Roman"/>
          <w:sz w:val="20"/>
        </w:rPr>
        <w:t xml:space="preserve"> shall be (1) newly issued and (2) duly authorized, validly issued, fully paid and non-assessable Limited Partner Interests in the Partnership, except as such non-assessability may be affected by Section 153.112 of the Texas Limited Partnership Law, and shall be free from preemptive rights and free of any lien, claim, rights or encumbrances, other than those arising under the Texas Limited Partnership Law or the Agreement.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Certificates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If requested by a Series I Holder, the Series I Preferred Units shall be evidenced by certificates in such form as the Board of Directors may approve and, subject to the satisfaction of any applicable legal, regulatory and contractual requirements, may be assigned or transferred in a manner identical to the assignment and transfer of other Units; unless and until the Board of Directors determines to assign the responsibility to another Person, the General Partner will act as the Transfer Agent for the Series I Preferred Units. The certificates evidencing Series I Preferred Units shall be separately identified and shall not bear the same CUSIP number as the certificates evidencing Common Units. </w:t>
      </w:r>
    </w:p>
    <w:p>
      <w:pPr>
        <w:pStyle w:val="TextBody"/>
        <w:bidi w:val="0"/>
        <w:spacing w:before="120" w:after="0"/>
        <w:jc w:val="left"/>
        <w:rPr>
          <w:rFonts w:ascii="Times New Roman" w:hAnsi="Times New Roman"/>
          <w:sz w:val="20"/>
        </w:rPr>
      </w:pPr>
      <w:r>
        <w:rPr>
          <w:rFonts w:ascii="Times New Roman" w:hAnsi="Times New Roman"/>
          <w:sz w:val="20"/>
        </w:rPr>
        <w:t xml:space="preserve">(ii) The certificate(s) representing the Series I Preferred Units may be imprinted with a legend in substantially the following form: </w:t>
      </w:r>
    </w:p>
    <w:p>
      <w:pPr>
        <w:pStyle w:val="TextBody"/>
        <w:bidi w:val="0"/>
        <w:spacing w:before="120" w:after="0"/>
        <w:jc w:val="left"/>
        <w:rPr/>
      </w:pPr>
      <w:r>
        <w:rPr/>
        <w:t>“</w:t>
      </w:r>
      <w:r>
        <w:rPr>
          <w:rFonts w:ascii="Times New Roman" w:hAnsi="Times New Roman"/>
          <w:sz w:val="20"/>
        </w:rPr>
        <w:t xml:space="preserve">THESE SECURITIES HAVE NOT BEEN REGISTERED UNDER THE SECURITIES ACT OF 1933, AS AMENDED, OR ANY STATE SECURITIES LAWS. THESE SECURITIES MAY NOT BE SOLD, OFFERED FOR SALE, PLEDGED, HYPOTHECATED OR OTHERWISE TRANSFERRED IN THE ABSENCE OF A REGISTRATION STATEMENT IN EFFECT WITH RESPECT TO THE SECURITIES UNDER SUCH ACT OR PURSUANT TO AN EXEMPTION FROM REGISTRATION THEREUNDER AND, IN THE CASE OF A TRANSACTION EXEMPT FROM REGISTRATION, UNLESS SOLD PURSUANT TO RULE 144 UNDER SUCH ACT OR THE ISSUER HAS RECEIVED DOCUMENTATION REASONABLY SATISFACTORY TO IT THAT SUCH TRANSACTION DOES NOT REQUIRE REGISTRATION UNDER SUCH ACT. THIS SECURITY IS SUBJECT TO CERTAIN RESTRICTIONS ON TRANSFER SET FORTH IN THE AGREEMENT OF LIMITED PARTNERSHIP OF THE PARTNERSHIP, AS AMENDED, A COPY OF WHICH MAY BE OBTAINED FROM THE PARTNERSHIP AT ITS PRINCIPAL EXECUTIVE OFFICES.”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 sale of Series I Preferred Units pursuant to an effective registration statement or in reliance on Rule 144 of the rules and regulations promulgated under the Securities Act, upon receipt by the Partnership of such information as the Partnership reasonably deems necessary to determine that the sale of the Series I Preferred Units is made in compliance with Rule 144, the Partnership shall remove or cause to be removed the restrictive legend from the certificate(s) representing such Series I Preferred Units (or the book-entry account maintained by the Transfer Agent), and the Partnership shall bear all costs associated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Liquidation Rights</w:t>
      </w:r>
      <w:r>
        <w:rPr>
          <w:rFonts w:ascii="Times New Roman" w:hAnsi="Times New Roman"/>
          <w:sz w:val="20"/>
        </w:rPr>
        <w:t xml:space="preserve">. In the event of the dissolution and winding up of the Partnership under </w:t>
      </w:r>
      <w:r>
        <w:rPr>
          <w:rFonts w:ascii="Times New Roman" w:hAnsi="Times New Roman"/>
          <w:sz w:val="20"/>
          <w:u w:val="single"/>
        </w:rPr>
        <w:t>Section 12.4</w:t>
      </w:r>
      <w:r>
        <w:rPr>
          <w:rFonts w:ascii="Times New Roman" w:hAnsi="Times New Roman"/>
          <w:sz w:val="20"/>
        </w:rPr>
        <w:t xml:space="preserve"> or a sale, exchange, or other disposition of all or substantially all of the assets of the Partnership, either voluntary or involuntary, the Record Holders of the Series I Preferred Units shall be entitled to receive, out of the assets of the Partnership available for distribution to the Partners or any Assignees, prior and in preference to any distribution of any assets of the Partnership to the Record Holders of any other class or series of Partnership Interests (other than Series I Senior Securities or Series I Parity Securities), the positive value in each such holder’s Capital Account in respect of such Series I Preferred Units. If in the year of such dissolution and winding up, or sale, exchange, or other disposition of all or substantially all of the assets of the Partnership, any such Record Holder’s Capital Account in respect of such Series I Preferred Units is less than the aggregate Series I Base Liquidation Preference of such Series I Preferred Units, then, notwithstanding anything to the contrary contained in this Agreement, and prior to any other allocation pursuant to this Agreement for such year and any distribution pursuant to the preceding sentence (other than any allocations or distributions made with respect to any other Series I Parity Securities upon which like allocation and distribution rights have been conferred), items of gross income and gain shall be allocated to all Unitholders then holding Series I Preferred Units, Pro Rata, until the Capital Account in respect of each Outstanding Series I Preferred Unit is equal to the Series I Base Liquidation Preference (and no other allocation pursuant to this Agreement shall reverse the effect of such allocation);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in the event that like allocation rights have been conferred upon other Series I Parity Securities (including pursuant to </w:t>
      </w:r>
      <w:r>
        <w:rPr>
          <w:rFonts w:ascii="Times New Roman" w:hAnsi="Times New Roman"/>
          <w:sz w:val="20"/>
          <w:u w:val="single"/>
        </w:rPr>
        <w:t>Sections 5.11(b)(v)</w:t>
      </w:r>
      <w:r>
        <w:rPr>
          <w:rFonts w:ascii="Times New Roman" w:hAnsi="Times New Roman"/>
          <w:sz w:val="20"/>
        </w:rPr>
        <w:t xml:space="preserve">, </w:t>
      </w:r>
      <w:r>
        <w:rPr>
          <w:rFonts w:ascii="Times New Roman" w:hAnsi="Times New Roman"/>
          <w:sz w:val="20"/>
          <w:u w:val="single"/>
        </w:rPr>
        <w:t>5.12(b)(v)</w:t>
      </w:r>
      <w:r>
        <w:rPr>
          <w:rFonts w:ascii="Times New Roman" w:hAnsi="Times New Roman"/>
          <w:sz w:val="20"/>
        </w:rPr>
        <w:t xml:space="preserve"> and </w:t>
      </w:r>
      <w:r>
        <w:rPr>
          <w:rFonts w:ascii="Times New Roman" w:hAnsi="Times New Roman"/>
          <w:sz w:val="20"/>
          <w:u w:val="single"/>
        </w:rPr>
        <w:t>5.14(b)(v)</w:t>
      </w:r>
      <w:r>
        <w:rPr>
          <w:rFonts w:ascii="Times New Roman" w:hAnsi="Times New Roman"/>
          <w:sz w:val="20"/>
        </w:rPr>
        <w:t xml:space="preserve">), then items of gross income and gain shall be allocated to all Unitholders then holding Series I Preferred Units and such Series I Parity Securities, Pro Rata, until the Capital Account in respect of each Outstanding Series I Preferred Unit and such Series I Parity Security is equal to the applicable liquidation preference (and no other allocation pursuant to this Agreement shall reverse the effect of such allocation). If in the year of such dissolution and winding up any such Record Holder’s Capital Account in respect of such Series I Preferred Units is less than the aggregate Series I Base Liquidation Preference of such Series I Preferred Units after the application of the preceding sentence, then to the extent permitted by applicable law, but otherwise notwithstanding anything to the contrary contained in this Agreement, items of gross income and gain for any preceding taxable year(s) with respect to which IRS Form 1065 Schedules K-1 have not been filed by the Partnership shall be reallocated to all Unitholders then holding Series I Preferred Units, Pro Rata, until the Capital Account in respect of each such Outstanding Series I Preferred Unit after making allocations pursuant to this and the immediately preceding sentence is equal to the Series I Base Liquidation Preference (and no other allocation pursuant to this Agreement shall reverse the effect of such allocation);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in the event like allocation rights have been conferred upon other Series I Parity Securities (including pursuant to </w:t>
      </w:r>
      <w:r>
        <w:rPr>
          <w:rFonts w:ascii="Times New Roman" w:hAnsi="Times New Roman"/>
          <w:sz w:val="20"/>
          <w:u w:val="single"/>
        </w:rPr>
        <w:t>Sections 5.11(b)(v)</w:t>
      </w:r>
      <w:r>
        <w:rPr>
          <w:rFonts w:ascii="Times New Roman" w:hAnsi="Times New Roman"/>
          <w:sz w:val="20"/>
        </w:rPr>
        <w:t xml:space="preserve">, </w:t>
      </w:r>
      <w:r>
        <w:rPr>
          <w:rFonts w:ascii="Times New Roman" w:hAnsi="Times New Roman"/>
          <w:sz w:val="20"/>
          <w:u w:val="single"/>
        </w:rPr>
        <w:t>5.12(b)(v)</w:t>
      </w:r>
      <w:r>
        <w:rPr>
          <w:rFonts w:ascii="Times New Roman" w:hAnsi="Times New Roman"/>
          <w:sz w:val="20"/>
        </w:rPr>
        <w:t xml:space="preserve"> and </w:t>
      </w:r>
      <w:r>
        <w:rPr>
          <w:rFonts w:ascii="Times New Roman" w:hAnsi="Times New Roman"/>
          <w:sz w:val="20"/>
          <w:u w:val="single"/>
        </w:rPr>
        <w:t>5.14(b)(v)</w:t>
      </w:r>
      <w:r>
        <w:rPr>
          <w:rFonts w:ascii="Times New Roman" w:hAnsi="Times New Roman"/>
          <w:sz w:val="20"/>
        </w:rPr>
        <w:t xml:space="preserve">), then any such items of gross income and gain shall be reallocated to all Unitholders then holding Series I Preferred Units and such Series I Parity Securities, Pro Rata, until the Capital Account in respect of each Outstanding Series I Preferred Unit and such Series I Parity Security after making allocations pursuant to this and the immediately preceding sentence is equal to the applicable liquidation preference (and no other allocation pursuant to this Agreement shall reverse the effect of such allocation). After such allocations have been made to the Outstanding Series I Preferred Units and any Series I Parity Securities, as applicable, any remaining Net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Gain or Net Termination Loss shall be allocated to the Partners pursuant to </w:t>
      </w:r>
      <w:r>
        <w:rPr>
          <w:rFonts w:ascii="Times New Roman" w:hAnsi="Times New Roman"/>
          <w:sz w:val="20"/>
          <w:u w:val="single"/>
        </w:rPr>
        <w:t>Section 6.1(c)</w:t>
      </w:r>
      <w:r>
        <w:rPr>
          <w:rFonts w:ascii="Times New Roman" w:hAnsi="Times New Roman"/>
          <w:sz w:val="20"/>
        </w:rPr>
        <w:t xml:space="preserve"> or </w:t>
      </w:r>
      <w:r>
        <w:rPr>
          <w:rFonts w:ascii="Times New Roman" w:hAnsi="Times New Roman"/>
          <w:sz w:val="20"/>
          <w:u w:val="single"/>
        </w:rPr>
        <w:t>Section 6.1(d)</w:t>
      </w:r>
      <w:r>
        <w:rPr>
          <w:rFonts w:ascii="Times New Roman" w:hAnsi="Times New Roman"/>
          <w:sz w:val="20"/>
        </w:rPr>
        <w:t xml:space="preserve">, as the case may be. At the time of the dissolution of the Partnership, subject to Sections 11.053 and 153.210 of the Texas Limited Partnership Law, the Record Holders of the Series I Preferred Units shall become entitled to receive any distributions in respect of the Series I Preferred Units that are accrued and unpaid as of the date of such distribution, and shall have the status of, and shall be entitled to all remedies available to, a creditor of the Partnership, and such entitlement of the Record Holders of the Series I Preferred Units to such accrued and unpaid distributions shall have priority over any entitlement of any other Partners or Assignees (other than holders of any Series I Senior Securities or Series I Parity Securities) with respect to any distributions by the Partnership to such other Partners or Assignees;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General Partner, as such, will have no liability for any obligations with respect to such distributions to any Record Holder(s) of Series I Preferred Units.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Rank</w:t>
      </w:r>
      <w:r>
        <w:rPr>
          <w:rFonts w:ascii="Times New Roman" w:hAnsi="Times New Roman"/>
          <w:sz w:val="20"/>
        </w:rPr>
        <w:t xml:space="preserve">. The Series I Preferred Units shall each be deemed to rank as to distributions on such Partnership Securities and distributions upon liquidation of the Partnership: </w:t>
      </w:r>
    </w:p>
    <w:p>
      <w:pPr>
        <w:pStyle w:val="TextBody"/>
        <w:bidi w:val="0"/>
        <w:spacing w:before="120" w:after="0"/>
        <w:jc w:val="left"/>
        <w:rPr>
          <w:rFonts w:ascii="Times New Roman" w:hAnsi="Times New Roman"/>
          <w:sz w:val="20"/>
        </w:rPr>
      </w:pPr>
      <w:r>
        <w:rPr>
          <w:rFonts w:ascii="Times New Roman" w:hAnsi="Times New Roman"/>
          <w:sz w:val="20"/>
        </w:rPr>
        <w:t xml:space="preserve">(i) senior to any Series I Junior Securities; </w:t>
      </w:r>
    </w:p>
    <w:p>
      <w:pPr>
        <w:pStyle w:val="TextBody"/>
        <w:bidi w:val="0"/>
        <w:spacing w:before="120" w:after="0"/>
        <w:jc w:val="left"/>
        <w:rPr>
          <w:rFonts w:ascii="Times New Roman" w:hAnsi="Times New Roman"/>
          <w:sz w:val="20"/>
        </w:rPr>
      </w:pPr>
      <w:r>
        <w:rPr>
          <w:rFonts w:ascii="Times New Roman" w:hAnsi="Times New Roman"/>
          <w:sz w:val="20"/>
        </w:rPr>
        <w:t xml:space="preserve">(ii) on a parity with any Series I Parity Securities; </w:t>
      </w:r>
    </w:p>
    <w:p>
      <w:pPr>
        <w:pStyle w:val="TextBody"/>
        <w:bidi w:val="0"/>
        <w:spacing w:before="120" w:after="0"/>
        <w:jc w:val="left"/>
        <w:rPr>
          <w:rFonts w:ascii="Times New Roman" w:hAnsi="Times New Roman"/>
          <w:sz w:val="20"/>
        </w:rPr>
      </w:pPr>
      <w:r>
        <w:rPr>
          <w:rFonts w:ascii="Times New Roman" w:hAnsi="Times New Roman"/>
          <w:sz w:val="20"/>
        </w:rPr>
        <w:t xml:space="preserve">(iii) junior to any Series I Senior Securities; and </w:t>
      </w:r>
    </w:p>
    <w:p>
      <w:pPr>
        <w:pStyle w:val="TextBody"/>
        <w:bidi w:val="0"/>
        <w:spacing w:before="120" w:after="0"/>
        <w:jc w:val="left"/>
        <w:rPr>
          <w:rFonts w:ascii="Times New Roman" w:hAnsi="Times New Roman"/>
          <w:sz w:val="20"/>
        </w:rPr>
      </w:pPr>
      <w:r>
        <w:rPr>
          <w:rFonts w:ascii="Times New Roman" w:hAnsi="Times New Roman"/>
          <w:sz w:val="20"/>
        </w:rPr>
        <w:t xml:space="preserve">(iv) junior to all existing and future indebtedness of the Partnership and other liabilities with respect to assets available to satisfy claims against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No Sinking Fund</w:t>
      </w:r>
      <w:r>
        <w:rPr>
          <w:rFonts w:ascii="Times New Roman" w:hAnsi="Times New Roman"/>
          <w:sz w:val="20"/>
        </w:rPr>
        <w:t xml:space="preserve">. The Series I Preferred Units shall not have the benefit of any sinking fund.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Record Holders</w:t>
      </w:r>
      <w:r>
        <w:rPr>
          <w:rFonts w:ascii="Times New Roman" w:hAnsi="Times New Roman"/>
          <w:sz w:val="20"/>
        </w:rPr>
        <w:t xml:space="preserve">. To the fullest extent permitted by applicable law, the General Partner, the Partnership, the Transfer Agent, and the Paying Agent may deem and treat any Series I Holder as the true, lawful, and absolute owner of the applicable Series I Preferred Units for all purposes, and none of the General Partner, the Partnership, the Transfer Agent or the Paying Agent shall be affected by any notice to the contrary, except as otherwise provided by law or any applicable rule, regulation, guideline or requirement of any National Securities Exchange on which the Series I Preferred Units may be listed or admitted to trading, if any.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Notices</w:t>
      </w:r>
      <w:r>
        <w:rPr>
          <w:rFonts w:ascii="Times New Roman" w:hAnsi="Times New Roman"/>
          <w:sz w:val="20"/>
        </w:rPr>
        <w:t xml:space="preserve">. All notices or other communications in respect of Series I Holders shall be sufficiently given (i) if given in writing and either delivered in person or by first class mail, postage prepaid, or (ii) if given in such other manner as may be permitted in this </w:t>
      </w:r>
      <w:r>
        <w:rPr>
          <w:rFonts w:ascii="Times New Roman" w:hAnsi="Times New Roman"/>
          <w:sz w:val="20"/>
          <w:u w:val="single"/>
        </w:rPr>
        <w:t>Section 5.15</w:t>
      </w:r>
      <w:r>
        <w:rPr>
          <w:rFonts w:ascii="Times New Roman" w:hAnsi="Times New Roman"/>
          <w:sz w:val="20"/>
        </w:rPr>
        <w:t xml:space="preserve">, this Agreement or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Other Rights</w:t>
      </w:r>
      <w:r>
        <w:rPr>
          <w:rFonts w:ascii="Times New Roman" w:hAnsi="Times New Roman"/>
          <w:sz w:val="20"/>
        </w:rPr>
        <w:t xml:space="preserve">. The Series I Preferred Units and the Series I Holders shall not have any designations, preferences, rights, powers or duties, other than as set forth in this Agreement or as provided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Right to Acquire Series I Preferred 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Notwithstanding any other provision of this Agreement, if at any time not more than 20% of the total Outstanding Series I Preferred Units is held by Persons other than the General Partner and its Affiliates, the General Partner shall then have the right, which right it may assign and transfer in whole or in part to the Partnership or any Affiliate of the General Partner, exercisable in its sole discretion, to purchase all, but not less than all, of such Series I Preferred Units then Outstanding held by Persons other than the General Partner and its Affiliates, at the greater of (x) the Series I Current Market Price as of the date three days prior to the date that the notice described in </w:t>
      </w:r>
      <w:r>
        <w:rPr>
          <w:rFonts w:ascii="Times New Roman" w:hAnsi="Times New Roman"/>
          <w:sz w:val="20"/>
          <w:u w:val="single"/>
        </w:rPr>
        <w:t>Section 5.15(m)(ii)</w:t>
      </w:r>
      <w:r>
        <w:rPr>
          <w:rFonts w:ascii="Times New Roman" w:hAnsi="Times New Roman"/>
          <w:sz w:val="20"/>
        </w:rPr>
        <w:t xml:space="preserve"> is mailed and (y) the highest price paid by a General Partner or any of its Affiliates for any such Limited Partner Interest of such class purchased during the 90-day period preceding the date that the notice described in </w:t>
      </w:r>
      <w:r>
        <w:rPr>
          <w:rFonts w:ascii="Times New Roman" w:hAnsi="Times New Roman"/>
          <w:sz w:val="20"/>
          <w:u w:val="single"/>
        </w:rPr>
        <w:t>Section 5.15(m)(ii)</w:t>
      </w:r>
      <w:r>
        <w:rPr>
          <w:rFonts w:ascii="Times New Roman" w:hAnsi="Times New Roman"/>
          <w:sz w:val="20"/>
        </w:rPr>
        <w:t xml:space="preserve"> is mailed. As used in this Agreement, “</w:t>
      </w:r>
      <w:r>
        <w:rPr>
          <w:rFonts w:ascii="Times New Roman" w:hAnsi="Times New Roman"/>
          <w:i/>
          <w:sz w:val="20"/>
        </w:rPr>
        <w:t>Series I Current Market Price</w:t>
      </w:r>
      <w:r>
        <w:rPr>
          <w:rFonts w:ascii="Times New Roman" w:hAnsi="Times New Roman"/>
          <w:sz w:val="20"/>
        </w:rPr>
        <w:t xml:space="preserve">” as of any date of the Series I Preferred Units means the average of the daily Closing Price per Series I Preferred Unit for the 20 consecutive Trading Days immediately prior to such date. </w:t>
      </w:r>
    </w:p>
    <w:p>
      <w:pPr>
        <w:pStyle w:val="TextBody"/>
        <w:bidi w:val="0"/>
        <w:spacing w:before="120" w:after="0"/>
        <w:jc w:val="left"/>
        <w:rPr>
          <w:rFonts w:ascii="Times New Roman" w:hAnsi="Times New Roman"/>
          <w:sz w:val="20"/>
        </w:rPr>
      </w:pPr>
      <w:r>
        <w:rPr>
          <w:rFonts w:ascii="Times New Roman" w:hAnsi="Times New Roman"/>
          <w:sz w:val="20"/>
        </w:rPr>
        <w:t xml:space="preserve">(ii) If the General Partner, any Affiliate of the General Partner or the Partnership elects to exercise the right to purchase the Series I Preferred Units granted pursuant to </w:t>
      </w:r>
      <w:r>
        <w:rPr>
          <w:rFonts w:ascii="Times New Roman" w:hAnsi="Times New Roman"/>
          <w:sz w:val="20"/>
          <w:u w:val="single"/>
        </w:rPr>
        <w:t>Section 5.15(m)(i)</w:t>
      </w:r>
      <w:r>
        <w:rPr>
          <w:rFonts w:ascii="Times New Roman" w:hAnsi="Times New Roman"/>
          <w:sz w:val="20"/>
        </w:rPr>
        <w:t xml:space="preserve">, the General Partner shall deliver to the Transfer Agent the Notice of Election to Purchase and shall cause the Transfer Agent to mail a copy of such Notice of Election to Purchase to the Record Holders of Series I Preferred Units (as of a Record Date selected by the General Partner) at least 10, but not more than 60, days prior to the Purchase Date. Such Notice of Election to Purchase shall also be published for a period of at least three consecutive days in at least two daily newspapers of general circulation printed in the English language and published in the Borough of Manhattan, New York. The Notice of Election to Purchase shall specify the Purchase Date and the price (determined in accordance with </w:t>
      </w:r>
      <w:r>
        <w:rPr>
          <w:rFonts w:ascii="Times New Roman" w:hAnsi="Times New Roman"/>
          <w:sz w:val="20"/>
          <w:u w:val="single"/>
        </w:rPr>
        <w:t>Section 5.15(m)(i)</w:t>
      </w:r>
      <w:r>
        <w:rPr>
          <w:rFonts w:ascii="Times New Roman" w:hAnsi="Times New Roman"/>
          <w:sz w:val="20"/>
        </w:rPr>
        <w:t xml:space="preserve">) at which Series I Preferred Units will be purchased and state that the General Partner, its Affiliate or the Partnership, as the case may be, elects to purchase such Series I Preferred Units, upon surrender of Certificates representing such Series I Preferred Units in exchange for payment, at such office or offices of the Transfer Agent as the Transfer Agent may specify, or as may be required by any National Securities Exchange on which such Series I Preferred Units are listed or admitted to trading. Any such Notice of Election to Purchase mailed to a Record Holder of Series I Preferred Units at his address as reflected in the records of the Transfer Agent shall be conclusively presumed to have been given regardless of whether the owner receives such notice. On or prior to the Purchase Date, the General Partner, its Affiliate or the Partnership, as the case may be, shall deposit with the Transfer Agent cash in an amount sufficient to pay the aggregate purchase price of all of such Series I Preferred Units to be purchased in accordance with this </w:t>
      </w:r>
      <w:r>
        <w:rPr>
          <w:rFonts w:ascii="Times New Roman" w:hAnsi="Times New Roman"/>
          <w:sz w:val="20"/>
          <w:u w:val="single"/>
        </w:rPr>
        <w:t>Section 5.15(m)</w:t>
      </w:r>
      <w:r>
        <w:rPr>
          <w:rFonts w:ascii="Times New Roman" w:hAnsi="Times New Roman"/>
          <w:sz w:val="20"/>
        </w:rPr>
        <w:t xml:space="preserve">. If the Notice of Election to Purchase shall have been duly given as aforesaid at least 10 days prior to the Purchase Date, and if on or prior to the Purchase Date the deposit described in the preceding sentence has been made for the benefit of the holders of Series I Preferred Units subject to purchase as provided herein, then from and after the Purchase Date, notwithstanding that any Certificate shall not have been surrendered for purchase, all rights of the holders of such Series I Preferred Units shall thereupon cease, except the right to receive the purchase price (determined in accordance with </w:t>
      </w:r>
      <w:r>
        <w:rPr>
          <w:rFonts w:ascii="Times New Roman" w:hAnsi="Times New Roman"/>
          <w:sz w:val="20"/>
          <w:u w:val="single"/>
        </w:rPr>
        <w:t>Section 5.15(m)(i)</w:t>
      </w:r>
      <w:r>
        <w:rPr>
          <w:rFonts w:ascii="Times New Roman" w:hAnsi="Times New Roman"/>
          <w:sz w:val="20"/>
        </w:rPr>
        <w:t xml:space="preserve">) for Series I Preferred Units therefor, without interest, upon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surrender to the Transfer Agent of the Certificates representing such Series I Preferred Units, and such Series I Preferred Units shall thereupon be deemed to be transferred to the General Partner, its Affiliate or the Partnership, as the case may be, on the record books of the Transfer Agent and the Partnership, and the General Partner or any Affiliate of the General Partner, or the Partnership, as the case may be, shall be deemed to be the owner of all such Series I Preferred Units from and after the Purchase Date and shall have all rights as the owner of such Series I Preferred Units. </w:t>
      </w:r>
    </w:p>
    <w:p>
      <w:pPr>
        <w:pStyle w:val="TextBody"/>
        <w:bidi w:val="0"/>
        <w:spacing w:before="120" w:after="0"/>
        <w:jc w:val="left"/>
        <w:rPr>
          <w:rFonts w:ascii="Times New Roman" w:hAnsi="Times New Roman"/>
          <w:sz w:val="20"/>
        </w:rPr>
      </w:pPr>
      <w:r>
        <w:rPr>
          <w:rFonts w:ascii="Times New Roman" w:hAnsi="Times New Roman"/>
          <w:sz w:val="20"/>
        </w:rPr>
        <w:t xml:space="preserve">(iii) At any time from and after the Purchase Date, a holder of an Outstanding Series I Preferred Unit subject to purchase as provided in this </w:t>
      </w:r>
      <w:r>
        <w:rPr>
          <w:rFonts w:ascii="Times New Roman" w:hAnsi="Times New Roman"/>
          <w:sz w:val="20"/>
          <w:u w:val="single"/>
        </w:rPr>
        <w:t>Section 5.15(m)</w:t>
      </w:r>
      <w:r>
        <w:rPr>
          <w:rFonts w:ascii="Times New Roman" w:hAnsi="Times New Roman"/>
          <w:sz w:val="20"/>
        </w:rPr>
        <w:t xml:space="preserve"> may surrender his Certificate evidencing such Series I Preferred Unit to the Transfer Agent in exchange for payment of the amount described in </w:t>
      </w:r>
      <w:r>
        <w:rPr>
          <w:rFonts w:ascii="Times New Roman" w:hAnsi="Times New Roman"/>
          <w:sz w:val="20"/>
          <w:u w:val="single"/>
        </w:rPr>
        <w:t>Section 5.15(m)</w:t>
      </w:r>
      <w:r>
        <w:rPr>
          <w:rFonts w:ascii="Times New Roman" w:hAnsi="Times New Roman"/>
          <w:sz w:val="20"/>
        </w:rPr>
        <w:t xml:space="preserve">, therefor, without interest thereon.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ALLOCATIONS AND DISTRIBUTIONS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Allocations for Capital Account Purposes</w:t>
      </w:r>
      <w:r>
        <w:rPr>
          <w:rFonts w:ascii="Times New Roman" w:hAnsi="Times New Roman"/>
          <w:sz w:val="20"/>
        </w:rPr>
        <w:t xml:space="preserve">. For purposes of maintaining Capital Accounts and in determining the rights of the Partners among themselves, the Partnership’s items of income, gain, loss and deduction (computed in accordance with </w:t>
      </w:r>
      <w:r>
        <w:rPr>
          <w:rFonts w:ascii="Times New Roman" w:hAnsi="Times New Roman"/>
          <w:sz w:val="20"/>
          <w:u w:val="single"/>
        </w:rPr>
        <w:t>Section 5.5(b)</w:t>
      </w:r>
      <w:r>
        <w:rPr>
          <w:rFonts w:ascii="Times New Roman" w:hAnsi="Times New Roman"/>
          <w:sz w:val="20"/>
        </w:rPr>
        <w:t xml:space="preserve">) shall be allocated among the Partners in each taxable year (or portion thereof) as provided herein below.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Net Income</w:t>
      </w:r>
      <w:r>
        <w:rPr>
          <w:rFonts w:ascii="Times New Roman" w:hAnsi="Times New Roman"/>
          <w:sz w:val="20"/>
        </w:rPr>
        <w:t xml:space="preserve">. After giving effect to the special allocations set forth in </w:t>
      </w:r>
      <w:r>
        <w:rPr>
          <w:rFonts w:ascii="Times New Roman" w:hAnsi="Times New Roman"/>
          <w:sz w:val="20"/>
          <w:u w:val="single"/>
        </w:rPr>
        <w:t>Section 6.1(d)</w:t>
      </w:r>
      <w:r>
        <w:rPr>
          <w:rFonts w:ascii="Times New Roman" w:hAnsi="Times New Roman"/>
          <w:sz w:val="20"/>
        </w:rPr>
        <w:t xml:space="preserve"> and as otherwise provided in </w:t>
      </w:r>
      <w:r>
        <w:rPr>
          <w:rFonts w:ascii="Times New Roman" w:hAnsi="Times New Roman"/>
          <w:sz w:val="20"/>
          <w:u w:val="single"/>
        </w:rPr>
        <w:t>Article V</w:t>
      </w:r>
      <w:r>
        <w:rPr>
          <w:rFonts w:ascii="Times New Roman" w:hAnsi="Times New Roman"/>
          <w:sz w:val="20"/>
        </w:rPr>
        <w:t xml:space="preserve">, Net Income for each taxable year and all items of income, gain, loss and deduction taken into account in computing Net Income for such taxable year shall be allocated as follows: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First</w:t>
      </w:r>
      <w:r>
        <w:rPr>
          <w:rFonts w:ascii="Times New Roman" w:hAnsi="Times New Roman"/>
          <w:sz w:val="20"/>
        </w:rPr>
        <w:t xml:space="preserve">, 100% to the General Partner until the aggregate Net Income allocated to the General Partner pursuant to this </w:t>
      </w:r>
      <w:r>
        <w:rPr>
          <w:rFonts w:ascii="Times New Roman" w:hAnsi="Times New Roman"/>
          <w:sz w:val="20"/>
          <w:u w:val="single"/>
        </w:rPr>
        <w:t>Section 6.1(a)(i)</w:t>
      </w:r>
      <w:r>
        <w:rPr>
          <w:rFonts w:ascii="Times New Roman" w:hAnsi="Times New Roman"/>
          <w:sz w:val="20"/>
        </w:rPr>
        <w:t xml:space="preserve"> for the current taxable year and all previous taxable years is equal to the aggregate Net Losses allocated to the General Partner pursuant to </w:t>
      </w:r>
      <w:r>
        <w:rPr>
          <w:rFonts w:ascii="Times New Roman" w:hAnsi="Times New Roman"/>
          <w:sz w:val="20"/>
          <w:u w:val="single"/>
        </w:rPr>
        <w:t>Section 6.1(b)(iv)</w:t>
      </w:r>
      <w:r>
        <w:rPr>
          <w:rFonts w:ascii="Times New Roman" w:hAnsi="Times New Roman"/>
          <w:sz w:val="20"/>
        </w:rPr>
        <w:t xml:space="preserve"> for all previous taxable years;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Second</w:t>
      </w:r>
      <w:r>
        <w:rPr>
          <w:rFonts w:ascii="Times New Roman" w:hAnsi="Times New Roman"/>
          <w:sz w:val="20"/>
        </w:rPr>
        <w:t xml:space="preserve">, to all Series B Holders, Series G Holders, Series H Holders and Series I Holders, in proportion to, and to the extent of the Net Loss allocated to such Series B Holders, Series G Holders, Series H Holders and Series I Holders pursuant to </w:t>
      </w:r>
      <w:r>
        <w:rPr>
          <w:rFonts w:ascii="Times New Roman" w:hAnsi="Times New Roman"/>
          <w:sz w:val="20"/>
          <w:u w:val="single"/>
        </w:rPr>
        <w:t>Section 6.1(b)(iii)</w:t>
      </w:r>
      <w:r>
        <w:rPr>
          <w:rFonts w:ascii="Times New Roman" w:hAnsi="Times New Roman"/>
          <w:sz w:val="20"/>
        </w:rPr>
        <w:t xml:space="preserve"> for all previous taxable years, until the aggregate amount of Net Income allocated to such Series B Holders, Series G Holders, Series H Holders and Series I Holders pursuant to this </w:t>
      </w:r>
      <w:r>
        <w:rPr>
          <w:rFonts w:ascii="Times New Roman" w:hAnsi="Times New Roman"/>
          <w:sz w:val="20"/>
          <w:u w:val="single"/>
        </w:rPr>
        <w:t>Section 6.1(a)(ii)</w:t>
      </w:r>
      <w:r>
        <w:rPr>
          <w:rFonts w:ascii="Times New Roman" w:hAnsi="Times New Roman"/>
          <w:sz w:val="20"/>
        </w:rPr>
        <w:t xml:space="preserve"> for the current and all previous taxable years is equal to the aggregate amount of Net Loss allocated to such Series B Holders, Series G Holders, Series H Holders and Series I Holders pursuant to </w:t>
      </w:r>
      <w:r>
        <w:rPr>
          <w:rFonts w:ascii="Times New Roman" w:hAnsi="Times New Roman"/>
          <w:sz w:val="20"/>
          <w:u w:val="single"/>
        </w:rPr>
        <w:t>Section 6.1(b)(iii)</w:t>
      </w:r>
      <w:r>
        <w:rPr>
          <w:rFonts w:ascii="Times New Roman" w:hAnsi="Times New Roman"/>
          <w:sz w:val="20"/>
        </w:rPr>
        <w:t xml:space="preserve"> for all previous taxable years; </w:t>
      </w:r>
      <w:r>
        <w:rPr>
          <w:rFonts w:ascii="Times New Roman" w:hAnsi="Times New Roman"/>
          <w:sz w:val="20"/>
          <w:u w:val="single"/>
        </w:rPr>
        <w:t xml:space="preserve">provided </w:t>
      </w:r>
      <w:r>
        <w:rPr>
          <w:rFonts w:ascii="Times New Roman" w:hAnsi="Times New Roman"/>
          <w:sz w:val="20"/>
        </w:rPr>
        <w:t xml:space="preserve">that in no event shall Net Income be allocated to any such Series B Holders, Series G Holders, Series H Holders and Series I Holders to cause its Capital Account in respect of a Series B Preferred Unit, a Series G Preferred Unit, a Series H Preferred Unit or a Series I Preferred Unit to exceed the Series B Base Liquidation Preference, the Series G Base Liquidation Preference, the Series H Base Liquidation Preference or the Series I Base Liquidation Preference in respect of such Series B Preferred Units, Series G Preferred Units, Series H Preferred Units or Series I Preferred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Third</w:t>
      </w:r>
      <w:r>
        <w:rPr>
          <w:rFonts w:ascii="Times New Roman" w:hAnsi="Times New Roman"/>
          <w:sz w:val="20"/>
        </w:rPr>
        <w:t xml:space="preserve">, 100% to the Unitholders (other than Series B Holders, Series G Holders, Series H Holders and Series I Holders), in accordance with their respective Percentage Interests, until the aggregate Net Income allocated to such Unitholders pursuant to this </w:t>
      </w:r>
      <w:r>
        <w:rPr>
          <w:rFonts w:ascii="Times New Roman" w:hAnsi="Times New Roman"/>
          <w:sz w:val="20"/>
          <w:u w:val="single"/>
        </w:rPr>
        <w:t>Section 6.1(a)(iii)</w:t>
      </w:r>
      <w:r>
        <w:rPr>
          <w:rFonts w:ascii="Times New Roman" w:hAnsi="Times New Roman"/>
          <w:sz w:val="20"/>
        </w:rPr>
        <w:t xml:space="preserve"> for the current taxable year and all previous taxable years is equal to the aggregate Net Losses allocated to such Unitholders pursuant to </w:t>
      </w:r>
      <w:r>
        <w:rPr>
          <w:rFonts w:ascii="Times New Roman" w:hAnsi="Times New Roman"/>
          <w:sz w:val="20"/>
          <w:u w:val="single"/>
        </w:rPr>
        <w:t>Section 6.1(b)(ii)</w:t>
      </w:r>
      <w:r>
        <w:rPr>
          <w:rFonts w:ascii="Times New Roman" w:hAnsi="Times New Roman"/>
          <w:sz w:val="20"/>
        </w:rPr>
        <w:t xml:space="preserve"> for all previous taxable years; and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Fourth</w:t>
      </w:r>
      <w:r>
        <w:rPr>
          <w:rFonts w:ascii="Times New Roman" w:hAnsi="Times New Roman"/>
          <w:sz w:val="20"/>
        </w:rPr>
        <w:t xml:space="preserve">, the balance, if any, 100% to the Unitholders in accordance with their respective Percentage Interests.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Net Losses</w:t>
      </w:r>
      <w:r>
        <w:rPr>
          <w:rFonts w:ascii="Times New Roman" w:hAnsi="Times New Roman"/>
          <w:sz w:val="20"/>
        </w:rPr>
        <w:t xml:space="preserve">. After giving effect to the special allocations set forth in </w:t>
      </w:r>
      <w:r>
        <w:rPr>
          <w:rFonts w:ascii="Times New Roman" w:hAnsi="Times New Roman"/>
          <w:sz w:val="20"/>
          <w:u w:val="single"/>
        </w:rPr>
        <w:t>Section 6.1(d)</w:t>
      </w:r>
      <w:r>
        <w:rPr>
          <w:rFonts w:ascii="Times New Roman" w:hAnsi="Times New Roman"/>
          <w:sz w:val="20"/>
        </w:rPr>
        <w:t xml:space="preserve"> and as otherwise provided in </w:t>
      </w:r>
      <w:r>
        <w:rPr>
          <w:rFonts w:ascii="Times New Roman" w:hAnsi="Times New Roman"/>
          <w:sz w:val="20"/>
          <w:u w:val="single"/>
        </w:rPr>
        <w:t>Article V</w:t>
      </w:r>
      <w:r>
        <w:rPr>
          <w:rFonts w:ascii="Times New Roman" w:hAnsi="Times New Roman"/>
          <w:sz w:val="20"/>
        </w:rPr>
        <w:t xml:space="preserve">, Net Losses for each taxable year and all items of income, gain, loss and deduction taken into account in computing Net Losses for such taxable year shall be allocated as follows: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First</w:t>
      </w:r>
      <w:r>
        <w:rPr>
          <w:rFonts w:ascii="Times New Roman" w:hAnsi="Times New Roman"/>
          <w:sz w:val="20"/>
        </w:rPr>
        <w:t xml:space="preserve">, 100% to the Unitholders, in accordance with their respective Percentage Interests, until the aggregate Net Losses allocated pursuant to this </w:t>
      </w:r>
      <w:r>
        <w:rPr>
          <w:rFonts w:ascii="Times New Roman" w:hAnsi="Times New Roman"/>
          <w:sz w:val="20"/>
          <w:u w:val="single"/>
        </w:rPr>
        <w:t>Section 6.1(b)(i)</w:t>
      </w:r>
      <w:r>
        <w:rPr>
          <w:rFonts w:ascii="Times New Roman" w:hAnsi="Times New Roman"/>
          <w:sz w:val="20"/>
        </w:rPr>
        <w:t xml:space="preserve"> for the current taxable year and all previous taxable years is equal to the aggregate Net Income allocated to such Unitholders pursuant to </w:t>
      </w:r>
      <w:r>
        <w:rPr>
          <w:rFonts w:ascii="Times New Roman" w:hAnsi="Times New Roman"/>
          <w:sz w:val="20"/>
          <w:u w:val="single"/>
        </w:rPr>
        <w:t>Section 6.1(a)(iv)</w:t>
      </w:r>
      <w:r>
        <w:rPr>
          <w:rFonts w:ascii="Times New Roman" w:hAnsi="Times New Roman"/>
          <w:sz w:val="20"/>
        </w:rPr>
        <w:t xml:space="preserve"> for all previous taxable years, </w:t>
      </w:r>
      <w:r>
        <w:rPr>
          <w:rFonts w:ascii="Times New Roman" w:hAnsi="Times New Roman"/>
          <w:sz w:val="20"/>
          <w:u w:val="single"/>
        </w:rPr>
        <w:t xml:space="preserve">provided </w:t>
      </w:r>
      <w:r>
        <w:rPr>
          <w:rFonts w:ascii="Times New Roman" w:hAnsi="Times New Roman"/>
          <w:sz w:val="20"/>
        </w:rPr>
        <w:t xml:space="preserve">that the Net Losses shall not be allocated pursuant to this </w:t>
      </w:r>
      <w:r>
        <w:rPr>
          <w:rFonts w:ascii="Times New Roman" w:hAnsi="Times New Roman"/>
          <w:sz w:val="20"/>
          <w:u w:val="single"/>
        </w:rPr>
        <w:t>Section 6.1(b)(i)</w:t>
      </w:r>
      <w:r>
        <w:rPr>
          <w:rFonts w:ascii="Times New Roman" w:hAnsi="Times New Roman"/>
          <w:sz w:val="20"/>
        </w:rPr>
        <w:t xml:space="preserve"> to the extent that such allocation would cause any Unitholder to have a deficit balance in its Adjusted Capital Account at the end of such taxable year (or increase any existing deficit balance in its Adjusted Capital Account);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Second</w:t>
      </w:r>
      <w:r>
        <w:rPr>
          <w:rFonts w:ascii="Times New Roman" w:hAnsi="Times New Roman"/>
          <w:sz w:val="20"/>
        </w:rPr>
        <w:t xml:space="preserve">, 100% to the Unitholders (other than Series B Holders, Series G Holders, Series H Holders and Series I Holders) in accordance with their respective Percentage Interests;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Net Losses shall not be allocated pursuant to this </w:t>
      </w:r>
      <w:r>
        <w:rPr>
          <w:rFonts w:ascii="Times New Roman" w:hAnsi="Times New Roman"/>
          <w:sz w:val="20"/>
          <w:u w:val="single"/>
        </w:rPr>
        <w:t>Section 6.1(b)(ii)</w:t>
      </w:r>
      <w:r>
        <w:rPr>
          <w:rFonts w:ascii="Times New Roman" w:hAnsi="Times New Roman"/>
          <w:sz w:val="20"/>
        </w:rPr>
        <w:t xml:space="preserve"> to the extent that such allocation would cause any Unitholder to have a deficit balance in its Adjusted Capital Account at the end of such taxable year (or increase any existing deficit balance in its Adjusted Capital Account);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Third</w:t>
      </w:r>
      <w:r>
        <w:rPr>
          <w:rFonts w:ascii="Times New Roman" w:hAnsi="Times New Roman"/>
          <w:sz w:val="20"/>
        </w:rPr>
        <w:t xml:space="preserve">, to all Series B Holders, Series G Holders, Series H Holders and Series I Holders, in proportion to their respective positive Adjusted Capital Account balances, until the Adjusted Capital Account in respect of each Series B Preferred Unit, Series G Preferred Unit, Series H Preferred Unit and Series I Preferred Unit then Outstanding has been reduced to zero; and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Fourth</w:t>
      </w:r>
      <w:r>
        <w:rPr>
          <w:rFonts w:ascii="Times New Roman" w:hAnsi="Times New Roman"/>
          <w:sz w:val="20"/>
        </w:rPr>
        <w:t xml:space="preserve">, the balance, if any, 100% to the General Partner.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Net Termination Gains and Losses</w:t>
      </w:r>
      <w:r>
        <w:rPr>
          <w:rFonts w:ascii="Times New Roman" w:hAnsi="Times New Roman"/>
          <w:sz w:val="20"/>
        </w:rPr>
        <w:t xml:space="preserve">. After giving effect to the special allocations set forth in </w:t>
      </w:r>
      <w:r>
        <w:rPr>
          <w:rFonts w:ascii="Times New Roman" w:hAnsi="Times New Roman"/>
          <w:sz w:val="20"/>
          <w:u w:val="single"/>
        </w:rPr>
        <w:t>Section 6.1(d)</w:t>
      </w:r>
      <w:r>
        <w:rPr>
          <w:rFonts w:ascii="Times New Roman" w:hAnsi="Times New Roman"/>
          <w:sz w:val="20"/>
        </w:rPr>
        <w:t xml:space="preserve"> and as otherwise provided in </w:t>
      </w:r>
      <w:r>
        <w:rPr>
          <w:rFonts w:ascii="Times New Roman" w:hAnsi="Times New Roman"/>
          <w:sz w:val="20"/>
          <w:u w:val="single"/>
        </w:rPr>
        <w:t>Article V</w:t>
      </w:r>
      <w:r>
        <w:rPr>
          <w:rFonts w:ascii="Times New Roman" w:hAnsi="Times New Roman"/>
          <w:sz w:val="20"/>
        </w:rPr>
        <w:t xml:space="preserve">, all items of income, gain, loss and deduction taken into account in computing Net Termination Gain or Net Termination Loss for such taxable year shall be allocated in the same manner as such Net Termination Gain or Net Termination Loss is allocated hereunder. All allocations under this </w:t>
      </w:r>
      <w:r>
        <w:rPr>
          <w:rFonts w:ascii="Times New Roman" w:hAnsi="Times New Roman"/>
          <w:sz w:val="20"/>
          <w:u w:val="single"/>
        </w:rPr>
        <w:t>Section 6.1(c)</w:t>
      </w:r>
      <w:r>
        <w:rPr>
          <w:rFonts w:ascii="Times New Roman" w:hAnsi="Times New Roman"/>
          <w:sz w:val="20"/>
        </w:rPr>
        <w:t xml:space="preserve"> shall be made after Capital Account balances have been adjusted by all other allocations provided under this </w:t>
      </w:r>
      <w:r>
        <w:rPr>
          <w:rFonts w:ascii="Times New Roman" w:hAnsi="Times New Roman"/>
          <w:sz w:val="20"/>
          <w:u w:val="single"/>
        </w:rPr>
        <w:t>Section 6.1</w:t>
      </w:r>
      <w:r>
        <w:rPr>
          <w:rFonts w:ascii="Times New Roman" w:hAnsi="Times New Roman"/>
          <w:sz w:val="20"/>
        </w:rPr>
        <w:t xml:space="preserve"> and after all distributions pursuant to </w:t>
      </w:r>
      <w:r>
        <w:rPr>
          <w:rFonts w:ascii="Times New Roman" w:hAnsi="Times New Roman"/>
          <w:sz w:val="20"/>
          <w:u w:val="single"/>
        </w:rPr>
        <w:t>Section 6.3</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solely for purposes of this </w:t>
      </w:r>
      <w:r>
        <w:rPr>
          <w:rFonts w:ascii="Times New Roman" w:hAnsi="Times New Roman"/>
          <w:sz w:val="20"/>
          <w:u w:val="single"/>
        </w:rPr>
        <w:t>Section 6.1(c)</w:t>
      </w:r>
      <w:r>
        <w:rPr>
          <w:rFonts w:ascii="Times New Roman" w:hAnsi="Times New Roman"/>
          <w:sz w:val="20"/>
        </w:rPr>
        <w:t xml:space="preserve">, Capital Accounts shall not be adjusted for distributions made pursuant to </w:t>
      </w:r>
      <w:r>
        <w:rPr>
          <w:rFonts w:ascii="Times New Roman" w:hAnsi="Times New Roman"/>
          <w:sz w:val="20"/>
          <w:u w:val="single"/>
        </w:rPr>
        <w:t>Section 12.4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If a Net Termination Gain is recognized (or deemed recognized pursuant to </w:t>
      </w:r>
      <w:r>
        <w:rPr>
          <w:rFonts w:ascii="Times New Roman" w:hAnsi="Times New Roman"/>
          <w:sz w:val="20"/>
          <w:u w:val="single"/>
        </w:rPr>
        <w:t>Section 5.5(d)</w:t>
      </w:r>
      <w:r>
        <w:rPr>
          <w:rFonts w:ascii="Times New Roman" w:hAnsi="Times New Roman"/>
          <w:sz w:val="20"/>
        </w:rPr>
        <w:t xml:space="preserve">) such Net Termination Gain shall be allocated among the Partners in the following manner (and the Capital Accounts of the Partners shall be increased by the amount so allocated in each of the following subclauses, in the order listed, before an allocation is made pursuant to the next succeeding subclause):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First</w:t>
      </w:r>
      <w:r>
        <w:rPr>
          <w:rFonts w:ascii="Times New Roman" w:hAnsi="Times New Roman"/>
          <w:sz w:val="20"/>
        </w:rPr>
        <w:t xml:space="preserve">, to each Unitholder having a deficit balance in its Capital Account, in the proportion that such deficit balance bears to the total deficit balances in the Capital Accounts of all Partners, until each such Partner has been allocated Net Termination Gain equal to any such deficit balance in its Capital Account;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Second</w:t>
      </w:r>
      <w:r>
        <w:rPr>
          <w:rFonts w:ascii="Times New Roman" w:hAnsi="Times New Roman"/>
          <w:sz w:val="20"/>
        </w:rPr>
        <w:t xml:space="preserve">, to all Series B Holders, Series G Holders, Series H Holders and Series I Holders, Pro Rata, until the Capital Account in respect of each Outstanding Series B Preferred Unit, Series G Preferred Unit, Series H Preferred Unit and Series I Preferred Unit equals the Series B Base Liquidation Preference, the Series G Base Liquidation Preference, the Series H Base Liquidation Preference or the Series I Base Liquidation Preference; and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Third</w:t>
      </w:r>
      <w:r>
        <w:rPr>
          <w:rFonts w:ascii="Times New Roman" w:hAnsi="Times New Roman"/>
          <w:sz w:val="20"/>
        </w:rPr>
        <w:t xml:space="preserve">, to all Unitholders in accordance with their Percentage Interests. </w:t>
      </w:r>
    </w:p>
    <w:p>
      <w:pPr>
        <w:pStyle w:val="TextBody"/>
        <w:bidi w:val="0"/>
        <w:spacing w:before="120" w:after="0"/>
        <w:jc w:val="left"/>
        <w:rPr>
          <w:rFonts w:ascii="Times New Roman" w:hAnsi="Times New Roman"/>
          <w:sz w:val="20"/>
        </w:rPr>
      </w:pPr>
      <w:r>
        <w:rPr>
          <w:rFonts w:ascii="Times New Roman" w:hAnsi="Times New Roman"/>
          <w:sz w:val="20"/>
        </w:rPr>
        <w:t xml:space="preserve">(ii) If a Net Termination Loss is recognized (or deemed recognized pursuant to </w:t>
      </w:r>
      <w:r>
        <w:rPr>
          <w:rFonts w:ascii="Times New Roman" w:hAnsi="Times New Roman"/>
          <w:sz w:val="20"/>
          <w:u w:val="single"/>
        </w:rPr>
        <w:t>Section 5.5(d)</w:t>
      </w:r>
      <w:r>
        <w:rPr>
          <w:rFonts w:ascii="Times New Roman" w:hAnsi="Times New Roman"/>
          <w:sz w:val="20"/>
        </w:rPr>
        <w:t xml:space="preserve">), such Net Termination Loss shall be allocated among the Partners in the following manner: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First</w:t>
      </w:r>
      <w:r>
        <w:rPr>
          <w:rFonts w:ascii="Times New Roman" w:hAnsi="Times New Roman"/>
          <w:sz w:val="20"/>
        </w:rPr>
        <w:t xml:space="preserve">, to all Unitholders in accordance with their Percentage Interests until the Adjusted Capital Account in respect of each Unit then Outstanding has been reduced to zero;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Second</w:t>
      </w:r>
      <w:r>
        <w:rPr>
          <w:rFonts w:ascii="Times New Roman" w:hAnsi="Times New Roman"/>
          <w:sz w:val="20"/>
        </w:rPr>
        <w:t xml:space="preserve">, to all Series B Holders, Series G Holders, Series H Holders and Series I Holders, in proportion to their Adjusted Capital Account balances, until the Adjusted Capital Account in respect of each Series B Preferred Unit, Series G Preferred Unit, Series H Preferred Unit or Series I Preferred Unit then Outstanding has been reduced to zero; and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Third</w:t>
      </w:r>
      <w:r>
        <w:rPr>
          <w:rFonts w:ascii="Times New Roman" w:hAnsi="Times New Roman"/>
          <w:sz w:val="20"/>
        </w:rPr>
        <w:t xml:space="preserve">, the balance, if any, 100% to the General Partner.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Special Allocations</w:t>
      </w:r>
      <w:r>
        <w:rPr>
          <w:rFonts w:ascii="Times New Roman" w:hAnsi="Times New Roman"/>
          <w:sz w:val="20"/>
        </w:rPr>
        <w:t xml:space="preserve">. Notwithstanding any other provision of this </w:t>
      </w:r>
      <w:r>
        <w:rPr>
          <w:rFonts w:ascii="Times New Roman" w:hAnsi="Times New Roman"/>
          <w:sz w:val="20"/>
          <w:u w:val="single"/>
        </w:rPr>
        <w:t>Section 6.1</w:t>
      </w:r>
      <w:r>
        <w:rPr>
          <w:rFonts w:ascii="Times New Roman" w:hAnsi="Times New Roman"/>
          <w:sz w:val="20"/>
        </w:rPr>
        <w:t xml:space="preserve">, the following special allocations shall be made for such taxable period: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Partnership Minimum Gain Chargeback</w:t>
      </w:r>
      <w:r>
        <w:rPr>
          <w:rFonts w:ascii="Times New Roman" w:hAnsi="Times New Roman"/>
          <w:sz w:val="20"/>
        </w:rPr>
        <w:t xml:space="preserve">. Notwithstanding any other provision of this </w:t>
      </w:r>
      <w:r>
        <w:rPr>
          <w:rFonts w:ascii="Times New Roman" w:hAnsi="Times New Roman"/>
          <w:sz w:val="20"/>
          <w:u w:val="single"/>
        </w:rPr>
        <w:t>Section 6.1</w:t>
      </w:r>
      <w:r>
        <w:rPr>
          <w:rFonts w:ascii="Times New Roman" w:hAnsi="Times New Roman"/>
          <w:sz w:val="20"/>
        </w:rPr>
        <w:t xml:space="preserve">, if there is a net decrease in Partnership Minimum Gain during any Partnership taxable period, each Partner shall be allocated items of Partnership income and gain for such period (and, if necessary, subsequent periods) in the manner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amounts provided in Treasury Regulation Sections 1.704-2(f)(6), 1.704-2(g)(2) and 1.704-2(j)(2)(i), or any successor provision. For purposes of this </w:t>
      </w:r>
      <w:r>
        <w:rPr>
          <w:rFonts w:ascii="Times New Roman" w:hAnsi="Times New Roman"/>
          <w:sz w:val="20"/>
          <w:u w:val="single"/>
        </w:rPr>
        <w:t>Section 6.1(d)</w:t>
      </w:r>
      <w:r>
        <w:rPr>
          <w:rFonts w:ascii="Times New Roman" w:hAnsi="Times New Roman"/>
          <w:sz w:val="20"/>
        </w:rPr>
        <w:t xml:space="preserve">, each Partner’s Adjusted Capital Account balance shall be determined, and the allocation of income or gain required hereunder shall be effected, prior to the application of any other allocations pursuant to this </w:t>
      </w:r>
      <w:r>
        <w:rPr>
          <w:rFonts w:ascii="Times New Roman" w:hAnsi="Times New Roman"/>
          <w:sz w:val="20"/>
          <w:u w:val="single"/>
        </w:rPr>
        <w:t>Section 6.1(d)</w:t>
      </w:r>
      <w:r>
        <w:rPr>
          <w:rFonts w:ascii="Times New Roman" w:hAnsi="Times New Roman"/>
          <w:sz w:val="20"/>
        </w:rPr>
        <w:t xml:space="preserve"> with respect to such taxable period (other than an allocation pursuant to </w:t>
      </w:r>
      <w:r>
        <w:rPr>
          <w:rFonts w:ascii="Times New Roman" w:hAnsi="Times New Roman"/>
          <w:sz w:val="20"/>
          <w:u w:val="single"/>
        </w:rPr>
        <w:t>Sections 6.1(d)(v)</w:t>
      </w:r>
      <w:r>
        <w:rPr>
          <w:rFonts w:ascii="Times New Roman" w:hAnsi="Times New Roman"/>
          <w:sz w:val="20"/>
        </w:rPr>
        <w:t xml:space="preserve"> and </w:t>
      </w:r>
      <w:r>
        <w:rPr>
          <w:rFonts w:ascii="Times New Roman" w:hAnsi="Times New Roman"/>
          <w:sz w:val="20"/>
          <w:u w:val="single"/>
        </w:rPr>
        <w:t>6.1(d)(vi)</w:t>
      </w:r>
      <w:r>
        <w:rPr>
          <w:rFonts w:ascii="Times New Roman" w:hAnsi="Times New Roman"/>
          <w:sz w:val="20"/>
        </w:rPr>
        <w:t xml:space="preserve">). This </w:t>
      </w:r>
      <w:r>
        <w:rPr>
          <w:rFonts w:ascii="Times New Roman" w:hAnsi="Times New Roman"/>
          <w:sz w:val="20"/>
          <w:u w:val="single"/>
        </w:rPr>
        <w:t>Section 6.1(d)(i)</w:t>
      </w:r>
      <w:r>
        <w:rPr>
          <w:rFonts w:ascii="Times New Roman" w:hAnsi="Times New Roman"/>
          <w:sz w:val="20"/>
        </w:rPr>
        <w:t xml:space="preserve"> is intended to comply with the Partnership Minimum Gain chargeback requirement in Treasury Regulation Section 1.704-2(f) and shall be interpreted consistently therewith.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Chargeback of Partner Nonrecourse Debt Minimum Gain</w:t>
      </w:r>
      <w:r>
        <w:rPr>
          <w:rFonts w:ascii="Times New Roman" w:hAnsi="Times New Roman"/>
          <w:sz w:val="20"/>
        </w:rPr>
        <w:t xml:space="preserve">. Notwithstanding the other provisions of this </w:t>
      </w:r>
      <w:r>
        <w:rPr>
          <w:rFonts w:ascii="Times New Roman" w:hAnsi="Times New Roman"/>
          <w:sz w:val="20"/>
          <w:u w:val="single"/>
        </w:rPr>
        <w:t>Section 6.1</w:t>
      </w:r>
      <w:r>
        <w:rPr>
          <w:rFonts w:ascii="Times New Roman" w:hAnsi="Times New Roman"/>
          <w:sz w:val="20"/>
        </w:rPr>
        <w:t xml:space="preserve"> (other than </w:t>
      </w:r>
      <w:r>
        <w:rPr>
          <w:rFonts w:ascii="Times New Roman" w:hAnsi="Times New Roman"/>
          <w:sz w:val="20"/>
          <w:u w:val="single"/>
        </w:rPr>
        <w:t>Section 6.1(d)(i)</w:t>
      </w:r>
      <w:r>
        <w:rPr>
          <w:rFonts w:ascii="Times New Roman" w:hAnsi="Times New Roman"/>
          <w:sz w:val="20"/>
        </w:rPr>
        <w:t xml:space="preserve">), except as provided in Treasury Regulation Section 1.704-2(i)(4), if there is a net decrease in Partner Nonrecourse Debt Minimum Gain during any Partnership taxable period, any Partner with a share of Partner Nonrecourse Debt Minimum Gain at the beginning of such taxable period shall be allocated items of Partnership income and gain for such period (and, if necessary, subsequent periods) in the manner and amounts provided in Treasury Regulation Sections 1.704-2(i)(4) and 1.704-2(j)(2)(ii), or any successor provisions. For purposes of this </w:t>
      </w:r>
      <w:r>
        <w:rPr>
          <w:rFonts w:ascii="Times New Roman" w:hAnsi="Times New Roman"/>
          <w:sz w:val="20"/>
          <w:u w:val="single"/>
        </w:rPr>
        <w:t>Section 6.1(d)</w:t>
      </w:r>
      <w:r>
        <w:rPr>
          <w:rFonts w:ascii="Times New Roman" w:hAnsi="Times New Roman"/>
          <w:sz w:val="20"/>
        </w:rPr>
        <w:t xml:space="preserve">, each Partner’s Adjusted Capital Account balance shall be determined, and the allocation of income or gain required hereunder shall be effected, prior to the application of any other allocations pursuant to this </w:t>
      </w:r>
      <w:r>
        <w:rPr>
          <w:rFonts w:ascii="Times New Roman" w:hAnsi="Times New Roman"/>
          <w:sz w:val="20"/>
          <w:u w:val="single"/>
        </w:rPr>
        <w:t>Section 6.1(d)</w:t>
      </w:r>
      <w:r>
        <w:rPr>
          <w:rFonts w:ascii="Times New Roman" w:hAnsi="Times New Roman"/>
          <w:sz w:val="20"/>
        </w:rPr>
        <w:t xml:space="preserve">, other than </w:t>
      </w:r>
      <w:r>
        <w:rPr>
          <w:rFonts w:ascii="Times New Roman" w:hAnsi="Times New Roman"/>
          <w:sz w:val="20"/>
          <w:u w:val="single"/>
        </w:rPr>
        <w:t>Section 6.1(d)(i)</w:t>
      </w:r>
      <w:r>
        <w:rPr>
          <w:rFonts w:ascii="Times New Roman" w:hAnsi="Times New Roman"/>
          <w:sz w:val="20"/>
        </w:rPr>
        <w:t xml:space="preserve"> and other than an allocation pursuant to </w:t>
      </w:r>
      <w:r>
        <w:rPr>
          <w:rFonts w:ascii="Times New Roman" w:hAnsi="Times New Roman"/>
          <w:sz w:val="20"/>
          <w:u w:val="single"/>
        </w:rPr>
        <w:t>Sections 6.1(d)(v)</w:t>
      </w:r>
      <w:r>
        <w:rPr>
          <w:rFonts w:ascii="Times New Roman" w:hAnsi="Times New Roman"/>
          <w:sz w:val="20"/>
        </w:rPr>
        <w:t xml:space="preserve"> and </w:t>
      </w:r>
      <w:r>
        <w:rPr>
          <w:rFonts w:ascii="Times New Roman" w:hAnsi="Times New Roman"/>
          <w:sz w:val="20"/>
          <w:u w:val="single"/>
        </w:rPr>
        <w:t>6.1(d)(vi)</w:t>
      </w:r>
      <w:r>
        <w:rPr>
          <w:rFonts w:ascii="Times New Roman" w:hAnsi="Times New Roman"/>
          <w:sz w:val="20"/>
        </w:rPr>
        <w:t xml:space="preserve">, with respect to such taxable period. This </w:t>
      </w:r>
      <w:r>
        <w:rPr>
          <w:rFonts w:ascii="Times New Roman" w:hAnsi="Times New Roman"/>
          <w:sz w:val="20"/>
          <w:u w:val="single"/>
        </w:rPr>
        <w:t>Section 6.1(d)(ii)</w:t>
      </w:r>
      <w:r>
        <w:rPr>
          <w:rFonts w:ascii="Times New Roman" w:hAnsi="Times New Roman"/>
          <w:sz w:val="20"/>
        </w:rPr>
        <w:t xml:space="preserve"> is intended to comply with the chargeback of items of income and gain requirement in Treasury Regulation Section 1.704-2(i)(4) and shall be interpreted consistently therewith.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Qualified Income Offset</w:t>
      </w:r>
      <w:r>
        <w:rPr>
          <w:rFonts w:ascii="Times New Roman" w:hAnsi="Times New Roman"/>
          <w:sz w:val="20"/>
        </w:rPr>
        <w:t xml:space="preserve">. In the event any Partner unexpectedly receives any adjustments, allocations or distributions described in Treasury Regulation Sections 1.704-1(b)(2)(ii)(d)(4), 1.704-1(b)(2)(ii)(d)(5), or 1.704-1(b)(2)(ii)(d)(6), items of Partnership income and gain shall be specially allocated to such Partner in an amount and manner sufficient to eliminate, to the extent required by the Treasury Regulations promulgated under Section 704(b) of the Code, the deficit balance, if any, in its Adjusted Capital Account created by such adjustments, allocations or distributions as quickly as possible unless such deficit balance is otherwise eliminated pursuant to </w:t>
      </w:r>
      <w:r>
        <w:rPr>
          <w:rFonts w:ascii="Times New Roman" w:hAnsi="Times New Roman"/>
          <w:sz w:val="20"/>
          <w:u w:val="single"/>
        </w:rPr>
        <w:t>Section 6.1(d)(i)</w:t>
      </w:r>
      <w:r>
        <w:rPr>
          <w:rFonts w:ascii="Times New Roman" w:hAnsi="Times New Roman"/>
          <w:sz w:val="20"/>
        </w:rPr>
        <w:t xml:space="preserve"> or (ii).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Gross Income Allocations</w:t>
      </w:r>
      <w:r>
        <w:rPr>
          <w:rFonts w:ascii="Times New Roman" w:hAnsi="Times New Roman"/>
          <w:sz w:val="20"/>
        </w:rPr>
        <w:t xml:space="preserve">. In the event any Partner has a deficit balance in its Capital Account at the end of any Partnership taxable period in excess of the sum of (A) the amount such Partner is required to restore pursuant to the provisions of this Agreement and (B) the amount such Partner is deemed obligated to restore pursuant to Treasury Regulation Sections 1.704-2(g) and 1.704-2(i)(5), such Partner shall be specially allocated items of Partnership gross income and gain in the amount of such excess as quickly as possible;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an allocation pursuant to this </w:t>
      </w:r>
      <w:r>
        <w:rPr>
          <w:rFonts w:ascii="Times New Roman" w:hAnsi="Times New Roman"/>
          <w:sz w:val="20"/>
          <w:u w:val="single"/>
        </w:rPr>
        <w:t>Section 6.1(d)(iv)</w:t>
      </w:r>
      <w:r>
        <w:rPr>
          <w:rFonts w:ascii="Times New Roman" w:hAnsi="Times New Roman"/>
          <w:sz w:val="20"/>
        </w:rPr>
        <w:t xml:space="preserve"> shall be made only if and to the extent that such Partner would have a deficit balance in its Capital Account as adjusted after all other allocations provided for in this </w:t>
      </w:r>
      <w:r>
        <w:rPr>
          <w:rFonts w:ascii="Times New Roman" w:hAnsi="Times New Roman"/>
          <w:sz w:val="20"/>
          <w:u w:val="single"/>
        </w:rPr>
        <w:t>Section 6.1</w:t>
      </w:r>
      <w:r>
        <w:rPr>
          <w:rFonts w:ascii="Times New Roman" w:hAnsi="Times New Roman"/>
          <w:sz w:val="20"/>
        </w:rPr>
        <w:t xml:space="preserve"> have been tentatively made as if this </w:t>
      </w:r>
      <w:r>
        <w:rPr>
          <w:rFonts w:ascii="Times New Roman" w:hAnsi="Times New Roman"/>
          <w:sz w:val="20"/>
          <w:u w:val="single"/>
        </w:rPr>
        <w:t>Section 6.1(d)(iv)</w:t>
      </w:r>
      <w:r>
        <w:rPr>
          <w:rFonts w:ascii="Times New Roman" w:hAnsi="Times New Roman"/>
          <w:sz w:val="20"/>
        </w:rPr>
        <w:t xml:space="preserve"> were not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Nonrecourse Deductions</w:t>
      </w:r>
      <w:r>
        <w:rPr>
          <w:rFonts w:ascii="Times New Roman" w:hAnsi="Times New Roman"/>
          <w:sz w:val="20"/>
        </w:rPr>
        <w:t xml:space="preserve">. Nonrecourse Deductions for any taxable period shall be allocated to the Partners in accordance with their respective Percentage Interests. If the General Partner determines that the Partnership’s Nonrecourse Deductions should be allocated in a different ratio to satisfy the safe harbor requirements of the Treasury Regulations promulgated under Section 704(b) of the Code, the General Partner is authorized, upon notice to the other Partners, to revise the prescribed ratio to the numerically closest ratio that does satisfy such requirements.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i/>
          <w:sz w:val="20"/>
        </w:rPr>
        <w:t>Partner Nonrecourse Deductions</w:t>
      </w:r>
      <w:r>
        <w:rPr>
          <w:rFonts w:ascii="Times New Roman" w:hAnsi="Times New Roman"/>
          <w:sz w:val="20"/>
        </w:rPr>
        <w:t xml:space="preserve">. Partner Nonrecourse Deductions for any taxable period shall be allocated 100% to the Partner that bears the Economic Risk of Loss with respect to the Partner Nonrecourse Debt to which such Partner Nonrecourse Deductions are attributable in accordance with Treasury Regulation Section 1.704-2(i). If more than one Partner bears the Economic Risk of Loss with respect to a Partner Nonrecourse Debt, such Partner Nonrecourse Deductions attributable thereto shall be allocated between or among such Partners in accordance with the ratios in which they share such Economic Risk of Loss.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i/>
          <w:sz w:val="20"/>
        </w:rPr>
        <w:t>Nonrecourse Liabilities</w:t>
      </w:r>
      <w:r>
        <w:rPr>
          <w:rFonts w:ascii="Times New Roman" w:hAnsi="Times New Roman"/>
          <w:sz w:val="20"/>
        </w:rPr>
        <w:t xml:space="preserve">. For purposes of Treasury Regulation Section 1.752-3(a)(3), the Partners agree that Nonrecourse Liabilities of the Partnership in excess of the sum of (A) the amount of Partnership Minimum Gain and (B) the total amount of Nonrecourse Built-in Gain shall be allocated among the Partners in accordance with their respective Percentage Interests.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i/>
          <w:sz w:val="20"/>
        </w:rPr>
        <w:t>Code Section</w:t>
      </w:r>
      <w:r>
        <w:rPr>
          <w:rFonts w:ascii="Times New Roman" w:hAnsi="Times New Roman"/>
          <w:sz w:val="20"/>
        </w:rPr>
        <w:t> </w:t>
      </w:r>
      <w:r>
        <w:rPr>
          <w:rFonts w:ascii="Times New Roman" w:hAnsi="Times New Roman"/>
          <w:i/>
          <w:sz w:val="20"/>
        </w:rPr>
        <w:t>754 Adjustments</w:t>
      </w:r>
      <w:r>
        <w:rPr>
          <w:rFonts w:ascii="Times New Roman" w:hAnsi="Times New Roman"/>
          <w:sz w:val="20"/>
        </w:rPr>
        <w:t xml:space="preserve">. To the extent an adjustment to the adjusted tax basis of any Partnership asset pursuant to Section 734(b) or 743(b) of the Code is required, pursuant to Treasury Regulation Section 1.704-1(b)(2)(iv)(m), to be taken into account in determining Capital Accounts, the amount of such adjustment to the Capital Accounts shall be treated as an item of gain (if the adjustment increases the basis of the asset) or loss (if the adjustment decreases such basis), and such item of gain or loss shall be specially allocated to the Partners in a manner consistent with the manner in which their Capital Accounts are required to be adjusted pursuant to such Section of the Treasury Regulations. </w:t>
      </w:r>
    </w:p>
    <w:p>
      <w:pPr>
        <w:pStyle w:val="TextBody"/>
        <w:bidi w:val="0"/>
        <w:spacing w:before="120" w:after="0"/>
        <w:jc w:val="left"/>
        <w:rPr>
          <w:rFonts w:ascii="Times New Roman" w:hAnsi="Times New Roman"/>
          <w:sz w:val="20"/>
        </w:rPr>
      </w:pPr>
      <w:r>
        <w:rPr>
          <w:rFonts w:ascii="Times New Roman" w:hAnsi="Times New Roman"/>
          <w:sz w:val="20"/>
        </w:rPr>
        <w:t xml:space="preserve">(ix) </w:t>
      </w:r>
      <w:r>
        <w:rPr>
          <w:rFonts w:ascii="Times New Roman" w:hAnsi="Times New Roman"/>
          <w:i/>
          <w:sz w:val="20"/>
        </w:rPr>
        <w:t>Curative Allocations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any other provision of this </w:t>
      </w:r>
      <w:r>
        <w:rPr>
          <w:rFonts w:ascii="Times New Roman" w:hAnsi="Times New Roman"/>
          <w:sz w:val="20"/>
          <w:u w:val="single"/>
        </w:rPr>
        <w:t>Section 6.1</w:t>
      </w:r>
      <w:r>
        <w:rPr>
          <w:rFonts w:ascii="Times New Roman" w:hAnsi="Times New Roman"/>
          <w:sz w:val="20"/>
        </w:rPr>
        <w:t xml:space="preserve">, other than the Required Allocations, the Required Allocations shall be taken into account in making the Agreed Allocations so that, to the extent possible, the net amount of items of income, gain, loss and deduction allocated to each Partner pursuant to the Required Allocations and the Agreed Allocations, together, shall be equal to the net amount of such items that would have been allocated to each such Partner under the Agreed Allocations had the Required Allocations and the related Curative Allocation not otherwise been provided in this </w:t>
      </w:r>
      <w:r>
        <w:rPr>
          <w:rFonts w:ascii="Times New Roman" w:hAnsi="Times New Roman"/>
          <w:sz w:val="20"/>
          <w:u w:val="single"/>
        </w:rPr>
        <w:t>Section 6.1</w:t>
      </w:r>
      <w:r>
        <w:rPr>
          <w:rFonts w:ascii="Times New Roman" w:hAnsi="Times New Roman"/>
          <w:sz w:val="20"/>
        </w:rPr>
        <w:t xml:space="preserve">. Notwithstanding the preceding sentence, Required Allocations relating to (1) Nonrecourse Deductions shall not be taken into account except to the extent that there has been a decrease in Partnership Minimum Gain and (2) Partner Nonrecourse Deductions shall not be taken into account except to the extent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 has been a decrease in Partner Nonrecourse Debt Minimum Gain. Allocations pursuant to this </w:t>
      </w:r>
      <w:r>
        <w:rPr>
          <w:rFonts w:ascii="Times New Roman" w:hAnsi="Times New Roman"/>
          <w:sz w:val="20"/>
          <w:u w:val="single"/>
        </w:rPr>
        <w:t>Section 6.1(d)(ix)(A)</w:t>
      </w:r>
      <w:r>
        <w:rPr>
          <w:rFonts w:ascii="Times New Roman" w:hAnsi="Times New Roman"/>
          <w:sz w:val="20"/>
        </w:rPr>
        <w:t xml:space="preserve"> shall only be made with respect to Required Allocations to the extent the General Partner determines that such allocations will otherwise be inconsistent with the economic agreement among the Partners. Further, allocations pursuant to this </w:t>
      </w:r>
      <w:r>
        <w:rPr>
          <w:rFonts w:ascii="Times New Roman" w:hAnsi="Times New Roman"/>
          <w:sz w:val="20"/>
          <w:u w:val="single"/>
        </w:rPr>
        <w:t>Section 6.1(d)(ix)(A)</w:t>
      </w:r>
      <w:r>
        <w:rPr>
          <w:rFonts w:ascii="Times New Roman" w:hAnsi="Times New Roman"/>
          <w:sz w:val="20"/>
        </w:rPr>
        <w:t xml:space="preserve"> shall be deferred with respect to allocations pursuant to clauses (1) and (2) hereof to the extent the General Partner determines that such allocations are likely to be offset by subsequent Required Allocations. </w:t>
      </w:r>
    </w:p>
    <w:p>
      <w:pPr>
        <w:pStyle w:val="TextBody"/>
        <w:bidi w:val="0"/>
        <w:spacing w:before="120" w:after="0"/>
        <w:jc w:val="left"/>
        <w:rPr>
          <w:rFonts w:ascii="Times New Roman" w:hAnsi="Times New Roman"/>
          <w:sz w:val="20"/>
        </w:rPr>
      </w:pPr>
      <w:r>
        <w:rPr>
          <w:rFonts w:ascii="Times New Roman" w:hAnsi="Times New Roman"/>
          <w:sz w:val="20"/>
        </w:rPr>
        <w:t xml:space="preserve">(B) The General Partner shall, with respect to each taxable period, (1) apply the provisions of </w:t>
      </w:r>
      <w:r>
        <w:rPr>
          <w:rFonts w:ascii="Times New Roman" w:hAnsi="Times New Roman"/>
          <w:sz w:val="20"/>
          <w:u w:val="single"/>
        </w:rPr>
        <w:t>Section 6.1(d)(ix)(A)</w:t>
      </w:r>
      <w:r>
        <w:rPr>
          <w:rFonts w:ascii="Times New Roman" w:hAnsi="Times New Roman"/>
          <w:sz w:val="20"/>
        </w:rPr>
        <w:t xml:space="preserve"> in whatever order is most likely to minimize the economic distortions that might otherwise result from the Required Allocations, and (2) divide all allocations pursuant to </w:t>
      </w:r>
      <w:r>
        <w:rPr>
          <w:rFonts w:ascii="Times New Roman" w:hAnsi="Times New Roman"/>
          <w:sz w:val="20"/>
          <w:u w:val="single"/>
        </w:rPr>
        <w:t>Section 6.1(d)(ix)(A)</w:t>
      </w:r>
      <w:r>
        <w:rPr>
          <w:rFonts w:ascii="Times New Roman" w:hAnsi="Times New Roman"/>
          <w:sz w:val="20"/>
        </w:rPr>
        <w:t xml:space="preserve"> among the Partners in a manner that is likely to minimize such economic distortions.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Corrective and Other Allocations</w:t>
      </w:r>
      <w:r>
        <w:rPr>
          <w:rFonts w:ascii="Times New Roman" w:hAnsi="Times New Roman"/>
          <w:sz w:val="20"/>
        </w:rPr>
        <w:t xml:space="preserve">. In the event of any allocation of a Net Termination Loss, the following rules shall apply: </w:t>
      </w:r>
    </w:p>
    <w:p>
      <w:pPr>
        <w:pStyle w:val="TextBody"/>
        <w:bidi w:val="0"/>
        <w:spacing w:before="120" w:after="0"/>
        <w:jc w:val="left"/>
        <w:rPr>
          <w:rFonts w:ascii="Times New Roman" w:hAnsi="Times New Roman"/>
          <w:sz w:val="20"/>
        </w:rPr>
      </w:pPr>
      <w:r>
        <w:rPr>
          <w:rFonts w:ascii="Times New Roman" w:hAnsi="Times New Roman"/>
          <w:sz w:val="20"/>
        </w:rPr>
        <w:t xml:space="preserve">(A) Net Termination Loss in an amount equal to the lesser of (1) such Net Termination Loss and (2) the Aggregate Remaining Net Positive Adjustments shall be allocated in such manner as is determined by the General Partner that, to the extent possible, the Capital Account balances of the Partners will equal the amount they would have been had no prior Book-Up Events occurred, and any remaining Net Termination Loss shall be allocated pursuant to </w:t>
      </w:r>
      <w:r>
        <w:rPr>
          <w:rFonts w:ascii="Times New Roman" w:hAnsi="Times New Roman"/>
          <w:sz w:val="20"/>
          <w:u w:val="single"/>
        </w:rPr>
        <w:t>Section 6.1(c)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In making the allocations required under this </w:t>
      </w:r>
      <w:r>
        <w:rPr>
          <w:rFonts w:ascii="Times New Roman" w:hAnsi="Times New Roman"/>
          <w:sz w:val="20"/>
          <w:u w:val="single"/>
        </w:rPr>
        <w:t>Section 6.1(d)(x)</w:t>
      </w:r>
      <w:r>
        <w:rPr>
          <w:rFonts w:ascii="Times New Roman" w:hAnsi="Times New Roman"/>
          <w:sz w:val="20"/>
        </w:rPr>
        <w:t xml:space="preserve">, the General Partner may apply whatever conventions or other methodology it determines will satisfy the purpose of this </w:t>
      </w:r>
      <w:r>
        <w:rPr>
          <w:rFonts w:ascii="Times New Roman" w:hAnsi="Times New Roman"/>
          <w:sz w:val="20"/>
          <w:u w:val="single"/>
        </w:rPr>
        <w:t>Section 6.1(d)(x)</w:t>
      </w:r>
      <w:r>
        <w:rPr>
          <w:rFonts w:ascii="Times New Roman" w:hAnsi="Times New Roman"/>
          <w:sz w:val="20"/>
        </w:rPr>
        <w:t>. Without limiting the foregoing, if an Adjusted Property is contributed by the Partnership to another entity classified as a partnership for U.S. federal income tax purposes (the “</w:t>
      </w:r>
      <w:r>
        <w:rPr>
          <w:rFonts w:ascii="Times New Roman" w:hAnsi="Times New Roman"/>
          <w:i/>
          <w:sz w:val="20"/>
        </w:rPr>
        <w:t>lower tier partnership</w:t>
      </w:r>
      <w:r>
        <w:rPr>
          <w:rFonts w:ascii="Times New Roman" w:hAnsi="Times New Roman"/>
          <w:sz w:val="20"/>
        </w:rPr>
        <w:t xml:space="preserve">”), the General Partner may make allocations similar to those described in </w:t>
      </w:r>
      <w:r>
        <w:rPr>
          <w:rFonts w:ascii="Times New Roman" w:hAnsi="Times New Roman"/>
          <w:sz w:val="20"/>
          <w:u w:val="single"/>
        </w:rPr>
        <w:t>Section 6.1(d)(x)(A)</w:t>
      </w:r>
      <w:r>
        <w:rPr>
          <w:rFonts w:ascii="Times New Roman" w:hAnsi="Times New Roman"/>
          <w:sz w:val="20"/>
        </w:rPr>
        <w:t xml:space="preserve"> to the extent the General Partner determines such allocations are necessary to account for the Partnership’s allocable share of income, gain, loss and deduction of the lower tier partnership that relate to the contributed Adjusted Property in a manner that is consistent with the purpose of this </w:t>
      </w:r>
      <w:r>
        <w:rPr>
          <w:rFonts w:ascii="Times New Roman" w:hAnsi="Times New Roman"/>
          <w:sz w:val="20"/>
          <w:u w:val="single"/>
        </w:rPr>
        <w:t>Section 6.1(d)(x)</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(xi) </w:t>
      </w:r>
      <w:r>
        <w:rPr>
          <w:rFonts w:ascii="Times New Roman" w:hAnsi="Times New Roman"/>
          <w:i/>
          <w:sz w:val="20"/>
        </w:rPr>
        <w:t>Priority Allocations</w:t>
      </w:r>
      <w:r>
        <w:rPr>
          <w:rFonts w:ascii="Times New Roman" w:hAnsi="Times New Roman"/>
          <w:sz w:val="20"/>
        </w:rPr>
        <w:t xml:space="preserve">. If the amount of cash or the Net Agreed Value of any property distributed (except cash or property distributed or deemed distributed pursuant to </w:t>
      </w:r>
      <w:r>
        <w:rPr>
          <w:rFonts w:ascii="Times New Roman" w:hAnsi="Times New Roman"/>
          <w:sz w:val="20"/>
          <w:u w:val="single"/>
        </w:rPr>
        <w:t>Section 12.4</w:t>
      </w:r>
      <w:r>
        <w:rPr>
          <w:rFonts w:ascii="Times New Roman" w:hAnsi="Times New Roman"/>
          <w:sz w:val="20"/>
        </w:rPr>
        <w:t xml:space="preserve">) to any Unitholder with respect to its Units for a taxable year is greater (on a per Unit basis) than the amount of cash or the Net Agreed Value of property distributed to the other Unitholders with respect to their Units (on a per Unit basis), then (1) each Unitholder receiving such greater cash or property distribution shall be allocated gross income and gain in an amount equal to the product of (aa) the amount by which the distribution (on a per Unit basis) to such Unitholder exceeds the distribution (on a per Unit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basis) to the Unitholders receiving the smallest distribution and (bb) the number of Units owned by the Unitholder receiving the greater distribution; and (2) the General Partner shall be allocated gross income and gain in an aggregate amount equal to the product obtained by multiplying (aa) the quotient determined by dividing (x) the General Partner’s Percentage Interest at the time in which the greater cash or property distribution occurs, times (bb) the sum of the amounts allocated in clause (1) above by (y) the sum of 100 less the General Partner’s Percentage Interest at the time in which the greater cash or property distribution occurs. </w:t>
      </w:r>
    </w:p>
    <w:p>
      <w:pPr>
        <w:pStyle w:val="TextBody"/>
        <w:bidi w:val="0"/>
        <w:spacing w:before="120" w:after="0"/>
        <w:jc w:val="left"/>
        <w:rPr>
          <w:rFonts w:ascii="Times New Roman" w:hAnsi="Times New Roman"/>
          <w:sz w:val="20"/>
        </w:rPr>
      </w:pPr>
      <w:r>
        <w:rPr>
          <w:rFonts w:ascii="Times New Roman" w:hAnsi="Times New Roman"/>
          <w:sz w:val="20"/>
        </w:rPr>
        <w:t xml:space="preserve">(xii) </w:t>
      </w:r>
      <w:r>
        <w:rPr>
          <w:rFonts w:ascii="Times New Roman" w:hAnsi="Times New Roman"/>
          <w:i/>
          <w:sz w:val="20"/>
        </w:rPr>
        <w:t>ETP Holdco Allocations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Class B Units shall not be entitled to receive any allocation of any ETP Holdco Items, and such ETP Holdco Items (which shall not be included in the computation of Net Income, Net Loss, Net Termination Gain or Net Termination Loss for any taxable year while any Class B Units remain Outstanding) shall instead be specifically allocated to the Unitholders (other than the holders of Class B Units), Pro Rata. </w:t>
      </w:r>
    </w:p>
    <w:p>
      <w:pPr>
        <w:pStyle w:val="TextBody"/>
        <w:bidi w:val="0"/>
        <w:spacing w:before="120" w:after="0"/>
        <w:jc w:val="left"/>
        <w:rPr>
          <w:rFonts w:ascii="Times New Roman" w:hAnsi="Times New Roman"/>
          <w:sz w:val="20"/>
        </w:rPr>
      </w:pPr>
      <w:r>
        <w:rPr>
          <w:rFonts w:ascii="Times New Roman" w:hAnsi="Times New Roman"/>
          <w:sz w:val="20"/>
        </w:rPr>
        <w:t xml:space="preserve">(B) For the purposes of effectuating the intent of </w:t>
      </w:r>
      <w:r>
        <w:rPr>
          <w:rFonts w:ascii="Times New Roman" w:hAnsi="Times New Roman"/>
          <w:sz w:val="20"/>
          <w:u w:val="single"/>
        </w:rPr>
        <w:t>Section 6.1(d)(x)</w:t>
      </w:r>
      <w:r>
        <w:rPr>
          <w:rFonts w:ascii="Times New Roman" w:hAnsi="Times New Roman"/>
          <w:sz w:val="20"/>
        </w:rPr>
        <w:t xml:space="preserve">, the General Partner may make special allocations of items of Partnership gross income, gain, loss or deductions among the Unitholders as it deems reasonable. </w:t>
      </w:r>
    </w:p>
    <w:p>
      <w:pPr>
        <w:pStyle w:val="TextBody"/>
        <w:bidi w:val="0"/>
        <w:spacing w:before="120" w:after="0"/>
        <w:jc w:val="left"/>
        <w:rPr>
          <w:rFonts w:ascii="Times New Roman" w:hAnsi="Times New Roman"/>
          <w:sz w:val="20"/>
        </w:rPr>
      </w:pPr>
      <w:r>
        <w:rPr>
          <w:rFonts w:ascii="Times New Roman" w:hAnsi="Times New Roman"/>
          <w:sz w:val="20"/>
        </w:rPr>
        <w:t xml:space="preserve">(xiii) </w:t>
      </w:r>
      <w:r>
        <w:rPr>
          <w:rFonts w:ascii="Times New Roman" w:hAnsi="Times New Roman"/>
          <w:i/>
          <w:sz w:val="20"/>
        </w:rPr>
        <w:t>Series H Preferred Unit Issuance Premium Allocation</w:t>
      </w:r>
      <w:r>
        <w:rPr>
          <w:rFonts w:ascii="Times New Roman" w:hAnsi="Times New Roman"/>
          <w:sz w:val="20"/>
        </w:rPr>
        <w:t xml:space="preserve">. Income of the Partnership attributable to the issuance by the Partnership of a Series H Preferred Unit for an amount in excess of the Series H Liquidation Preference shall be allocated to the Unitholders (other than Series H Holders) in accordance with their respective Percentage Interests. </w:t>
      </w:r>
    </w:p>
    <w:p>
      <w:pPr>
        <w:pStyle w:val="TextBody"/>
        <w:bidi w:val="0"/>
        <w:spacing w:before="120" w:after="0"/>
        <w:jc w:val="left"/>
        <w:rPr>
          <w:rFonts w:ascii="Times New Roman" w:hAnsi="Times New Roman"/>
          <w:sz w:val="20"/>
        </w:rPr>
      </w:pPr>
      <w:r>
        <w:rPr>
          <w:rFonts w:ascii="Times New Roman" w:hAnsi="Times New Roman"/>
          <w:sz w:val="20"/>
        </w:rPr>
        <w:t xml:space="preserve">(xiv) </w:t>
      </w:r>
      <w:r>
        <w:rPr>
          <w:rFonts w:ascii="Times New Roman" w:hAnsi="Times New Roman"/>
          <w:i/>
          <w:sz w:val="20"/>
        </w:rPr>
        <w:t>Gross Income Allocation with Respect to Series I Preferred Units</w:t>
      </w:r>
      <w:r>
        <w:rPr>
          <w:rFonts w:ascii="Times New Roman" w:hAnsi="Times New Roman"/>
          <w:sz w:val="20"/>
        </w:rPr>
        <w:t xml:space="preserve">. Items of Partnership gross income shall be allocated to the Series I Holders in amounts equal to the amount of cash actually distributed in respect of each such Series I Holder’s Series I Preferred Units, until the aggregate amount of such items allocated pursuant to this sentence for the current taxable period and all previous taxable periods is equal to the cumulative amount of all cash distributions made to the Series I Holders pursuant to </w:t>
      </w:r>
      <w:r>
        <w:rPr>
          <w:rFonts w:ascii="Times New Roman" w:hAnsi="Times New Roman"/>
          <w:sz w:val="20"/>
          <w:u w:val="single"/>
        </w:rPr>
        <w:t>Section 5.15(c)(i)</w:t>
      </w:r>
      <w:r>
        <w:rPr>
          <w:rFonts w:ascii="Times New Roman" w:hAnsi="Times New Roman"/>
          <w:sz w:val="20"/>
        </w:rPr>
        <w:t xml:space="preserve">. Unless otherwise required by applicable law, the Partnership agrees that it will not treat a distribution with respect to the Series I Preferred Units as a guaranteed payment.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Allocations for Tax Purposes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as otherwise provided herein, for federal income tax purposes, each item of income, gain, loss and deduction shall be allocated among the Partners in the same manner as its correlative item of “</w:t>
      </w:r>
      <w:r>
        <w:rPr>
          <w:rFonts w:ascii="Times New Roman" w:hAnsi="Times New Roman"/>
          <w:i/>
          <w:sz w:val="20"/>
        </w:rPr>
        <w:t>book</w:t>
      </w:r>
      <w:r>
        <w:rPr>
          <w:rFonts w:ascii="Times New Roman" w:hAnsi="Times New Roman"/>
          <w:sz w:val="20"/>
        </w:rPr>
        <w:t xml:space="preserve">” income, gain, loss or deduction is allocated pursuant to </w:t>
      </w:r>
      <w:r>
        <w:rPr>
          <w:rFonts w:ascii="Times New Roman" w:hAnsi="Times New Roman"/>
          <w:sz w:val="20"/>
          <w:u w:val="single"/>
        </w:rPr>
        <w:t>Section 6.1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an attempt to eliminate Book-Tax Disparities attributable to a Contributed Property or Adjusted Property, items of income, gain, loss, depreciation, amortization and cost recovery deductions shall be allocated for federal income tax purposes among the Partners as follows: </w:t>
      </w:r>
    </w:p>
    <w:p>
      <w:pPr>
        <w:pStyle w:val="TextBody"/>
        <w:bidi w:val="0"/>
        <w:spacing w:before="120" w:after="0"/>
        <w:jc w:val="left"/>
        <w:rPr>
          <w:rFonts w:ascii="Times New Roman" w:hAnsi="Times New Roman"/>
          <w:sz w:val="20"/>
        </w:rPr>
      </w:pPr>
      <w:r>
        <w:rPr>
          <w:rFonts w:ascii="Times New Roman" w:hAnsi="Times New Roman"/>
          <w:sz w:val="20"/>
        </w:rPr>
        <w:t>(i) (A) In the case of a Contributed Property, such items attributable thereto shall be allocated among the Partners in the manner provided under Section 704(c) of the Code that takes into account the variation between the Agreed Value of such property and its adjusted basis at the time of contribution; and (B) any item of Residual Gain or Residual Loss attributable to a Contributed Property shall be allocated among the Partners in the same manner as its correlative item of “</w:t>
      </w:r>
      <w:r>
        <w:rPr>
          <w:rFonts w:ascii="Times New Roman" w:hAnsi="Times New Roman"/>
          <w:i/>
          <w:sz w:val="20"/>
        </w:rPr>
        <w:t>book</w:t>
      </w:r>
      <w:r>
        <w:rPr>
          <w:rFonts w:ascii="Times New Roman" w:hAnsi="Times New Roman"/>
          <w:sz w:val="20"/>
        </w:rPr>
        <w:t xml:space="preserve">” gain or loss is allocated pursuant to </w:t>
      </w:r>
      <w:r>
        <w:rPr>
          <w:rFonts w:ascii="Times New Roman" w:hAnsi="Times New Roman"/>
          <w:sz w:val="20"/>
          <w:u w:val="single"/>
        </w:rPr>
        <w:t>Section 6.1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 In the case of an Adjusted Property, such items shall (1) first, be allocated among the Partners in a manner consistent with the principles of Section 704(c) of the Code to take into account the Unrealized Gain or Unrealized Loss attributable to such property and the allocations thereof pursuant to </w:t>
      </w:r>
      <w:r>
        <w:rPr>
          <w:rFonts w:ascii="Times New Roman" w:hAnsi="Times New Roman"/>
          <w:sz w:val="20"/>
          <w:u w:val="single"/>
        </w:rPr>
        <w:t>Section 5.5(d)(i)</w:t>
      </w:r>
      <w:r>
        <w:rPr>
          <w:rFonts w:ascii="Times New Roman" w:hAnsi="Times New Roman"/>
          <w:sz w:val="20"/>
        </w:rPr>
        <w:t xml:space="preserve"> or </w:t>
      </w:r>
      <w:r>
        <w:rPr>
          <w:rFonts w:ascii="Times New Roman" w:hAnsi="Times New Roman"/>
          <w:sz w:val="20"/>
          <w:u w:val="single"/>
        </w:rPr>
        <w:t>Section 5.5(d)(ii)</w:t>
      </w:r>
      <w:r>
        <w:rPr>
          <w:rFonts w:ascii="Times New Roman" w:hAnsi="Times New Roman"/>
          <w:sz w:val="20"/>
        </w:rPr>
        <w:t xml:space="preserve">, and (2) second, in the event such property was originally a Contributed Property, be allocated among the Partners in a manner consistent with </w:t>
      </w:r>
      <w:r>
        <w:rPr>
          <w:rFonts w:ascii="Times New Roman" w:hAnsi="Times New Roman"/>
          <w:sz w:val="20"/>
          <w:u w:val="single"/>
        </w:rPr>
        <w:t>Section 6.2(b)(i)(A)</w:t>
      </w:r>
      <w:r>
        <w:rPr>
          <w:rFonts w:ascii="Times New Roman" w:hAnsi="Times New Roman"/>
          <w:sz w:val="20"/>
        </w:rPr>
        <w:t>; and (B) any item of Residual Gain or Residual Loss attributable to an Adjusted Property shall be allocated among the Partners in the same manner as its correlative item of “</w:t>
      </w:r>
      <w:r>
        <w:rPr>
          <w:rFonts w:ascii="Times New Roman" w:hAnsi="Times New Roman"/>
          <w:i/>
          <w:sz w:val="20"/>
        </w:rPr>
        <w:t>book</w:t>
      </w:r>
      <w:r>
        <w:rPr>
          <w:rFonts w:ascii="Times New Roman" w:hAnsi="Times New Roman"/>
          <w:sz w:val="20"/>
        </w:rPr>
        <w:t xml:space="preserve">” gain or loss is allocated pursuant to </w:t>
      </w:r>
      <w:r>
        <w:rPr>
          <w:rFonts w:ascii="Times New Roman" w:hAnsi="Times New Roman"/>
          <w:sz w:val="20"/>
          <w:u w:val="single"/>
        </w:rPr>
        <w:t>Section 6.1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The General Partner shall apply the principles of Treasury Regulation Section 1.704-3(d) to eliminate Book-Tax Disparities, except as otherwise determined by the General Partner with respect to goodwill. </w:t>
      </w:r>
    </w:p>
    <w:p>
      <w:pPr>
        <w:pStyle w:val="TextBody"/>
        <w:bidi w:val="0"/>
        <w:spacing w:before="240" w:after="0"/>
        <w:jc w:val="left"/>
        <w:rPr>
          <w:rFonts w:ascii="Times New Roman" w:hAnsi="Times New Roman"/>
          <w:sz w:val="20"/>
        </w:rPr>
      </w:pPr>
      <w:r>
        <w:rPr>
          <w:rFonts w:ascii="Times New Roman" w:hAnsi="Times New Roman"/>
          <w:sz w:val="20"/>
        </w:rPr>
        <w:t xml:space="preserve">(c) For the proper administration of the Partnership and for the preservation of uniformity of the Limited Partner Interests (or any class or classes thereof), the General Partner shall (i) adopt such conventions as it deems appropriate in determining the amount of depreciation, amortization and cost recovery deductions; (ii) make special allocations for federal income tax purposes of income (including, without limitation, gross income) or deductions; and (iii) amend the provisions of this Agreement as appropriate (x) to reflect the proposal or promulgation of Treasury Regulations under Section 704(b) or Section 704(c) of the Code or (y) otherwise to preserve or achieve uniformity of the Limited Partner Interests (or any class or classes thereof). The General Partner may adopt such conventions, make such allocations and make such amendments to this Agreement as provided in this </w:t>
      </w:r>
      <w:r>
        <w:rPr>
          <w:rFonts w:ascii="Times New Roman" w:hAnsi="Times New Roman"/>
          <w:sz w:val="20"/>
          <w:u w:val="single"/>
        </w:rPr>
        <w:t>Section 6.2(c)</w:t>
      </w:r>
      <w:r>
        <w:rPr>
          <w:rFonts w:ascii="Times New Roman" w:hAnsi="Times New Roman"/>
          <w:sz w:val="20"/>
        </w:rPr>
        <w:t xml:space="preserve"> only if such conventions, allocations or amendments would not have a material adverse effect on the Partners, the holders of any class or classes of Limited Partner Interests issued and Outstanding or the Partnership, and if such allocations are consistent with the principles of Section 704 of the Code. </w:t>
      </w:r>
    </w:p>
    <w:p>
      <w:pPr>
        <w:pStyle w:val="TextBody"/>
        <w:bidi w:val="0"/>
        <w:spacing w:before="240" w:after="0"/>
        <w:jc w:val="left"/>
        <w:rPr>
          <w:rFonts w:ascii="Times New Roman" w:hAnsi="Times New Roman"/>
          <w:sz w:val="20"/>
        </w:rPr>
      </w:pPr>
      <w:r>
        <w:rPr>
          <w:rFonts w:ascii="Times New Roman" w:hAnsi="Times New Roman"/>
          <w:sz w:val="20"/>
        </w:rPr>
        <w:t xml:space="preserve">(d) The General Partner may determine to depreciate or amortize the portion of an adjustment under Section 743(b) of the Code attributable to unrealized appreciation in any Adjusted Property (to the extent of the unamortized Book-Tax Disparity) using a predetermined rate derived from the depreciation or amortization method and useful life applied to the Partnership’s common basis of such property, despite any inconsistency of such approach with Treasury Regulation Section 1.167(c)-1(a)(6) or any successor regulations thereto. If the General Partner determines that such reporting position cannot reasonably be taken, the General Partner may adopt depreciation and amortization conventions under which all purchasers acquiring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Limited Partner Interests in the same month would receive depreciation and amortization deductions, based upon the same applicable rate as if they had purchased a direct interest in the Partnership’s property. If the General Partner chooses not to utilize such aggregate method, the General Partner may use any other depreciation and amortization conventions to preserve the uniformity of the intrinsic tax characteristics of any Limited Partner Interests, so long as such conventions would not have a material adverse effect on the Limited Partners or the Record Holders of any class or classes of Limited Partner Interests. </w:t>
      </w:r>
    </w:p>
    <w:p>
      <w:pPr>
        <w:pStyle w:val="TextBody"/>
        <w:bidi w:val="0"/>
        <w:spacing w:before="240" w:after="0"/>
        <w:jc w:val="left"/>
        <w:rPr>
          <w:rFonts w:ascii="Times New Roman" w:hAnsi="Times New Roman"/>
          <w:sz w:val="20"/>
        </w:rPr>
      </w:pPr>
      <w:r>
        <w:rPr>
          <w:rFonts w:ascii="Times New Roman" w:hAnsi="Times New Roman"/>
          <w:sz w:val="20"/>
        </w:rPr>
        <w:t xml:space="preserve">(e) Any gain allocated to the Partners upon the sale or other taxable disposition of any Partnership asset shall, to the extent possible, after taking into account other required allocations of gain pursuant to this </w:t>
      </w:r>
      <w:r>
        <w:rPr>
          <w:rFonts w:ascii="Times New Roman" w:hAnsi="Times New Roman"/>
          <w:sz w:val="20"/>
          <w:u w:val="single"/>
        </w:rPr>
        <w:t>Section 6.2</w:t>
      </w:r>
      <w:r>
        <w:rPr>
          <w:rFonts w:ascii="Times New Roman" w:hAnsi="Times New Roman"/>
          <w:sz w:val="20"/>
        </w:rPr>
        <w:t xml:space="preserve">, be characterized as Recapture Income in the same proportions and to the same extent as such Partners (or their predecessors in interest) have been allocated any deductions directly or indirectly giving rise to the treatment of such gains as Recapture Income. </w:t>
      </w:r>
    </w:p>
    <w:p>
      <w:pPr>
        <w:pStyle w:val="TextBody"/>
        <w:bidi w:val="0"/>
        <w:spacing w:before="240" w:after="0"/>
        <w:jc w:val="left"/>
        <w:rPr>
          <w:rFonts w:ascii="Times New Roman" w:hAnsi="Times New Roman"/>
          <w:sz w:val="20"/>
        </w:rPr>
      </w:pPr>
      <w:r>
        <w:rPr>
          <w:rFonts w:ascii="Times New Roman" w:hAnsi="Times New Roman"/>
          <w:sz w:val="20"/>
        </w:rPr>
        <w:t xml:space="preserve">(f) All items of income, gain, loss, deduction and credit recognized by the Partnership for federal income tax purposes and allocated to the Partners in accordance with the provisions hereof shall be determined without regard to any election under Section 754 of the Code which may be made by the Partnership;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such allocations, once made, shall be adjusted (in the manner determined by the General Partner) to take into account those adjustments permitted or required by Sections 734 and 743 of the Code. </w:t>
      </w:r>
    </w:p>
    <w:p>
      <w:pPr>
        <w:pStyle w:val="TextBody"/>
        <w:bidi w:val="0"/>
        <w:spacing w:before="240" w:after="0"/>
        <w:jc w:val="left"/>
        <w:rPr>
          <w:rFonts w:ascii="Times New Roman" w:hAnsi="Times New Roman"/>
          <w:sz w:val="20"/>
        </w:rPr>
      </w:pPr>
      <w:r>
        <w:rPr>
          <w:rFonts w:ascii="Times New Roman" w:hAnsi="Times New Roman"/>
          <w:sz w:val="20"/>
        </w:rPr>
        <w:t xml:space="preserve">(g) Each item of Partnership income, gain, loss and deduction, shall for federal income tax purposes, be determined on an annual basis and prorated on a monthly basis and shall be allocated to the Partners as of the opening of the National Securities Exchange on which the Units are then traded on the first Business Day of each month;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 such items for the period beginning on the Closing Date and ending on the last day of the month in which the Option Closing Date or the expiration of the Over-Allotment Option occurs shall be allocated to the Partners as of the opening of the National Securities Exchange on the first Business Day of the next succeeding month; and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gain or loss on a sale or other disposition of any assets of the Partnership or any other extraordinary item of income or loss realized and recognized other than in the ordinary course of business, as determined by the General Partner in its sole discretion, shall be allocated to the Partners as of the opening of the National Securities Exchange on the first Business Day of the month in which such gain or loss is recognized for federal income tax purposes. The General Partner may revise, alter or otherwise modify such methods of allocation to the extent permitted or required by Section 706 of the Code and the regulations or rulings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(h) Allocations that would otherwise be made to a Limited Partner under the provisions of this </w:t>
      </w:r>
      <w:r>
        <w:rPr>
          <w:rFonts w:ascii="Times New Roman" w:hAnsi="Times New Roman"/>
          <w:sz w:val="20"/>
          <w:u w:val="single"/>
        </w:rPr>
        <w:t>Article VI</w:t>
      </w:r>
      <w:r>
        <w:rPr>
          <w:rFonts w:ascii="Times New Roman" w:hAnsi="Times New Roman"/>
          <w:sz w:val="20"/>
        </w:rPr>
        <w:t xml:space="preserve"> shall instead be made to the beneficial owner of Limited Partner Interests held by a nominee in any case in which the nominee has furnished the identity of such owner to the Partnership in accordance with Section 6031(c) of the Code or any other method determined by the General Partner.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If Capital Account balances are reallocated between the Partners in accordance with </w:t>
      </w:r>
      <w:r>
        <w:rPr>
          <w:rFonts w:ascii="Times New Roman" w:hAnsi="Times New Roman"/>
          <w:sz w:val="20"/>
          <w:u w:val="single"/>
        </w:rPr>
        <w:t>Section 5.5(d)(i)</w:t>
      </w:r>
      <w:r>
        <w:rPr>
          <w:rFonts w:ascii="Times New Roman" w:hAnsi="Times New Roman"/>
          <w:sz w:val="20"/>
        </w:rPr>
        <w:t xml:space="preserve"> hereof and Proposed Treasury Regulation Section 1.704-1(b)(2)(iv)(s)(4), beginning with the year of reallocation and continuing until the allocations required are fully taken into account, the Partnership shall make corrective allocations (allocations of items of gross income or gain or loss or deduction for federal income tax purposes that do not have a corresponding book allocation) to take into account the Capital Account reallocation, as provided in Proposed Treasury Regulation Section 1.704-1(b)(4)(x).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Requirement and Characterization of Distributions; Distributions to Record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Within 50 calendar days following the end of each Quarter (or the Business Day immediately thereafter), an amount equal to 100% of Available Cash with respect to such Quarter shall, subject to Section 153.210 of the Texas Limited Partnership Law, be distributed in accordance with this </w:t>
      </w:r>
      <w:r>
        <w:rPr>
          <w:rFonts w:ascii="Times New Roman" w:hAnsi="Times New Roman"/>
          <w:sz w:val="20"/>
          <w:u w:val="single"/>
        </w:rPr>
        <w:t>Article VI</w:t>
      </w:r>
      <w:r>
        <w:rPr>
          <w:rFonts w:ascii="Times New Roman" w:hAnsi="Times New Roman"/>
          <w:sz w:val="20"/>
        </w:rPr>
        <w:t xml:space="preserve"> by the Partnership to the Partners as of the Record Date selected by the General Partner. All Available Cash shall be distributed to all Partners in accordance with their Percentage Interests, except as otherwise required by </w:t>
      </w:r>
      <w:r>
        <w:rPr>
          <w:rFonts w:ascii="Times New Roman" w:hAnsi="Times New Roman"/>
          <w:sz w:val="20"/>
          <w:u w:val="single"/>
        </w:rPr>
        <w:t>Section 5.11(b)(ii)</w:t>
      </w:r>
      <w:r>
        <w:rPr>
          <w:rFonts w:ascii="Times New Roman" w:hAnsi="Times New Roman"/>
          <w:sz w:val="20"/>
        </w:rPr>
        <w:t xml:space="preserve">, </w:t>
      </w:r>
      <w:r>
        <w:rPr>
          <w:rFonts w:ascii="Times New Roman" w:hAnsi="Times New Roman"/>
          <w:sz w:val="20"/>
          <w:u w:val="single"/>
        </w:rPr>
        <w:t>Section 5.12(b)(ii)</w:t>
      </w:r>
      <w:r>
        <w:rPr>
          <w:rFonts w:ascii="Times New Roman" w:hAnsi="Times New Roman"/>
          <w:sz w:val="20"/>
        </w:rPr>
        <w:t xml:space="preserve">, </w:t>
      </w:r>
      <w:r>
        <w:rPr>
          <w:rFonts w:ascii="Times New Roman" w:hAnsi="Times New Roman"/>
          <w:sz w:val="20"/>
          <w:u w:val="single"/>
        </w:rPr>
        <w:t>Section 5.13(b)(iii)</w:t>
      </w:r>
      <w:r>
        <w:rPr>
          <w:rFonts w:ascii="Times New Roman" w:hAnsi="Times New Roman"/>
          <w:sz w:val="20"/>
        </w:rPr>
        <w:t xml:space="preserve">, </w:t>
      </w:r>
      <w:r>
        <w:rPr>
          <w:rFonts w:ascii="Times New Roman" w:hAnsi="Times New Roman"/>
          <w:sz w:val="20"/>
          <w:u w:val="single"/>
        </w:rPr>
        <w:t>Section 5.14(b)(ii)</w:t>
      </w:r>
      <w:r>
        <w:rPr>
          <w:rFonts w:ascii="Times New Roman" w:hAnsi="Times New Roman"/>
          <w:sz w:val="20"/>
        </w:rPr>
        <w:t xml:space="preserve"> and </w:t>
      </w:r>
      <w:r>
        <w:rPr>
          <w:rFonts w:ascii="Times New Roman" w:hAnsi="Times New Roman"/>
          <w:sz w:val="20"/>
          <w:u w:val="single"/>
        </w:rPr>
        <w:t>Section 5.15(c)(i)</w:t>
      </w:r>
      <w:r>
        <w:rPr>
          <w:rFonts w:ascii="Times New Roman" w:hAnsi="Times New Roman"/>
          <w:sz w:val="20"/>
        </w:rPr>
        <w:t xml:space="preserve"> or </w:t>
      </w:r>
      <w:r>
        <w:rPr>
          <w:rFonts w:ascii="Times New Roman" w:hAnsi="Times New Roman"/>
          <w:sz w:val="20"/>
          <w:u w:val="single"/>
        </w:rPr>
        <w:t>Section 5.6(b)</w:t>
      </w:r>
      <w:r>
        <w:rPr>
          <w:rFonts w:ascii="Times New Roman" w:hAnsi="Times New Roman"/>
          <w:sz w:val="20"/>
        </w:rPr>
        <w:t xml:space="preserve"> in respect of additional Partnership Securities issued pursuant thereto. All distributions required to be made under this Agreement shall be made subject to Section 153.210 of the Texas Limited Partnership Law.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w:t>
      </w:r>
      <w:r>
        <w:rPr>
          <w:rFonts w:ascii="Times New Roman" w:hAnsi="Times New Roman"/>
          <w:sz w:val="20"/>
          <w:u w:val="single"/>
        </w:rPr>
        <w:t>Section 6.3(a)</w:t>
      </w:r>
      <w:r>
        <w:rPr>
          <w:rFonts w:ascii="Times New Roman" w:hAnsi="Times New Roman"/>
          <w:sz w:val="20"/>
        </w:rPr>
        <w:t xml:space="preserve">, in the event of the dissolution and liquidation of the Partnership, all receipts received during or after the Quarter in which the Liquidation Date occurs shall be applied and distributed solely in accordance with, and subject to the terms and conditions of, </w:t>
      </w:r>
      <w:r>
        <w:rPr>
          <w:rFonts w:ascii="Times New Roman" w:hAnsi="Times New Roman"/>
          <w:sz w:val="20"/>
          <w:u w:val="single"/>
        </w:rPr>
        <w:t>Section 12.4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The General Partner may treat taxes paid by the Partnership on behalf of, or amounts withheld with respect to, all or less than all of the Partners, as a distribution of Available Cash to such Partners. </w:t>
      </w:r>
    </w:p>
    <w:p>
      <w:pPr>
        <w:pStyle w:val="TextBody"/>
        <w:bidi w:val="0"/>
        <w:spacing w:before="240" w:after="0"/>
        <w:jc w:val="left"/>
        <w:rPr>
          <w:rFonts w:ascii="Times New Roman" w:hAnsi="Times New Roman"/>
          <w:sz w:val="20"/>
        </w:rPr>
      </w:pPr>
      <w:r>
        <w:rPr>
          <w:rFonts w:ascii="Times New Roman" w:hAnsi="Times New Roman"/>
          <w:sz w:val="20"/>
        </w:rPr>
        <w:t xml:space="preserve">(d) Each distribution in respect of a Partnership Interest shall be paid by the Partnership, directly or through the Transfer Agent or through any other Person or agent, only to the Record Holder of such Partnership Interest as of the Record Date set for such distribution. Such payment shall constitute full payment and satisfaction of the Partnership’s liability in respect of such payment, regardless of any claim of any Person who may have an interest in such payment by reason of an assignment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Special Provisions Relating to Preferred Unitholders</w:t>
      </w:r>
      <w:r>
        <w:rPr>
          <w:rFonts w:ascii="Times New Roman" w:hAnsi="Times New Roman"/>
          <w:sz w:val="20"/>
        </w:rPr>
        <w:t xml:space="preserve">. Notwithstanding anything to the contrary set forth in this Agreement, the holders of the Series B Preferred Units, Series G Preferred Units, Series H Preferred Units and Series I Preferred Units (a) shall (i) possess the rights and obligations provided in this Agreement with respect to a Limited Partner pursuant to </w:t>
      </w:r>
      <w:r>
        <w:rPr>
          <w:rFonts w:ascii="Times New Roman" w:hAnsi="Times New Roman"/>
          <w:sz w:val="20"/>
          <w:u w:val="single"/>
        </w:rPr>
        <w:t>Article III</w:t>
      </w:r>
      <w:r>
        <w:rPr>
          <w:rFonts w:ascii="Times New Roman" w:hAnsi="Times New Roman"/>
          <w:sz w:val="20"/>
        </w:rPr>
        <w:t xml:space="preserve"> and </w:t>
      </w:r>
      <w:r>
        <w:rPr>
          <w:rFonts w:ascii="Times New Roman" w:hAnsi="Times New Roman"/>
          <w:sz w:val="20"/>
          <w:u w:val="single"/>
        </w:rPr>
        <w:t>Article VII</w:t>
      </w:r>
      <w:r>
        <w:rPr>
          <w:rFonts w:ascii="Times New Roman" w:hAnsi="Times New Roman"/>
          <w:sz w:val="20"/>
        </w:rPr>
        <w:t xml:space="preserve"> and (ii) have a Capital Account as a Partner pursuant to </w:t>
      </w:r>
      <w:r>
        <w:rPr>
          <w:rFonts w:ascii="Times New Roman" w:hAnsi="Times New Roman"/>
          <w:sz w:val="20"/>
          <w:u w:val="single"/>
        </w:rPr>
        <w:t>Section 5.5</w:t>
      </w:r>
      <w:r>
        <w:rPr>
          <w:rFonts w:ascii="Times New Roman" w:hAnsi="Times New Roman"/>
          <w:sz w:val="20"/>
        </w:rPr>
        <w:t xml:space="preserve"> and all other provisions related thereto and (b) shall not (i) be entitled to vote on any matters requiring the approval or vote of the holders of Outstanding Units, except as provided in </w:t>
      </w:r>
      <w:r>
        <w:rPr>
          <w:rFonts w:ascii="Times New Roman" w:hAnsi="Times New Roman"/>
          <w:sz w:val="20"/>
          <w:u w:val="single"/>
        </w:rPr>
        <w:t>Sections 5.11(b)(iii)</w:t>
      </w:r>
      <w:r>
        <w:rPr>
          <w:rFonts w:ascii="Times New Roman" w:hAnsi="Times New Roman"/>
          <w:sz w:val="20"/>
        </w:rPr>
        <w:t xml:space="preserve">, </w:t>
      </w:r>
      <w:r>
        <w:rPr>
          <w:rFonts w:ascii="Times New Roman" w:hAnsi="Times New Roman"/>
          <w:sz w:val="20"/>
          <w:u w:val="single"/>
        </w:rPr>
        <w:t>5.12(b)(iii)</w:t>
      </w:r>
      <w:r>
        <w:rPr>
          <w:rFonts w:ascii="Times New Roman" w:hAnsi="Times New Roman"/>
          <w:sz w:val="20"/>
        </w:rPr>
        <w:t xml:space="preserve">, </w:t>
      </w:r>
      <w:r>
        <w:rPr>
          <w:rFonts w:ascii="Times New Roman" w:hAnsi="Times New Roman"/>
          <w:sz w:val="20"/>
          <w:u w:val="single"/>
        </w:rPr>
        <w:t>5.14(b)(iii)</w:t>
      </w:r>
      <w:r>
        <w:rPr>
          <w:rFonts w:ascii="Times New Roman" w:hAnsi="Times New Roman"/>
          <w:sz w:val="20"/>
        </w:rPr>
        <w:t xml:space="preserve"> and </w:t>
      </w:r>
      <w:r>
        <w:rPr>
          <w:rFonts w:ascii="Times New Roman" w:hAnsi="Times New Roman"/>
          <w:sz w:val="20"/>
          <w:u w:val="single"/>
        </w:rPr>
        <w:t>5.15(d)</w:t>
      </w:r>
      <w:r>
        <w:rPr>
          <w:rFonts w:ascii="Times New Roman" w:hAnsi="Times New Roman"/>
          <w:sz w:val="20"/>
        </w:rPr>
        <w:t xml:space="preserve"> or as required by applicable law, or (ii) be entitled to any distributions other than as provided in </w:t>
      </w:r>
      <w:r>
        <w:rPr>
          <w:rFonts w:ascii="Times New Roman" w:hAnsi="Times New Roman"/>
          <w:sz w:val="20"/>
          <w:u w:val="single"/>
        </w:rPr>
        <w:t>Sections 5.11(b)(ii)</w:t>
      </w:r>
      <w:r>
        <w:rPr>
          <w:rFonts w:ascii="Times New Roman" w:hAnsi="Times New Roman"/>
          <w:sz w:val="20"/>
        </w:rPr>
        <w:t xml:space="preserve">, </w:t>
      </w:r>
      <w:r>
        <w:rPr>
          <w:rFonts w:ascii="Times New Roman" w:hAnsi="Times New Roman"/>
          <w:sz w:val="20"/>
          <w:u w:val="single"/>
        </w:rPr>
        <w:t>5.12(b)(ii)</w:t>
      </w:r>
      <w:r>
        <w:rPr>
          <w:rFonts w:ascii="Times New Roman" w:hAnsi="Times New Roman"/>
          <w:sz w:val="20"/>
        </w:rPr>
        <w:t xml:space="preserve">, </w:t>
      </w:r>
      <w:r>
        <w:rPr>
          <w:rFonts w:ascii="Times New Roman" w:hAnsi="Times New Roman"/>
          <w:sz w:val="20"/>
          <w:u w:val="single"/>
        </w:rPr>
        <w:t>5.13(b)(iii)</w:t>
      </w:r>
      <w:r>
        <w:rPr>
          <w:rFonts w:ascii="Times New Roman" w:hAnsi="Times New Roman"/>
          <w:sz w:val="20"/>
        </w:rPr>
        <w:t xml:space="preserve">, </w:t>
      </w:r>
      <w:r>
        <w:rPr>
          <w:rFonts w:ascii="Times New Roman" w:hAnsi="Times New Roman"/>
          <w:sz w:val="20"/>
          <w:u w:val="single"/>
        </w:rPr>
        <w:t>5.14(b)(ii)</w:t>
      </w:r>
      <w:r>
        <w:rPr>
          <w:rFonts w:ascii="Times New Roman" w:hAnsi="Times New Roman"/>
          <w:sz w:val="20"/>
        </w:rPr>
        <w:t xml:space="preserve">, </w:t>
      </w:r>
      <w:r>
        <w:rPr>
          <w:rFonts w:ascii="Times New Roman" w:hAnsi="Times New Roman"/>
          <w:sz w:val="20"/>
          <w:u w:val="single"/>
        </w:rPr>
        <w:t>5.15(b)(iv)</w:t>
      </w:r>
      <w:r>
        <w:rPr>
          <w:rFonts w:ascii="Times New Roman" w:hAnsi="Times New Roman"/>
          <w:sz w:val="20"/>
        </w:rPr>
        <w:t xml:space="preserve">, </w:t>
      </w:r>
      <w:r>
        <w:rPr>
          <w:rFonts w:ascii="Times New Roman" w:hAnsi="Times New Roman"/>
          <w:sz w:val="20"/>
          <w:u w:val="single"/>
        </w:rPr>
        <w:t>5.15(c)</w:t>
      </w:r>
      <w:r>
        <w:rPr>
          <w:rFonts w:ascii="Times New Roman" w:hAnsi="Times New Roman"/>
          <w:sz w:val="20"/>
        </w:rPr>
        <w:t xml:space="preserve"> and </w:t>
      </w:r>
      <w:r>
        <w:rPr>
          <w:rFonts w:ascii="Times New Roman" w:hAnsi="Times New Roman"/>
          <w:sz w:val="20"/>
          <w:u w:val="single"/>
        </w:rPr>
        <w:t>5.15(g)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MANAGEMENT AND OPERATION OF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Management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General Partner shall conduct, direct and manage all activities of the Partnership. Except as otherwise expressly provided in this Agreement, all management powers over the business and affairs of the Partnership shall be exclusively vested in the General Partner, and no Limited Partner or Assignee shall have any management power over the business and affairs of the Partnership. In addition to the powers now or hereafter granted a general partner of a limited partnership under applicable law or that are granted to the General Partner under any other provision of this Agreement, the General Partner, subject to </w:t>
      </w:r>
      <w:r>
        <w:rPr>
          <w:rFonts w:ascii="Times New Roman" w:hAnsi="Times New Roman"/>
          <w:sz w:val="20"/>
          <w:u w:val="single"/>
        </w:rPr>
        <w:t>Section 7.3</w:t>
      </w:r>
      <w:r>
        <w:rPr>
          <w:rFonts w:ascii="Times New Roman" w:hAnsi="Times New Roman"/>
          <w:sz w:val="20"/>
        </w:rPr>
        <w:t xml:space="preserve">, shall have full power and authority to do all things and on such terms as it determines to be necessary or appropriate to conduct the business of the Partnership, to exercise all powers set forth in </w:t>
      </w:r>
      <w:r>
        <w:rPr>
          <w:rFonts w:ascii="Times New Roman" w:hAnsi="Times New Roman"/>
          <w:sz w:val="20"/>
          <w:u w:val="single"/>
        </w:rPr>
        <w:t>Section 2.5</w:t>
      </w:r>
      <w:r>
        <w:rPr>
          <w:rFonts w:ascii="Times New Roman" w:hAnsi="Times New Roman"/>
          <w:sz w:val="20"/>
        </w:rPr>
        <w:t xml:space="preserve"> and to effectuate the purposes set forth in </w:t>
      </w:r>
      <w:r>
        <w:rPr>
          <w:rFonts w:ascii="Times New Roman" w:hAnsi="Times New Roman"/>
          <w:sz w:val="20"/>
          <w:u w:val="single"/>
        </w:rPr>
        <w:t>Section 2.4</w:t>
      </w:r>
      <w:r>
        <w:rPr>
          <w:rFonts w:ascii="Times New Roman" w:hAnsi="Times New Roman"/>
          <w:sz w:val="20"/>
        </w:rPr>
        <w:t xml:space="preserve">, including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the making of any expenditures, the lending or borrowing of money, the assumption or guarantee of, or other contracting for, indebtedness and other liabilities, the issuance of evidences of indebtedness, including indebtedness that is convertible into Partnership Securities, and the incurring of any other obligations; </w:t>
      </w:r>
    </w:p>
    <w:p>
      <w:pPr>
        <w:pStyle w:val="TextBody"/>
        <w:bidi w:val="0"/>
        <w:spacing w:before="120" w:after="0"/>
        <w:jc w:val="left"/>
        <w:rPr>
          <w:rFonts w:ascii="Times New Roman" w:hAnsi="Times New Roman"/>
          <w:sz w:val="20"/>
        </w:rPr>
      </w:pPr>
      <w:r>
        <w:rPr>
          <w:rFonts w:ascii="Times New Roman" w:hAnsi="Times New Roman"/>
          <w:sz w:val="20"/>
        </w:rPr>
        <w:t xml:space="preserve">(ii) the making of tax, regulatory and other filings, or rendering of periodic or other reports to governmental or other agencies having jurisdiction over the business or assets of the Partnership; </w:t>
      </w:r>
    </w:p>
    <w:p>
      <w:pPr>
        <w:pStyle w:val="TextBody"/>
        <w:bidi w:val="0"/>
        <w:spacing w:before="120" w:after="0"/>
        <w:jc w:val="left"/>
        <w:rPr>
          <w:rFonts w:ascii="Times New Roman" w:hAnsi="Times New Roman"/>
          <w:sz w:val="20"/>
        </w:rPr>
      </w:pPr>
      <w:r>
        <w:rPr>
          <w:rFonts w:ascii="Times New Roman" w:hAnsi="Times New Roman"/>
          <w:sz w:val="20"/>
        </w:rPr>
        <w:t xml:space="preserve">(iii) the acquisition, disposition, mortgage, pledge, encumbrance, hypothecation or exchange of any or all of the assets of the Partnership or the merger or other combination of the Partnership with or into another Person (the matters described in this clause (iii) being subject, however, to any prior approval that may be required by </w:t>
      </w:r>
      <w:r>
        <w:rPr>
          <w:rFonts w:ascii="Times New Roman" w:hAnsi="Times New Roman"/>
          <w:sz w:val="20"/>
          <w:u w:val="single"/>
        </w:rPr>
        <w:t>Section 7.3</w:t>
      </w:r>
      <w:r>
        <w:rPr>
          <w:rFonts w:ascii="Times New Roman" w:hAnsi="Times New Roman"/>
          <w:sz w:val="20"/>
        </w:rPr>
        <w:t xml:space="preserve"> and </w:t>
      </w:r>
      <w:r>
        <w:rPr>
          <w:rFonts w:ascii="Times New Roman" w:hAnsi="Times New Roman"/>
          <w:sz w:val="20"/>
          <w:u w:val="single"/>
        </w:rPr>
        <w:t>Article XIV</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the use of the assets of the Partnership (including cash on hand) for any purpose consistent with the terms of this Agreement, including the financing of the conduct of the operations of the Partnership and its Subsidiaries, subject to </w:t>
      </w:r>
      <w:r>
        <w:rPr>
          <w:rFonts w:ascii="Times New Roman" w:hAnsi="Times New Roman"/>
          <w:sz w:val="20"/>
          <w:u w:val="single"/>
        </w:rPr>
        <w:t>Section 7.6(a)</w:t>
      </w:r>
      <w:r>
        <w:rPr>
          <w:rFonts w:ascii="Times New Roman" w:hAnsi="Times New Roman"/>
          <w:sz w:val="20"/>
        </w:rPr>
        <w:t xml:space="preserve">, the lending of funds to other Persons; the repayment or guarantee of obligations of the Partnership and its Subsidiaries and the making of capital contributions to any member of the Partnership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(v) the negotiation, execution and performance of any contracts, conveyances or other instruments (including instruments that limit the liability of the Partnership under contractual arrangements to all or particular assets of the Partnership, with the other party to the contract to have no recourse against the General Partner or its assets other than its interest in the Partnership, even if same results in the terms of the transaction being less favorable to the Partnership than would otherwise be the case); </w:t>
      </w:r>
    </w:p>
    <w:p>
      <w:pPr>
        <w:pStyle w:val="TextBody"/>
        <w:bidi w:val="0"/>
        <w:spacing w:before="120" w:after="0"/>
        <w:jc w:val="left"/>
        <w:rPr>
          <w:rFonts w:ascii="Times New Roman" w:hAnsi="Times New Roman"/>
          <w:sz w:val="20"/>
        </w:rPr>
      </w:pPr>
      <w:r>
        <w:rPr>
          <w:rFonts w:ascii="Times New Roman" w:hAnsi="Times New Roman"/>
          <w:sz w:val="20"/>
        </w:rPr>
        <w:t xml:space="preserve">(vi) the distribution of Partnership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(vii) the selection and dismissal of employees (including employees having titles such as “</w:t>
      </w:r>
      <w:r>
        <w:rPr>
          <w:rFonts w:ascii="Times New Roman" w:hAnsi="Times New Roman"/>
          <w:i/>
          <w:sz w:val="20"/>
        </w:rPr>
        <w:t>president</w:t>
      </w:r>
      <w:r>
        <w:rPr>
          <w:rFonts w:ascii="Times New Roman" w:hAnsi="Times New Roman"/>
          <w:sz w:val="20"/>
        </w:rPr>
        <w:t>,” “</w:t>
      </w:r>
      <w:r>
        <w:rPr>
          <w:rFonts w:ascii="Times New Roman" w:hAnsi="Times New Roman"/>
          <w:i/>
          <w:sz w:val="20"/>
        </w:rPr>
        <w:t>vice president</w:t>
      </w:r>
      <w:r>
        <w:rPr>
          <w:rFonts w:ascii="Times New Roman" w:hAnsi="Times New Roman"/>
          <w:sz w:val="20"/>
        </w:rPr>
        <w:t>,” “</w:t>
      </w:r>
      <w:r>
        <w:rPr>
          <w:rFonts w:ascii="Times New Roman" w:hAnsi="Times New Roman"/>
          <w:i/>
          <w:sz w:val="20"/>
        </w:rPr>
        <w:t>secretary</w:t>
      </w:r>
      <w:r>
        <w:rPr>
          <w:rFonts w:ascii="Times New Roman" w:hAnsi="Times New Roman"/>
          <w:sz w:val="20"/>
        </w:rPr>
        <w:t>” and “</w:t>
      </w:r>
      <w:r>
        <w:rPr>
          <w:rFonts w:ascii="Times New Roman" w:hAnsi="Times New Roman"/>
          <w:i/>
          <w:sz w:val="20"/>
        </w:rPr>
        <w:t>treasurer</w:t>
      </w:r>
      <w:r>
        <w:rPr>
          <w:rFonts w:ascii="Times New Roman" w:hAnsi="Times New Roman"/>
          <w:sz w:val="20"/>
        </w:rPr>
        <w:t xml:space="preserve">”) and agents, outside attorneys, accountants, consultants and contractors and the determination of their compensation and other terms of employment or hiring; </w:t>
      </w:r>
    </w:p>
    <w:p>
      <w:pPr>
        <w:pStyle w:val="TextBody"/>
        <w:bidi w:val="0"/>
        <w:spacing w:before="120" w:after="0"/>
        <w:jc w:val="left"/>
        <w:rPr>
          <w:rFonts w:ascii="Times New Roman" w:hAnsi="Times New Roman"/>
          <w:sz w:val="20"/>
        </w:rPr>
      </w:pPr>
      <w:r>
        <w:rPr>
          <w:rFonts w:ascii="Times New Roman" w:hAnsi="Times New Roman"/>
          <w:sz w:val="20"/>
        </w:rPr>
        <w:t xml:space="preserve">(viii) the maintenance of insurance for the benefit of the Partnership, the Partners and Indemnitees; </w:t>
      </w:r>
    </w:p>
    <w:p>
      <w:pPr>
        <w:pStyle w:val="TextBody"/>
        <w:bidi w:val="0"/>
        <w:spacing w:before="120" w:after="0"/>
        <w:jc w:val="left"/>
        <w:rPr>
          <w:rFonts w:ascii="Times New Roman" w:hAnsi="Times New Roman"/>
          <w:sz w:val="20"/>
        </w:rPr>
      </w:pPr>
      <w:r>
        <w:rPr>
          <w:rFonts w:ascii="Times New Roman" w:hAnsi="Times New Roman"/>
          <w:sz w:val="20"/>
        </w:rPr>
        <w:t xml:space="preserve">(ix) the formation of, or acquisition of an interest in, and the contribution of property and the making of loans to, any further limited or general partnerships, joint ventures, limited liability companies, corporations or other relationships (including the acquisition of interests in, and the contributions of property to, Subsidiaries from time to time) subject to the restrictions set forth in </w:t>
      </w:r>
      <w:r>
        <w:rPr>
          <w:rFonts w:ascii="Times New Roman" w:hAnsi="Times New Roman"/>
          <w:sz w:val="20"/>
          <w:u w:val="single"/>
        </w:rPr>
        <w:t>Section 2.4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 the control of any matters affecting the rights and obligations of the Partnership, including the bringing and defending of actions at law or in equity and otherwise engaging in the conduct of litigation, arbitration or mediation and the incurring of legal expense and the settlement of claims and litigation; </w:t>
      </w:r>
    </w:p>
    <w:p>
      <w:pPr>
        <w:pStyle w:val="TextBody"/>
        <w:bidi w:val="0"/>
        <w:spacing w:before="120" w:after="0"/>
        <w:jc w:val="left"/>
        <w:rPr>
          <w:rFonts w:ascii="Times New Roman" w:hAnsi="Times New Roman"/>
          <w:sz w:val="20"/>
        </w:rPr>
      </w:pPr>
      <w:r>
        <w:rPr>
          <w:rFonts w:ascii="Times New Roman" w:hAnsi="Times New Roman"/>
          <w:sz w:val="20"/>
        </w:rPr>
        <w:t xml:space="preserve">(xi) the indemnification of any Person against liabilities and contingencies to the extent permitted by law; </w:t>
      </w:r>
    </w:p>
    <w:p>
      <w:pPr>
        <w:pStyle w:val="TextBody"/>
        <w:bidi w:val="0"/>
        <w:spacing w:before="120" w:after="0"/>
        <w:jc w:val="left"/>
        <w:rPr>
          <w:rFonts w:ascii="Times New Roman" w:hAnsi="Times New Roman"/>
          <w:sz w:val="20"/>
        </w:rPr>
      </w:pPr>
      <w:r>
        <w:rPr>
          <w:rFonts w:ascii="Times New Roman" w:hAnsi="Times New Roman"/>
          <w:sz w:val="20"/>
        </w:rPr>
        <w:t xml:space="preserve">(xii) the entering into of listing agreements with any National Securities Exchange and the delisting of some or all of the Limited Partner Interests from, or requesting that trading be suspended on, any such exchange (subject to any prior approval that may be required under </w:t>
      </w:r>
      <w:r>
        <w:rPr>
          <w:rFonts w:ascii="Times New Roman" w:hAnsi="Times New Roman"/>
          <w:sz w:val="20"/>
          <w:u w:val="single"/>
        </w:rPr>
        <w:t>Section 4.7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(xiii) the purchase, sale or other acquisition or disposition of Partnership Securities, or the issuance of options, rights, warrants and appreciation rights relating to Partnership Securities; and </w:t>
      </w:r>
    </w:p>
    <w:p>
      <w:pPr>
        <w:pStyle w:val="TextBody"/>
        <w:bidi w:val="0"/>
        <w:spacing w:before="120" w:after="0"/>
        <w:jc w:val="left"/>
        <w:rPr>
          <w:rFonts w:ascii="Times New Roman" w:hAnsi="Times New Roman"/>
          <w:sz w:val="20"/>
        </w:rPr>
      </w:pPr>
      <w:r>
        <w:rPr>
          <w:rFonts w:ascii="Times New Roman" w:hAnsi="Times New Roman"/>
          <w:sz w:val="20"/>
        </w:rPr>
        <w:t xml:space="preserve">(xiv) the entering into of agreements with any of its Affiliates to render services to a Group Member or to itself in the discharge of its duties as General Partner of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 other provision of this Agreement, the Texas Limited Partnership Law or any applicable law, rule or regulation, each of the Partners and Assignees and each other Person who may acquire an interest in Partnership Securities hereby (i) approves, ratifies and confirms the execution, delivery and performance by the parties thereto of the Underwriting Agreement, the Omnibus Agreement and the other agreements described in or filed as exhibits to the Registration Statement that are related to the transactions contemplated by the Registration Statement; (ii) agrees that the General Partner (on its own or through any officer of the Partnership) is authorized to execute, deliver and perform the agreements referred to in clause (i) of this sentence and the other agreements, acts, transactions and matters described in or contemplated by the Registration Statement on behalf of the Partnership without any further act, approval or vote of the Partners or the Assignees or the other Persons who may acquire an interest in Partnership Securities; and (iii) agrees that the execution, delivery or performance by the General Partner, any Group Member or any Affiliate of any of them, of this Agreement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authorized or permitted under this Agreement (including the exercise by the General Partner or any Affiliate of the General Partner of the rights accorded pursuant to </w:t>
      </w:r>
      <w:r>
        <w:rPr>
          <w:rFonts w:ascii="Times New Roman" w:hAnsi="Times New Roman"/>
          <w:sz w:val="20"/>
          <w:u w:val="single"/>
        </w:rPr>
        <w:t>Article XV</w:t>
      </w:r>
      <w:r>
        <w:rPr>
          <w:rFonts w:ascii="Times New Roman" w:hAnsi="Times New Roman"/>
          <w:sz w:val="20"/>
        </w:rPr>
        <w:t xml:space="preserve">), shall not constitute a breach by the General Partner of any duty that the General Partner may owe the Partnership or the Limited Partners or any other Persons under this Agreement (or any other agreements) or of any duty stated or implied by law or equity.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Certificate of Formation</w:t>
      </w:r>
      <w:r>
        <w:rPr>
          <w:rFonts w:ascii="Times New Roman" w:hAnsi="Times New Roman"/>
          <w:sz w:val="20"/>
        </w:rPr>
        <w:t xml:space="preserve">. The General Partner has caused the Certificate of Formation to be filed with the Secretary of State of the State of Texas as required by the Texas Limited Partnership Law and shall use all reasonable efforts to cause to be filed such other certificates or documents that the General Partner determines to be necessary or appropriate for the formation, continuation, qualification and operation of a limited partnership (or a partnership in which the limited partners have limited liability) in the State of Texas or any other state in which the Partnership may elect to do business or own property. To the extent the General Partner determines such action to be necessary or appropriate, the General Partner shall file amendments to and restatements of the Certificate of Formation and do all things to maintain the Partnership as a limited partnership (or a partnership or other entity in which the limited partners have limited liability) under the laws of the State of Texas or of any other state in which the Partnership may elect to do business or own property. Subject to the terms of </w:t>
      </w:r>
      <w:r>
        <w:rPr>
          <w:rFonts w:ascii="Times New Roman" w:hAnsi="Times New Roman"/>
          <w:sz w:val="20"/>
          <w:u w:val="single"/>
        </w:rPr>
        <w:t>Section 3.4(a)</w:t>
      </w:r>
      <w:r>
        <w:rPr>
          <w:rFonts w:ascii="Times New Roman" w:hAnsi="Times New Roman"/>
          <w:sz w:val="20"/>
        </w:rPr>
        <w:t xml:space="preserve">, the General Partner shall not be required, before or after filing, to deliver or mail a copy of the Certificate of Formation, any qualification document or any amendment thereto to any Limited Partner.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Restrictions on General Partner’s Authority</w:t>
      </w:r>
      <w:r>
        <w:rPr>
          <w:rFonts w:ascii="Times New Roman" w:hAnsi="Times New Roman"/>
          <w:sz w:val="20"/>
        </w:rPr>
        <w:t xml:space="preserve">. Except as provided in </w:t>
      </w:r>
      <w:r>
        <w:rPr>
          <w:rFonts w:ascii="Times New Roman" w:hAnsi="Times New Roman"/>
          <w:sz w:val="20"/>
          <w:u w:val="single"/>
        </w:rPr>
        <w:t>Articles XII</w:t>
      </w:r>
      <w:r>
        <w:rPr>
          <w:rFonts w:ascii="Times New Roman" w:hAnsi="Times New Roman"/>
          <w:sz w:val="20"/>
        </w:rPr>
        <w:t xml:space="preserve"> and </w:t>
      </w:r>
      <w:r>
        <w:rPr>
          <w:rFonts w:ascii="Times New Roman" w:hAnsi="Times New Roman"/>
          <w:sz w:val="20"/>
          <w:u w:val="single"/>
        </w:rPr>
        <w:t>XIV</w:t>
      </w:r>
      <w:r>
        <w:rPr>
          <w:rFonts w:ascii="Times New Roman" w:hAnsi="Times New Roman"/>
          <w:sz w:val="20"/>
        </w:rPr>
        <w:t xml:space="preserve">, the General Partner may not sell, exchange or otherwise dispose of all or substantially all of the assets of the Partnership Group, taken as a whole, in a single transaction or a series of related transactions (including by way of merger, consolidation or other combination) without the approval of holders of a Unit Majority;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this provision shall not preclude or limit the General Partner’s ability to mortgage, pledge, hypothecate or grant a security interest in all or substantially all of the assets of the Partnership Group and shall not apply to any forced sale of any or all of the assets of the Partnership Group pursuant to the foreclosure of, or other realization upon, any such encumbrance. Without the approval of holders of a majority of Outstanding Units, the General Partner shall not, on behalf of the Partnership except as permitted under </w:t>
      </w:r>
      <w:r>
        <w:rPr>
          <w:rFonts w:ascii="Times New Roman" w:hAnsi="Times New Roman"/>
          <w:sz w:val="20"/>
          <w:u w:val="single"/>
        </w:rPr>
        <w:t>Sections 4.6</w:t>
      </w:r>
      <w:r>
        <w:rPr>
          <w:rFonts w:ascii="Times New Roman" w:hAnsi="Times New Roman"/>
          <w:sz w:val="20"/>
        </w:rPr>
        <w:t xml:space="preserve">, </w:t>
      </w:r>
      <w:r>
        <w:rPr>
          <w:rFonts w:ascii="Times New Roman" w:hAnsi="Times New Roman"/>
          <w:sz w:val="20"/>
          <w:u w:val="single"/>
        </w:rPr>
        <w:t>11.1</w:t>
      </w:r>
      <w:r>
        <w:rPr>
          <w:rFonts w:ascii="Times New Roman" w:hAnsi="Times New Roman"/>
          <w:sz w:val="20"/>
        </w:rPr>
        <w:t xml:space="preserve"> and </w:t>
      </w:r>
      <w:r>
        <w:rPr>
          <w:rFonts w:ascii="Times New Roman" w:hAnsi="Times New Roman"/>
          <w:sz w:val="20"/>
          <w:u w:val="single"/>
        </w:rPr>
        <w:t>11.2</w:t>
      </w:r>
      <w:r>
        <w:rPr>
          <w:rFonts w:ascii="Times New Roman" w:hAnsi="Times New Roman"/>
          <w:sz w:val="20"/>
        </w:rPr>
        <w:t xml:space="preserve">, elect or cause the Partnership to elect a successor general partner of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Reimbursement of the General Partner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provided in this </w:t>
      </w:r>
      <w:r>
        <w:rPr>
          <w:rFonts w:ascii="Times New Roman" w:hAnsi="Times New Roman"/>
          <w:sz w:val="20"/>
          <w:u w:val="single"/>
        </w:rPr>
        <w:t>Section 7.4</w:t>
      </w:r>
      <w:r>
        <w:rPr>
          <w:rFonts w:ascii="Times New Roman" w:hAnsi="Times New Roman"/>
          <w:sz w:val="20"/>
        </w:rPr>
        <w:t xml:space="preserve"> and elsewhere in this Agreement, the General Partner shall not be compensated for its services as general partner or managing member of any Group Member. </w:t>
      </w:r>
    </w:p>
    <w:p>
      <w:pPr>
        <w:pStyle w:val="TextBody"/>
        <w:bidi w:val="0"/>
        <w:spacing w:before="240" w:after="0"/>
        <w:jc w:val="left"/>
        <w:rPr>
          <w:rFonts w:ascii="Times New Roman" w:hAnsi="Times New Roman"/>
          <w:sz w:val="20"/>
        </w:rPr>
      </w:pPr>
      <w:r>
        <w:rPr>
          <w:rFonts w:ascii="Times New Roman" w:hAnsi="Times New Roman"/>
          <w:sz w:val="20"/>
        </w:rPr>
        <w:t xml:space="preserve">(b) The General Partner shall be reimbursed on a monthly basis, or such other reasonable basis as the General Partner may determine, for (i) all direct and indirect expenses it incurs or payments it makes on behalf of the Partnership (including salary, bonus, incentive compensation and other amounts paid to any Person) including Affiliates of the General Partner to perform services for the Partnership or for the General Partner in the discharge of its duties to the Partnership and, in the event the Partnership owns or operates, either directly or through any Subsidiary, any pipelines subject to rate regulation by FERC, including overhead allocated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Partnership by Affiliates of the General Partner for its allocable share of actual overhead expenses consistent with then applicable accounting and allocation methodologies generally permitted by FERC for rate making purposes (or in the absence of then applicable methodologies permitted by FERC, consistent with the most recently applicable methodologies) and past business practices, and (ii) all other expenses allocable to the Partnership or otherwise incurred by the General Partner in connection with operating the Partnership’s business (including expenses allocated to the General Partner by its Affiliates). The General Partner shall determine the expenses that are allocable to the Partnership. Reimbursements pursuant to this </w:t>
      </w:r>
      <w:r>
        <w:rPr>
          <w:rFonts w:ascii="Times New Roman" w:hAnsi="Times New Roman"/>
          <w:sz w:val="20"/>
          <w:u w:val="single"/>
        </w:rPr>
        <w:t>Section 7.4</w:t>
      </w:r>
      <w:r>
        <w:rPr>
          <w:rFonts w:ascii="Times New Roman" w:hAnsi="Times New Roman"/>
          <w:sz w:val="20"/>
        </w:rPr>
        <w:t xml:space="preserve"> shall be in addition to any reimbursement to the General Partner as a result of indemnification pursuant to </w:t>
      </w:r>
      <w:r>
        <w:rPr>
          <w:rFonts w:ascii="Times New Roman" w:hAnsi="Times New Roman"/>
          <w:sz w:val="20"/>
          <w:u w:val="single"/>
        </w:rPr>
        <w:t>Section 7.7</w:t>
      </w:r>
      <w:r>
        <w:rPr>
          <w:rFonts w:ascii="Times New Roman" w:hAnsi="Times New Roman"/>
          <w:sz w:val="20"/>
        </w:rPr>
        <w:t xml:space="preserve">. The allocation of overhead to the Partnership by Affiliates of the General Partner for its allocable share of actual overhead expenses consistent with then applicable accounting and allocation methodologies generally permitted by FERC for rate making purposes (or in the absence of then applicable methodologies permitted by FERC, consistent with the most recently applicable methodologies) and past business practices shall be deemed to be fair and reasonable to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(c) The General Partner, without the approval of the Limited Partners (who shall have no right to vote in respect thereof), may propose and adopt on behalf of the Partnership employee benefit plans, employee programs and employee practices (including plans, programs and practices involving the issuance of Partnership Securities or options to purchase or rights, warrants or appreciation rights relating to Partnership Securities), or cause the Partnership to issue Partnership Securities in connection with, or pursuant to, any employee benefit plan, employee program or employee practice maintained or sponsored by the General Partner or any one of its Affiliates, in each case for the benefit of employees of the General Partner, any Group Member or any Affiliate, or any of them, in respect of services performed, directly or indirectly, for the benefit of the Partnership Group. The Partnership agrees to issue and sell to the General Partner or any of its Affiliates any Partnership Securities that the General Partner or such Affiliate is obligated to provide to any employees pursuant to any such employee benefit plans, employee programs or employee practices. Expenses incurred by the General Partner in connection with any such plans, programs and practices (including the net cost to the General Partner or such Affiliate of Partnership Securities purchased by the General Partner or such Affiliate from the Partnership to fulfill options or awards under such plans, programs and practices) shall be reimbursed in accordance with </w:t>
      </w:r>
      <w:r>
        <w:rPr>
          <w:rFonts w:ascii="Times New Roman" w:hAnsi="Times New Roman"/>
          <w:sz w:val="20"/>
          <w:u w:val="single"/>
        </w:rPr>
        <w:t>Section 7.4(b)</w:t>
      </w:r>
      <w:r>
        <w:rPr>
          <w:rFonts w:ascii="Times New Roman" w:hAnsi="Times New Roman"/>
          <w:sz w:val="20"/>
        </w:rPr>
        <w:t xml:space="preserve">. Any and all obligations of the General Partner under any employee benefit plans, employee programs or employee practices adopted by the General Partner as permitted by this </w:t>
      </w:r>
      <w:r>
        <w:rPr>
          <w:rFonts w:ascii="Times New Roman" w:hAnsi="Times New Roman"/>
          <w:sz w:val="20"/>
          <w:u w:val="single"/>
        </w:rPr>
        <w:t>Section 7.4(c)</w:t>
      </w:r>
      <w:r>
        <w:rPr>
          <w:rFonts w:ascii="Times New Roman" w:hAnsi="Times New Roman"/>
          <w:sz w:val="20"/>
        </w:rPr>
        <w:t xml:space="preserve"> shall constitute obligations of the General Partner hereunder and shall be assumed by any successor General Partner approved pursuant to </w:t>
      </w:r>
      <w:r>
        <w:rPr>
          <w:rFonts w:ascii="Times New Roman" w:hAnsi="Times New Roman"/>
          <w:sz w:val="20"/>
          <w:u w:val="single"/>
        </w:rPr>
        <w:t>Sections 11.1</w:t>
      </w:r>
      <w:r>
        <w:rPr>
          <w:rFonts w:ascii="Times New Roman" w:hAnsi="Times New Roman"/>
          <w:sz w:val="20"/>
        </w:rPr>
        <w:t xml:space="preserve"> or </w:t>
      </w:r>
      <w:r>
        <w:rPr>
          <w:rFonts w:ascii="Times New Roman" w:hAnsi="Times New Roman"/>
          <w:sz w:val="20"/>
          <w:u w:val="single"/>
        </w:rPr>
        <w:t>11.2</w:t>
      </w:r>
      <w:r>
        <w:rPr>
          <w:rFonts w:ascii="Times New Roman" w:hAnsi="Times New Roman"/>
          <w:sz w:val="20"/>
        </w:rPr>
        <w:t xml:space="preserve"> or the transferee of or successor to all of the General Partner’s General Partner Interest pursuant to </w:t>
      </w:r>
      <w:r>
        <w:rPr>
          <w:rFonts w:ascii="Times New Roman" w:hAnsi="Times New Roman"/>
          <w:sz w:val="20"/>
          <w:u w:val="single"/>
        </w:rPr>
        <w:t>Section 4.6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Outside Activities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After the Closing Date, the General Partner, for so long as it is the general partner of the Partnership (i) agrees that its sole business will be to act as the general partner or managing member, as the case may be, of the Partnership and any other partnership or limited liability company of which the Partnership is, directly or indirectly, a partner or managing member and to undertake activities that are ancillary or related thereto (including being a limited partner in the Partnership) and (ii) shall not engage in any business or activity or incur any debts or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in connection with or incidental to (A) its performance as general partner or managing member of one or more Group Members or as described in or contemplated by the Registration Statement, (B) the acquiring, owning or disposing of debt or equity securities in any Group Member;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neither clause (i) or clause (ii) shall prohibit the General Partner from owning, directly or indirectly, limited partner interests or limited liability company interests in another Person. </w:t>
      </w:r>
    </w:p>
    <w:p>
      <w:pPr>
        <w:pStyle w:val="TextBody"/>
        <w:bidi w:val="0"/>
        <w:spacing w:before="240" w:after="0"/>
        <w:jc w:val="left"/>
        <w:rPr>
          <w:rFonts w:ascii="Times New Roman" w:hAnsi="Times New Roman"/>
          <w:sz w:val="20"/>
        </w:rPr>
      </w:pPr>
      <w:r>
        <w:rPr>
          <w:rFonts w:ascii="Times New Roman" w:hAnsi="Times New Roman"/>
          <w:sz w:val="20"/>
        </w:rPr>
        <w:t xml:space="preserve">(b) Except as specifically restricted by </w:t>
      </w:r>
      <w:r>
        <w:rPr>
          <w:rFonts w:ascii="Times New Roman" w:hAnsi="Times New Roman"/>
          <w:sz w:val="20"/>
          <w:u w:val="single"/>
        </w:rPr>
        <w:t>Section 7.5(a)</w:t>
      </w:r>
      <w:r>
        <w:rPr>
          <w:rFonts w:ascii="Times New Roman" w:hAnsi="Times New Roman"/>
          <w:sz w:val="20"/>
        </w:rPr>
        <w:t xml:space="preserve">, each Group Member and Indemnitee shall have the right to engage in businesses of every type and description and other activities for profit and to engage in and possess an interest in other business ventures of any and every type or description, whether in businesses engaged in or anticipated to be engaged in by any Group Member, independently or with others, including business interests and activities in direct competition with the business and activities of any Group Member, and none of the same shall constitute a breach of this Agreement or any duty expressed or implied by law to any Group Member or any Partner. Neither any Group Member, any Limited Partner nor any other Person shall have any rights by virtue of this Agreement or the partnership relationship established hereby or thereby in any business ventures of any Group Member or any Indemnitee.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terms of </w:t>
      </w:r>
      <w:r>
        <w:rPr>
          <w:rFonts w:ascii="Times New Roman" w:hAnsi="Times New Roman"/>
          <w:sz w:val="20"/>
          <w:u w:val="single"/>
        </w:rPr>
        <w:t>Sections 7.5(a)</w:t>
      </w:r>
      <w:r>
        <w:rPr>
          <w:rFonts w:ascii="Times New Roman" w:hAnsi="Times New Roman"/>
          <w:sz w:val="20"/>
        </w:rPr>
        <w:t xml:space="preserve"> and </w:t>
      </w:r>
      <w:r>
        <w:rPr>
          <w:rFonts w:ascii="Times New Roman" w:hAnsi="Times New Roman"/>
          <w:sz w:val="20"/>
          <w:u w:val="single"/>
        </w:rPr>
        <w:t>7.5(b)</w:t>
      </w:r>
      <w:r>
        <w:rPr>
          <w:rFonts w:ascii="Times New Roman" w:hAnsi="Times New Roman"/>
          <w:sz w:val="20"/>
        </w:rPr>
        <w:t xml:space="preserve">, but otherwise notwithstanding anything to the contrary in this Agreement, (i) the engaging in competitive activities by any Group Member or any Indemnitee in accordance with the provisions of this </w:t>
      </w:r>
      <w:r>
        <w:rPr>
          <w:rFonts w:ascii="Times New Roman" w:hAnsi="Times New Roman"/>
          <w:sz w:val="20"/>
          <w:u w:val="single"/>
        </w:rPr>
        <w:t>Section 7.5</w:t>
      </w:r>
      <w:r>
        <w:rPr>
          <w:rFonts w:ascii="Times New Roman" w:hAnsi="Times New Roman"/>
          <w:sz w:val="20"/>
        </w:rPr>
        <w:t xml:space="preserve"> is hereby approved by the Partnership and all Partners, (ii) it shall be deemed not to be a breach of any fiduciary duties or any other obligation of any type whatsoever of the General Partner for any Group Member or any Indemnitee to engage in such business interests and activities in preference to or to the exclusion of the Partnership and (iii) none of the General Partner, any Group Member nor any Indemnitee shall have any obligation hereunder or as a result of any duty expressed or implied by law to present business opportunities to the Partnership, any other Group Member or any Indemnitee. </w:t>
      </w:r>
    </w:p>
    <w:p>
      <w:pPr>
        <w:pStyle w:val="TextBody"/>
        <w:bidi w:val="0"/>
        <w:spacing w:before="240" w:after="0"/>
        <w:jc w:val="left"/>
        <w:rPr>
          <w:rFonts w:ascii="Times New Roman" w:hAnsi="Times New Roman"/>
          <w:sz w:val="20"/>
        </w:rPr>
      </w:pPr>
      <w:r>
        <w:rPr>
          <w:rFonts w:ascii="Times New Roman" w:hAnsi="Times New Roman"/>
          <w:sz w:val="20"/>
        </w:rPr>
        <w:t xml:space="preserve">(d) The General Partner and any of its Affiliates may acquire Units or other Partnership Securities in addition to those acquired on the Closing Date and, except as otherwise provided in this Agreement, shall be entitled to exercise all rights of a General Partner or Limited Partner, as applicable, relating to such Units or Partnership Securities. </w:t>
      </w:r>
    </w:p>
    <w:p>
      <w:pPr>
        <w:pStyle w:val="TextBody"/>
        <w:bidi w:val="0"/>
        <w:spacing w:before="240" w:after="0"/>
        <w:jc w:val="left"/>
        <w:rPr>
          <w:rFonts w:ascii="Times New Roman" w:hAnsi="Times New Roman"/>
          <w:sz w:val="20"/>
        </w:rPr>
      </w:pPr>
      <w:r>
        <w:rPr>
          <w:rFonts w:ascii="Times New Roman" w:hAnsi="Times New Roman"/>
          <w:sz w:val="20"/>
        </w:rPr>
        <w:t>(e) The term “</w:t>
      </w:r>
      <w:r>
        <w:rPr>
          <w:rFonts w:ascii="Times New Roman" w:hAnsi="Times New Roman"/>
          <w:i/>
          <w:sz w:val="20"/>
        </w:rPr>
        <w:t>Affiliates</w:t>
      </w:r>
      <w:r>
        <w:rPr>
          <w:rFonts w:ascii="Times New Roman" w:hAnsi="Times New Roman"/>
          <w:sz w:val="20"/>
        </w:rPr>
        <w:t xml:space="preserve">” when used in </w:t>
      </w:r>
      <w:r>
        <w:rPr>
          <w:rFonts w:ascii="Times New Roman" w:hAnsi="Times New Roman"/>
          <w:sz w:val="20"/>
          <w:u w:val="single"/>
        </w:rPr>
        <w:t>Section 7.5(d)</w:t>
      </w:r>
      <w:r>
        <w:rPr>
          <w:rFonts w:ascii="Times New Roman" w:hAnsi="Times New Roman"/>
          <w:sz w:val="20"/>
        </w:rPr>
        <w:t xml:space="preserve"> with respect to the General Partner shall not include any Group Member or any Subsidiary of the Group Member. </w:t>
      </w:r>
    </w:p>
    <w:p>
      <w:pPr>
        <w:pStyle w:val="TextBody"/>
        <w:bidi w:val="0"/>
        <w:spacing w:before="240" w:after="0"/>
        <w:jc w:val="left"/>
        <w:rPr>
          <w:rFonts w:ascii="Times New Roman" w:hAnsi="Times New Roman"/>
          <w:sz w:val="20"/>
        </w:rPr>
      </w:pPr>
      <w:r>
        <w:rPr>
          <w:rFonts w:ascii="Times New Roman" w:hAnsi="Times New Roman"/>
          <w:sz w:val="20"/>
        </w:rPr>
        <w:t xml:space="preserve">(f) Anything in this Agreement to the contrary notwithstanding, to the extent that any provision of this Agreement purports or is interpreted to have the effect of limiting or restricting the fiduciary duties that might otherwise, as a result of Texas or other applicable law, be owed by the General Partner, its Board of Directors or any committee thereof to the Partnership and its Limited Partners, each Limited Partner consents to such limitations and restrictions related to such fiduciary duties to the maximum extent that such consent is permitted under Texas or other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Loans from the General Partner; Loans or Contributions from the Partnership; Contracts with Affiliates; Certain Restrictions on the General Partner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General Partner or any of its Affiliates may, but shall be under no obligation to, lend to any Group Member, and any Group Member may borrow from the General Partner or any of its Affiliates, funds needed or desired by the Group Member for such periods of time and in such amounts as the General Partner may determine. Any loan made to a Group Member by the General Partner or any of its Affiliates shall be on terms that are fair and reasonable to the Partnership;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requirements of this </w:t>
      </w:r>
      <w:r>
        <w:rPr>
          <w:rFonts w:ascii="Times New Roman" w:hAnsi="Times New Roman"/>
          <w:sz w:val="20"/>
          <w:u w:val="single"/>
        </w:rPr>
        <w:t>Section 7.6(a)</w:t>
      </w:r>
      <w:r>
        <w:rPr>
          <w:rFonts w:ascii="Times New Roman" w:hAnsi="Times New Roman"/>
          <w:sz w:val="20"/>
        </w:rPr>
        <w:t xml:space="preserve"> shall be deemed satisfied as to (i) any transaction approved by Special Approval, (ii) any transaction, the terms of which are no less favorable to the Partnership than those generally being provided to or available from unrelated third parties or (iii) any transaction that, taking into account the totality of the relationships between the parties involved (including other transactions that may be particularly favorable or advantageous to the Partnership), is equitable to the Partnership. The borrowing party shall reimburse the lending party for any costs (other than any additional interest costs) incurred by the lending party in connection with the borrowing of such funds. For purposes of </w:t>
      </w:r>
      <w:r>
        <w:rPr>
          <w:rFonts w:ascii="Times New Roman" w:hAnsi="Times New Roman"/>
          <w:sz w:val="20"/>
          <w:u w:val="single"/>
        </w:rPr>
        <w:t>Sections 7.6(a)</w:t>
      </w:r>
      <w:r>
        <w:rPr>
          <w:rFonts w:ascii="Times New Roman" w:hAnsi="Times New Roman"/>
          <w:sz w:val="20"/>
        </w:rPr>
        <w:t xml:space="preserve"> and </w:t>
      </w:r>
      <w:r>
        <w:rPr>
          <w:rFonts w:ascii="Times New Roman" w:hAnsi="Times New Roman"/>
          <w:sz w:val="20"/>
          <w:u w:val="single"/>
        </w:rPr>
        <w:t>7.6(b)</w:t>
      </w:r>
      <w:r>
        <w:rPr>
          <w:rFonts w:ascii="Times New Roman" w:hAnsi="Times New Roman"/>
          <w:sz w:val="20"/>
        </w:rPr>
        <w:t>, the term “</w:t>
      </w:r>
      <w:r>
        <w:rPr>
          <w:rFonts w:ascii="Times New Roman" w:hAnsi="Times New Roman"/>
          <w:i/>
          <w:sz w:val="20"/>
        </w:rPr>
        <w:t>Group Member</w:t>
      </w:r>
      <w:r>
        <w:rPr>
          <w:rFonts w:ascii="Times New Roman" w:hAnsi="Times New Roman"/>
          <w:sz w:val="20"/>
        </w:rPr>
        <w:t xml:space="preserve">” shall include any Affiliate of a Group Member that is controlled by the Group Member. No Group Member may lend funds to the General Partner or any of its Affiliates (other than another Group Member). </w:t>
      </w:r>
    </w:p>
    <w:p>
      <w:pPr>
        <w:pStyle w:val="TextBody"/>
        <w:bidi w:val="0"/>
        <w:spacing w:before="240" w:after="0"/>
        <w:jc w:val="left"/>
        <w:rPr>
          <w:rFonts w:ascii="Times New Roman" w:hAnsi="Times New Roman"/>
          <w:sz w:val="20"/>
        </w:rPr>
      </w:pPr>
      <w:r>
        <w:rPr>
          <w:rFonts w:ascii="Times New Roman" w:hAnsi="Times New Roman"/>
          <w:sz w:val="20"/>
        </w:rPr>
        <w:t xml:space="preserve">(b) The Partnership may lend or contribute to any Group Member, and any Group Member may borrow from the Partnership, funds on terms and conditions determined by the General Partner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Partnership may not charge the Group Member interest at a rate less than the rate that would be charged to the Group Member (without reference to the General Partner’s financial abilities or guarantees) by unrelated lenders on comparable loans. The foregoing authority shall be exercised by the General Partner in its sole discretion and shall not create any right or benefit in favor of any Group Member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(c) No borrowing by any Group Member or the approval thereof by the General Partner shall be deemed to constitute a breach of any duty, expressed or implied, of the General Partner or its Affiliates to the Partnership or the Limited Partners by reason of the fact that the purpose or effect of such borrowing is directly or indirectly to (i) enable distributions to the General Partner or its Affiliates (including in their capacities as Limited Partners) to exceed the General Partner’s Percentage Interest of the total amount distributed to all partners. </w:t>
      </w:r>
    </w:p>
    <w:p>
      <w:pPr>
        <w:pStyle w:val="TextBody"/>
        <w:bidi w:val="0"/>
        <w:spacing w:before="240" w:after="0"/>
        <w:jc w:val="left"/>
        <w:rPr>
          <w:rFonts w:ascii="Times New Roman" w:hAnsi="Times New Roman"/>
          <w:sz w:val="20"/>
        </w:rPr>
      </w:pPr>
      <w:r>
        <w:rPr>
          <w:rFonts w:ascii="Times New Roman" w:hAnsi="Times New Roman"/>
          <w:sz w:val="20"/>
        </w:rPr>
        <w:t xml:space="preserve">(d) The General Partner may itself, or may enter into an agreement with any of its Affiliates to, render services to a Group Member or to the General Partner in the discharge of its duties as general partner of the Partnership. Any services rendered to a Group Member by the General Partner or any of its Affiliates shall be on terms that are fair and reasonable to the Partnership;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requirements of this </w:t>
      </w:r>
      <w:r>
        <w:rPr>
          <w:rFonts w:ascii="Times New Roman" w:hAnsi="Times New Roman"/>
          <w:sz w:val="20"/>
          <w:u w:val="single"/>
        </w:rPr>
        <w:t>Section 7.6(d)</w:t>
      </w:r>
      <w:r>
        <w:rPr>
          <w:rFonts w:ascii="Times New Roman" w:hAnsi="Times New Roman"/>
          <w:sz w:val="20"/>
        </w:rPr>
        <w:t xml:space="preserve"> shall be deemed satisfied as to (i) any transaction approved by Special Approval, (ii) any transaction, the terms of which are no less favorable to the Partnership than those generally being provided to or available from unrelated third parties or (iii) any transaction that, taking into account the totality of the relationships between the parties involved (including other transactions that may be particularly favorable or advantageous to the Partnership), is equitable to the Partnership. The provisions of </w:t>
      </w:r>
      <w:r>
        <w:rPr>
          <w:rFonts w:ascii="Times New Roman" w:hAnsi="Times New Roman"/>
          <w:sz w:val="20"/>
          <w:u w:val="single"/>
        </w:rPr>
        <w:t>Section 7.4</w:t>
      </w:r>
      <w:r>
        <w:rPr>
          <w:rFonts w:ascii="Times New Roman" w:hAnsi="Times New Roman"/>
          <w:sz w:val="20"/>
        </w:rPr>
        <w:t xml:space="preserve"> shall apply to the rendering of services described in this </w:t>
      </w:r>
      <w:r>
        <w:rPr>
          <w:rFonts w:ascii="Times New Roman" w:hAnsi="Times New Roman"/>
          <w:sz w:val="20"/>
          <w:u w:val="single"/>
        </w:rPr>
        <w:t>Section 7.6(d)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Partnership may transfer assets to joint ventures, other partnerships, corporations, limited liability companies or other business entities in which it is or thereby becomes a participant upon such terms and subject to such conditions as are consistent with this Agreement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(f) Neither the General Partner nor any of its Affiliates shall sell, transfer or convey any property to, or purchase any property from, the Partnership, directly or indirectly, except pursuant to transactions that are fair and reasonable to the Partnership;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requirements of this </w:t>
      </w:r>
      <w:r>
        <w:rPr>
          <w:rFonts w:ascii="Times New Roman" w:hAnsi="Times New Roman"/>
          <w:sz w:val="20"/>
          <w:u w:val="single"/>
        </w:rPr>
        <w:t>Section 7.6(f)</w:t>
      </w:r>
      <w:r>
        <w:rPr>
          <w:rFonts w:ascii="Times New Roman" w:hAnsi="Times New Roman"/>
          <w:sz w:val="20"/>
        </w:rPr>
        <w:t xml:space="preserve"> shall be deemed to be satisfied as to (i) the transactions effected pursuant to </w:t>
      </w:r>
      <w:r>
        <w:rPr>
          <w:rFonts w:ascii="Times New Roman" w:hAnsi="Times New Roman"/>
          <w:sz w:val="20"/>
          <w:u w:val="single"/>
        </w:rPr>
        <w:t>Section 5.3</w:t>
      </w:r>
      <w:r>
        <w:rPr>
          <w:rFonts w:ascii="Times New Roman" w:hAnsi="Times New Roman"/>
          <w:sz w:val="20"/>
        </w:rPr>
        <w:t xml:space="preserve"> and any other transactions described in or contemplated by the Registration Statement, (ii) any transaction approved by Special Approval, (iii) any transaction, the terms of which are no less favorable to the Partnership than those generally being provided to or available from unrelated third parties, or (iv) any transaction that, taking into account the totality of the relationships between the parties involved (including other transactions that may be particularly favorable or advantageous to the Partnership), is equitable to the Partnership. With respect to any contribution of assets to the Partnership in exchange for Partnership Securities, the Conflicts Committee, in determining whether the appropriate number of Partnership Securities are being issued, may take into account, among other things, the fair market value of the assets, the liquidated and contingent liabilities assumed, the tax basis in the assets, the extent to which tax-only allocations to the transferor will protect the existing partners of the Partnership against a low tax basis, and such other factors as the Conflicts Committee deems relevant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(g) The General Partner and its Affiliates will have no obligation to permit any Group Member to use any facilities or assets of the General Partner and its Affiliates, except as may be provided in contracts entered into from time to time specifically dealing with such use, nor shall there be any obligation on the part of the General Partner or its Affiliates to enter into such contracts. </w:t>
      </w:r>
    </w:p>
    <w:p>
      <w:pPr>
        <w:pStyle w:val="TextBody"/>
        <w:bidi w:val="0"/>
        <w:spacing w:before="240" w:after="0"/>
        <w:jc w:val="left"/>
        <w:rPr>
          <w:rFonts w:ascii="Times New Roman" w:hAnsi="Times New Roman"/>
          <w:sz w:val="20"/>
        </w:rPr>
      </w:pPr>
      <w:r>
        <w:rPr>
          <w:rFonts w:ascii="Times New Roman" w:hAnsi="Times New Roman"/>
          <w:sz w:val="20"/>
        </w:rPr>
        <w:t xml:space="preserve">(h) Without limitation of </w:t>
      </w:r>
      <w:r>
        <w:rPr>
          <w:rFonts w:ascii="Times New Roman" w:hAnsi="Times New Roman"/>
          <w:sz w:val="20"/>
          <w:u w:val="single"/>
        </w:rPr>
        <w:t>Sections 7.6(a)</w:t>
      </w:r>
      <w:r>
        <w:rPr>
          <w:rFonts w:ascii="Times New Roman" w:hAnsi="Times New Roman"/>
          <w:sz w:val="20"/>
        </w:rPr>
        <w:t xml:space="preserve"> through </w:t>
      </w:r>
      <w:r>
        <w:rPr>
          <w:rFonts w:ascii="Times New Roman" w:hAnsi="Times New Roman"/>
          <w:sz w:val="20"/>
          <w:u w:val="single"/>
        </w:rPr>
        <w:t>7.6(g)</w:t>
      </w:r>
      <w:r>
        <w:rPr>
          <w:rFonts w:ascii="Times New Roman" w:hAnsi="Times New Roman"/>
          <w:sz w:val="20"/>
        </w:rPr>
        <w:t xml:space="preserve">, and notwithstanding anything to the contrary in this Agreement, the existence of the conflicts of interest described in the Registration Statement are hereby approved by all Partners. </w:t>
      </w:r>
    </w:p>
    <w:p>
      <w:pPr>
        <w:pStyle w:val="TextBody"/>
        <w:bidi w:val="0"/>
        <w:spacing w:before="240" w:after="0"/>
        <w:jc w:val="left"/>
        <w:rPr>
          <w:rFonts w:ascii="Times New Roman" w:hAnsi="Times New Roman"/>
          <w:sz w:val="20"/>
        </w:rPr>
      </w:pPr>
      <w:r>
        <w:rPr>
          <w:rFonts w:ascii="Times New Roman" w:hAnsi="Times New Roman"/>
          <w:sz w:val="20"/>
        </w:rPr>
        <w:t xml:space="preserve">Section 7.7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the maximum extent permitted by law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the Indemnitee shall not be indemnified and held harmless if there has been a final and non-appealable judgment entered by a court of competent jurisdiction determining that, in respect of the matter for which the Indemnitee is seeking indemnification pursuant to this </w:t>
      </w:r>
      <w:r>
        <w:rPr>
          <w:rFonts w:ascii="Times New Roman" w:hAnsi="Times New Roman"/>
          <w:sz w:val="20"/>
          <w:u w:val="single"/>
        </w:rPr>
        <w:t>Section 7.7</w:t>
      </w:r>
      <w:r>
        <w:rPr>
          <w:rFonts w:ascii="Times New Roman" w:hAnsi="Times New Roman"/>
          <w:sz w:val="20"/>
        </w:rPr>
        <w:t xml:space="preserve">, the Indemnitee acted in bad faith or engaged in fraud, willful misconduct, or in the case of a criminal matter, acted with knowledge that the Indemnitee’s conduct was unlawful;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no indemnification pursuant to this </w:t>
      </w:r>
      <w:r>
        <w:rPr>
          <w:rFonts w:ascii="Times New Roman" w:hAnsi="Times New Roman"/>
          <w:sz w:val="20"/>
          <w:u w:val="single"/>
        </w:rPr>
        <w:t>Section 7.7</w:t>
      </w:r>
      <w:r>
        <w:rPr>
          <w:rFonts w:ascii="Times New Roman" w:hAnsi="Times New Roman"/>
          <w:sz w:val="20"/>
        </w:rPr>
        <w:t xml:space="preserve"> shall be available to the General Partner or its Affiliates (other than a Group Member) with respect to its or their obligations incurred pursuant to the Underwriting Agreement (other than obligations incurred by the General Partner on behalf of the Partnership). Any indemnification pursuant to this </w:t>
      </w:r>
      <w:r>
        <w:rPr>
          <w:rFonts w:ascii="Times New Roman" w:hAnsi="Times New Roman"/>
          <w:sz w:val="20"/>
          <w:u w:val="single"/>
        </w:rPr>
        <w:t>Section 7.7</w:t>
      </w:r>
      <w:r>
        <w:rPr>
          <w:rFonts w:ascii="Times New Roman" w:hAnsi="Times New Roman"/>
          <w:sz w:val="20"/>
        </w:rPr>
        <w:t xml:space="preserve"> shall be made only out of the assets of the Partnership, it being agreed that the General Partner shall not be personally liable for such indemnification and shall have no obligation to contribute or loan any monies or property to the Partnership to enable it to effectuate such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(b) To the maximum extent permitted by law, expenses (including legal fees and expenses) incurred by an Indemnitee who is indemnified pursuant to </w:t>
      </w:r>
      <w:r>
        <w:rPr>
          <w:rFonts w:ascii="Times New Roman" w:hAnsi="Times New Roman"/>
          <w:sz w:val="20"/>
          <w:u w:val="single"/>
        </w:rPr>
        <w:t>Section 7.7(a)</w:t>
      </w:r>
      <w:r>
        <w:rPr>
          <w:rFonts w:ascii="Times New Roman" w:hAnsi="Times New Roman"/>
          <w:sz w:val="20"/>
        </w:rPr>
        <w:t xml:space="preserve"> in defending any claim, demand, action, suit or proceeding shall, from time to time, be advanced by the Partnership prior to a determination that the Indemnitee is not entitled to be indemnified upon receipt by the Partnership of any undertaking by or on behalf of the Indemnitee to repay such amount if it shall be determined that the Indemnitee is not entitled to be indemnified as authorized in this </w:t>
      </w:r>
      <w:r>
        <w:rPr>
          <w:rFonts w:ascii="Times New Roman" w:hAnsi="Times New Roman"/>
          <w:sz w:val="20"/>
          <w:u w:val="single"/>
        </w:rPr>
        <w:t>Section 7.7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The indemnification provided by this </w:t>
      </w:r>
      <w:r>
        <w:rPr>
          <w:rFonts w:ascii="Times New Roman" w:hAnsi="Times New Roman"/>
          <w:sz w:val="20"/>
          <w:u w:val="single"/>
        </w:rPr>
        <w:t>Section 7.7</w:t>
      </w:r>
      <w:r>
        <w:rPr>
          <w:rFonts w:ascii="Times New Roman" w:hAnsi="Times New Roman"/>
          <w:sz w:val="20"/>
        </w:rPr>
        <w:t xml:space="preserve"> shall be in addition to any other rights to which an Indemnitee may be entitled under any agreement, pursuant to any vote of the holders of Outstanding Limited Partner Interests entitled to vote on such matter, as a matter of law or otherwise, both as to actions in the Indemnitee’s capacity as an Indemnitee and as to actions in any other capacity (including any capacity under the Underwriting Agreement), and shall continue as to an Indemnitee who has ceased to serve in such capacity and shall inure to the benefit of the heirs, successors, assigns and administrators of the Indemnitee. To the fullest extent permitted by applicable law, Chapter 8 of the TBOC shall not apply to the Partnership, the Partners or any Indemnitee. </w:t>
      </w:r>
    </w:p>
    <w:p>
      <w:pPr>
        <w:pStyle w:val="TextBody"/>
        <w:bidi w:val="0"/>
        <w:spacing w:before="240" w:after="0"/>
        <w:jc w:val="left"/>
        <w:rPr>
          <w:rFonts w:ascii="Times New Roman" w:hAnsi="Times New Roman"/>
          <w:sz w:val="20"/>
        </w:rPr>
      </w:pPr>
      <w:r>
        <w:rPr>
          <w:rFonts w:ascii="Times New Roman" w:hAnsi="Times New Roman"/>
          <w:sz w:val="20"/>
        </w:rPr>
        <w:t xml:space="preserve">(d) The Partnership may purchase and maintain (or reimburse the General Partner or its Affiliates for the cost of) insurance, on behalf of the General Partner, its Affiliates and such other Persons as the General Partner shall determine, against any liability that may be asserted against, or expense that may be incurred by, such Person in connection with the Partnership’s activities or such Person’s activities on behalf of the Partnership, regardless of whether the Partnership would have the power to indemnify such Person against such liability under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For purposes of this </w:t>
      </w:r>
      <w:r>
        <w:rPr>
          <w:rFonts w:ascii="Times New Roman" w:hAnsi="Times New Roman"/>
          <w:sz w:val="20"/>
          <w:u w:val="single"/>
        </w:rPr>
        <w:t>Section 7.7</w:t>
      </w:r>
      <w:r>
        <w:rPr>
          <w:rFonts w:ascii="Times New Roman" w:hAnsi="Times New Roman"/>
          <w:sz w:val="20"/>
        </w:rPr>
        <w:t>, the Partnership shall be deemed to have requested an Indemnitee to serve as fiduciary of an employee benefit plan whenever the performance by it of its duties to the Partnership also imposes duties on, or otherwise involves services by, it to the plan or participants or beneficiaries of the plan; excise taxes assessed on an Indemnitee with respect to an employee benefit plan pursuant to applicable law shall constitute “</w:t>
      </w:r>
      <w:r>
        <w:rPr>
          <w:rFonts w:ascii="Times New Roman" w:hAnsi="Times New Roman"/>
          <w:i/>
          <w:sz w:val="20"/>
        </w:rPr>
        <w:t>fines</w:t>
      </w:r>
      <w:r>
        <w:rPr>
          <w:rFonts w:ascii="Times New Roman" w:hAnsi="Times New Roman"/>
          <w:sz w:val="20"/>
        </w:rPr>
        <w:t xml:space="preserve">” within the meaning of </w:t>
      </w:r>
      <w:r>
        <w:rPr>
          <w:rFonts w:ascii="Times New Roman" w:hAnsi="Times New Roman"/>
          <w:sz w:val="20"/>
          <w:u w:val="single"/>
        </w:rPr>
        <w:t>Section 7.7(a)</w:t>
      </w:r>
      <w:r>
        <w:rPr>
          <w:rFonts w:ascii="Times New Roman" w:hAnsi="Times New Roman"/>
          <w:sz w:val="20"/>
        </w:rPr>
        <w:t xml:space="preserve">; and action taken or omitted by it with respect to any employee benefit plan in the performance of its duties for a purpose reasonably believed by it to be in the best interest of the participants and beneficiaries of the plan shall be deemed to be for a purpose that is in the best interests of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(f) In no event may an Indemnitee subject the Limited Partners to personal liability by reason of the indemnification provisions set forth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An Indemnitee shall not be denied indemnification in whole or in part under this </w:t>
      </w:r>
      <w:r>
        <w:rPr>
          <w:rFonts w:ascii="Times New Roman" w:hAnsi="Times New Roman"/>
          <w:sz w:val="20"/>
          <w:u w:val="single"/>
        </w:rPr>
        <w:t>Section 7.7</w:t>
      </w:r>
      <w:r>
        <w:rPr>
          <w:rFonts w:ascii="Times New Roman" w:hAnsi="Times New Roman"/>
          <w:sz w:val="20"/>
        </w:rPr>
        <w:t xml:space="preserve"> because the Indemnitee had an interest in the transaction with respect to which the indemnification applies if the transaction was otherwise permitted by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The provisions of this </w:t>
      </w:r>
      <w:r>
        <w:rPr>
          <w:rFonts w:ascii="Times New Roman" w:hAnsi="Times New Roman"/>
          <w:sz w:val="20"/>
          <w:u w:val="single"/>
        </w:rPr>
        <w:t>Section 7.7</w:t>
      </w:r>
      <w:r>
        <w:rPr>
          <w:rFonts w:ascii="Times New Roman" w:hAnsi="Times New Roman"/>
          <w:sz w:val="20"/>
        </w:rPr>
        <w:t xml:space="preserve"> are for the benefit of the Indemnitees, their heirs, successors, assigns and administrators and shall not be deemed to create any rights for the benefit of any other Persons. </w:t>
      </w:r>
    </w:p>
    <w:p>
      <w:pPr>
        <w:pStyle w:val="TextBody"/>
        <w:bidi w:val="0"/>
        <w:spacing w:before="240" w:after="0"/>
        <w:jc w:val="left"/>
        <w:rPr>
          <w:rFonts w:ascii="Times New Roman" w:hAnsi="Times New Roman"/>
          <w:sz w:val="20"/>
        </w:rPr>
      </w:pPr>
      <w:r>
        <w:rPr>
          <w:rFonts w:ascii="Times New Roman" w:hAnsi="Times New Roman"/>
          <w:sz w:val="20"/>
        </w:rPr>
        <w:t xml:space="preserve">(i) No amendment, modification or repeal of this </w:t>
      </w:r>
      <w:r>
        <w:rPr>
          <w:rFonts w:ascii="Times New Roman" w:hAnsi="Times New Roman"/>
          <w:sz w:val="20"/>
          <w:u w:val="single"/>
        </w:rPr>
        <w:t>Section 7.7</w:t>
      </w:r>
      <w:r>
        <w:rPr>
          <w:rFonts w:ascii="Times New Roman" w:hAnsi="Times New Roman"/>
          <w:sz w:val="20"/>
        </w:rPr>
        <w:t xml:space="preserve"> or any provision hereof shall in any manner terminate, reduce or impair the right of any past, present or future Indemnitee to be indemnified by the Partnership, nor the obligations of the Partnership to indemnify any such Indemnitee under and in accordance with the provisions of this </w:t>
      </w:r>
      <w:r>
        <w:rPr>
          <w:rFonts w:ascii="Times New Roman" w:hAnsi="Times New Roman"/>
          <w:sz w:val="20"/>
          <w:u w:val="single"/>
        </w:rPr>
        <w:t>Section 7.7</w:t>
      </w:r>
      <w:r>
        <w:rPr>
          <w:rFonts w:ascii="Times New Roman" w:hAnsi="Times New Roman"/>
          <w:sz w:val="20"/>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 </w:t>
      </w:r>
    </w:p>
    <w:p>
      <w:pPr>
        <w:pStyle w:val="TextBody"/>
        <w:bidi w:val="0"/>
        <w:spacing w:before="240" w:after="0"/>
        <w:jc w:val="left"/>
        <w:rPr>
          <w:rFonts w:ascii="Times New Roman" w:hAnsi="Times New Roman"/>
          <w:sz w:val="20"/>
        </w:rPr>
      </w:pPr>
      <w:r>
        <w:rPr>
          <w:rFonts w:ascii="Times New Roman" w:hAnsi="Times New Roman"/>
          <w:sz w:val="20"/>
        </w:rPr>
        <w:t xml:space="preserve">Section 7.8 </w:t>
      </w:r>
      <w:r>
        <w:rPr>
          <w:rFonts w:ascii="Times New Roman" w:hAnsi="Times New Roman"/>
          <w:sz w:val="20"/>
          <w:u w:val="single"/>
        </w:rPr>
        <w:t>Liability of Indemnitees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anything to the contrary set forth in this Agreement, no Indemnitee shall be liable for monetary damages to the Partnership, the Limited Partners, the Assignees or any other Persons who have acquired interests in the Partnership Securities, for losses sustained or liabilities incurred as a result of any act or omission of an Indemnitee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 </w:t>
      </w:r>
    </w:p>
    <w:p>
      <w:pPr>
        <w:pStyle w:val="TextBody"/>
        <w:bidi w:val="0"/>
        <w:spacing w:before="240" w:after="0"/>
        <w:jc w:val="left"/>
        <w:rPr>
          <w:rFonts w:ascii="Times New Roman" w:hAnsi="Times New Roman"/>
          <w:sz w:val="20"/>
        </w:rPr>
      </w:pPr>
      <w:r>
        <w:rPr>
          <w:rFonts w:ascii="Times New Roman" w:hAnsi="Times New Roman"/>
          <w:sz w:val="20"/>
        </w:rPr>
        <w:t xml:space="preserve">(b) Subject to its obligations and duties as General Partner set forth in </w:t>
      </w:r>
      <w:r>
        <w:rPr>
          <w:rFonts w:ascii="Times New Roman" w:hAnsi="Times New Roman"/>
          <w:sz w:val="20"/>
          <w:u w:val="single"/>
        </w:rPr>
        <w:t>Section 7.1(a)</w:t>
      </w:r>
      <w:r>
        <w:rPr>
          <w:rFonts w:ascii="Times New Roman" w:hAnsi="Times New Roman"/>
          <w:sz w:val="20"/>
        </w:rPr>
        <w:t xml:space="preserve">, the General Partner may exercise any of the powers granted to it by this Agreement and perform any of the duties imposed upon it hereunder either directly or by or through its agents, and the General Partner shall not be responsible for any misconduct or negligence on the part of any such agent appointed by the General Partner in good faith.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that, at law or in equity, an Indemnitee has duties (including fiduciary duties) and liabilities relating thereto to the Partnership or to the Partners, the General Partner and any other Indemnitee acting in connection with the Partnership’s business or affairs shall not be liable to the Partnership or to any Partner for its good faith reliance on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Any amendment, modification or repeal of this </w:t>
      </w:r>
      <w:r>
        <w:rPr>
          <w:rFonts w:ascii="Times New Roman" w:hAnsi="Times New Roman"/>
          <w:sz w:val="20"/>
          <w:u w:val="single"/>
        </w:rPr>
        <w:t>Section 7.8</w:t>
      </w:r>
      <w:r>
        <w:rPr>
          <w:rFonts w:ascii="Times New Roman" w:hAnsi="Times New Roman"/>
          <w:sz w:val="20"/>
        </w:rPr>
        <w:t xml:space="preserve"> or any provision hereof shall be prospective only and shall not in any way affect the limitations on the liability of the Indemnitees under this </w:t>
      </w:r>
      <w:r>
        <w:rPr>
          <w:rFonts w:ascii="Times New Roman" w:hAnsi="Times New Roman"/>
          <w:sz w:val="20"/>
          <w:u w:val="single"/>
        </w:rPr>
        <w:t>Section 7.8</w:t>
      </w:r>
      <w:r>
        <w:rPr>
          <w:rFonts w:ascii="Times New Roman" w:hAnsi="Times New Roman"/>
          <w:sz w:val="20"/>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 and provided such Person became an Indemnitee hereunder prior to such amendment, modification or repeal.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7.9 </w:t>
      </w:r>
      <w:r>
        <w:rPr>
          <w:rFonts w:ascii="Times New Roman" w:hAnsi="Times New Roman"/>
          <w:sz w:val="20"/>
          <w:u w:val="single"/>
        </w:rPr>
        <w:t>Resolution of Conflicts of Interest; Standards of Conduct and Modification of Duties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otherwise expressly provided in this Agreement, whenever a potential conflict of interest exists or arises between the General Partner or any of its Affiliates, on the one hand, and the Partnership, any Group Member, any Partner or any Assignee, on the other, any resolution or course of action by the General Partner or its Affiliates in respect of such conflict of interest shall be permitted and deemed approved by all Partners, and shall not constitute a breach of this Agreement or of any agreement contemplated herein or therein, or of any duty stated or implied by law or equity, if the resolution or course of action in respect of such conflict of interest is (i) approved by Special Approval, (ii) approved by the vote of a majority of the Common Units (excluding Common Units owned by the General Partner and its Affiliates), (iii) on terms no less favorable to the Partnership than those generally being provided to or available from unrelated third parties or (iv) fair and reasonable to the Partnership, taking into account the totality of the relationships between the parties involved (including other transactions that may be particularly favorable or advantageous to the Partnership). The General Partner shall be authorized but not required in connection with its resolution of such conflict of interest to seek Special Approval of such resolution, and the General Partner may also adopt a resolution or course of action that has not received Special Approval. If Special Approval is not sought and the Board of Directors of the General Partner determines that the resolution or course of action taken with respect to a conflict of interest satisfies either of the standards set forth in clauses (iii) or (iv) above, then it shall be presumed that, in making its decision, the Board of Directors acted in good faith, and in any proceeding brought by any Limited Partner or Assignee or by or on behalf of such Limited Partner or Assignee or any other Limited Partner or Assignee or the Partnership challenging such approval, the Person bringing or prosecuting such proceeding shall have the burden of overcoming such presumption. Notwithstanding anything to the contrary in this Agreement or any duty otherwise existing at law or equity, the existence of the conflicts of interest described in the Registration Statement are hereby approved by all Partners and shall not constitute a breach of this Agreement. </w:t>
      </w:r>
    </w:p>
    <w:p>
      <w:pPr>
        <w:pStyle w:val="TextBody"/>
        <w:bidi w:val="0"/>
        <w:spacing w:before="240" w:after="0"/>
        <w:jc w:val="left"/>
        <w:rPr>
          <w:rFonts w:ascii="Times New Roman" w:hAnsi="Times New Roman"/>
          <w:sz w:val="20"/>
        </w:rPr>
      </w:pPr>
      <w:r>
        <w:rPr>
          <w:rFonts w:ascii="Times New Roman" w:hAnsi="Times New Roman"/>
          <w:sz w:val="20"/>
        </w:rPr>
        <w:t>(b) Whenever the General Partner makes a determination or takes or declines to take any other action, or any of its Affiliates causes it to do so, in its capacity as the general partner of the Partnership as opposed to in its individual capacity, whether under this Agreement, or any other agreement contemplated hereby or otherwise, then unless another express standard is provided for in this Agreement, the General Partner, or such Affiliates causing it to do so, shall make such determination or take or decline to take such other action in good faith and shall not be subject to any other or different standards imposed by this Agreement, any other agreement contemplated hereby or under the Texas Limited Partnership Law or any other law, rule or regulation or at equity. In order for a determination or other action to be in “</w:t>
      </w:r>
      <w:r>
        <w:rPr>
          <w:rFonts w:ascii="Times New Roman" w:hAnsi="Times New Roman"/>
          <w:i/>
          <w:sz w:val="20"/>
        </w:rPr>
        <w:t>good faith</w:t>
      </w:r>
      <w:r>
        <w:rPr>
          <w:rFonts w:ascii="Times New Roman" w:hAnsi="Times New Roman"/>
          <w:sz w:val="20"/>
        </w:rPr>
        <w:t xml:space="preserve">” for purposes of this Agreement, the Person or Persons (including the Board of Directors or any committee thereof acting on behalf of the General Partner) making such determination or taking or declining to take such other action must believe that the determination or other action is in the best interests of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(c) Whenever the General Partner (including the Board of Directors or any committee thereof acting on behalf of the General Partner) makes a determination or takes or declines to take any other action, or any of its Affiliates causes it to do so, in its individual capacity as opposed to in its capacity as a general partner of the Partnership, whether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or any other agreement contemplated hereby or otherwise, then the General Partner (including the Board of Directors or any committee thereof acting on behalf of the General Partner), or such Affiliates causing it to do so, are entitled to make such determination or to take or decline to take such other action free of any fiduciary duty or obligation whatsoever to the Partnership, any Limited Partner or Assignee, and the General Partner (including the Board of Directors or any committee thereof acting on behalf of the General Partner), or such Affiliates causing it to do so, shall not be required to act in good faith or pursuant to any other standard imposed by this Agreement, any other agreement contemplated hereby or under the Texas Limited Partnership Law or any other law, rule or regulation or at equity. By way of illustration and not of limitation, whenever the phrase, “</w:t>
      </w:r>
      <w:r>
        <w:rPr>
          <w:rFonts w:ascii="Times New Roman" w:hAnsi="Times New Roman"/>
          <w:i/>
          <w:sz w:val="20"/>
        </w:rPr>
        <w:t>at the option of the General Partner</w:t>
      </w:r>
      <w:r>
        <w:rPr>
          <w:rFonts w:ascii="Times New Roman" w:hAnsi="Times New Roman"/>
          <w:sz w:val="20"/>
        </w:rPr>
        <w:t xml:space="preserve">,” or some variation of that phrase, is used in this Agreement, it indicates that the General Partner is acting in its individual capacity. For the avoidance of doubt, whenever the General Partner votes or transfers its Units, or refrains from voting or transferring its Units, it shall be acting in its individual capacity. The General Partner’s organizational documents may provide that determinations to take or decline to take any action in its individual, rather than representative, capacity may or shall be determined by its members, if the General Partner is a limited liability company, stockholders, if the General Partner is a corporation, or the members or stockholders of the General Partner’s general partner, if the General Partner is a limited partnership.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in this Agreement, none of the General Partner and its Affiliates, nor the Board of Directors or any committee thereof, shall have any duty or obligation, express or implied, to (i) sell or otherwise dispose of any asset of the Partnership Group other than in the ordinary course of business or (ii) permit any Group Member to use any facilities or assets of the General Partner and its Affiliates, except as may be provided in contracts entered into from time to time specifically dealing with such use. Any determination by the General Partner or any of its Affiliates to enter into such contracts shall be at its option. </w:t>
      </w:r>
    </w:p>
    <w:p>
      <w:pPr>
        <w:pStyle w:val="TextBody"/>
        <w:bidi w:val="0"/>
        <w:spacing w:before="240" w:after="0"/>
        <w:jc w:val="left"/>
        <w:rPr>
          <w:rFonts w:ascii="Times New Roman" w:hAnsi="Times New Roman"/>
          <w:sz w:val="20"/>
        </w:rPr>
      </w:pPr>
      <w:r>
        <w:rPr>
          <w:rFonts w:ascii="Times New Roman" w:hAnsi="Times New Roman"/>
          <w:sz w:val="20"/>
        </w:rPr>
        <w:t xml:space="preserve">(e) Except as expressly set forth in this Agreement, none of the General Partner, the Board of Directors, any committee of the Board of Directors nor any other Indemnitee shall have any duties or liabilities, including fiduciary duties, to the Partnership or any Limited Partner or Assignee. The provisions of this Agreement, to the extent that they restrict, eliminate or otherwise modify the duties and liabilities, including fiduciary duties, of the General Partner or any other Indemnitee otherwise existing at law or in equity, are agreed by the Partners to replace such other duties and liabilities of the General Partner, the Board of Directors, any committee of the Board of Directors or such other Indemnitee. The General Partner and other Indemnitees shall have no duties or obligations under Sections 152.205, 152.206 or 152.204(b) of the Texas Limited Partnership Law. </w:t>
      </w:r>
    </w:p>
    <w:p>
      <w:pPr>
        <w:pStyle w:val="TextBody"/>
        <w:bidi w:val="0"/>
        <w:spacing w:before="240" w:after="0"/>
        <w:jc w:val="left"/>
        <w:rPr>
          <w:rFonts w:ascii="Times New Roman" w:hAnsi="Times New Roman"/>
          <w:sz w:val="20"/>
        </w:rPr>
      </w:pPr>
      <w:r>
        <w:rPr>
          <w:rFonts w:ascii="Times New Roman" w:hAnsi="Times New Roman"/>
          <w:sz w:val="20"/>
        </w:rPr>
        <w:t xml:space="preserve">(f) Section 153.163 of the Texas Limited Partnership Law shall not apply to any “managerial official” (as defined in the TBOC). </w:t>
      </w:r>
    </w:p>
    <w:p>
      <w:pPr>
        <w:pStyle w:val="TextBody"/>
        <w:bidi w:val="0"/>
        <w:spacing w:before="240" w:after="0"/>
        <w:jc w:val="left"/>
        <w:rPr>
          <w:rFonts w:ascii="Times New Roman" w:hAnsi="Times New Roman"/>
          <w:sz w:val="20"/>
        </w:rPr>
      </w:pPr>
      <w:r>
        <w:rPr>
          <w:rFonts w:ascii="Times New Roman" w:hAnsi="Times New Roman"/>
          <w:sz w:val="20"/>
        </w:rPr>
        <w:t xml:space="preserve">(g) The Unitholders hereby authorize the General Partner, on behalf of the Partnership as a partner or member of a Group Member, to approve of actions by the general partner or managing member of such Group Member similar to those actions permitted to be taken by the General Partner pursuant to this </w:t>
      </w:r>
      <w:r>
        <w:rPr>
          <w:rFonts w:ascii="Times New Roman" w:hAnsi="Times New Roman"/>
          <w:sz w:val="20"/>
          <w:u w:val="single"/>
        </w:rPr>
        <w:t>Section 7.9</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Other Matters Concerning the General Partner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General Partner (including the Board of Directors or any committee thereof acting on behalf of the General Partner)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 </w:t>
      </w:r>
    </w:p>
    <w:p>
      <w:pPr>
        <w:pStyle w:val="TextBody"/>
        <w:bidi w:val="0"/>
        <w:spacing w:before="240" w:after="0"/>
        <w:jc w:val="left"/>
        <w:rPr>
          <w:rFonts w:ascii="Times New Roman" w:hAnsi="Times New Roman"/>
          <w:sz w:val="20"/>
        </w:rPr>
      </w:pPr>
      <w:r>
        <w:rPr>
          <w:rFonts w:ascii="Times New Roman" w:hAnsi="Times New Roman"/>
          <w:sz w:val="20"/>
        </w:rPr>
        <w:t xml:space="preserve">(b) The General Partner (including the Board of Directors or any committee thereof acting on behalf of the General Partner) may consult with legal counsel, accountants, appraisers, management consultants, investment bankers and other consultants and advisers selected by it, and any act taken or omitted to be taken in reliance upon the opinion (including an Opinion of Counsel) of such Persons as to matters that the General Partner (including the Board of Directors or any committee thereof acting on behalf of the General Partner) reasonably believes to be within such Person’s professional or expert competence shall be conclusively presumed to have been done or omitted in good faith and in accordance with such opinion. </w:t>
      </w:r>
    </w:p>
    <w:p>
      <w:pPr>
        <w:pStyle w:val="TextBody"/>
        <w:bidi w:val="0"/>
        <w:spacing w:before="240" w:after="0"/>
        <w:jc w:val="left"/>
        <w:rPr>
          <w:rFonts w:ascii="Times New Roman" w:hAnsi="Times New Roman"/>
          <w:sz w:val="20"/>
        </w:rPr>
      </w:pPr>
      <w:r>
        <w:rPr>
          <w:rFonts w:ascii="Times New Roman" w:hAnsi="Times New Roman"/>
          <w:sz w:val="20"/>
        </w:rPr>
        <w:t xml:space="preserve">(c) The General Partner (including the Board of Directors or any committee thereof acting on behalf of the General Partner) shall have the right, in respect of any of its powers or obligations hereunder, to act through any of its duly authorized officers, a duly appointed attorney or attorneys-in-fact or the duly authorized officers of the Partnership. Each such attorney shall, to the extent provided by the General Partner (including the Board of Directors or any committee thereof acting on behalf of the General Partner) in the power of attorney, have full power and authority to do and perform each and every act and duty that is permitted or required to be done by the General Partner (including the Board of Directors or any committee thereof acting on behalf of the General Partner)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Purchase or Sale of Partnership Securities</w:t>
      </w:r>
      <w:r>
        <w:rPr>
          <w:rFonts w:ascii="Times New Roman" w:hAnsi="Times New Roman"/>
          <w:sz w:val="20"/>
        </w:rPr>
        <w:t xml:space="preserve">. The General Partner may cause the Partnership to purchase or otherwise acquire Partnership Securities, which shall be held by the Partnership as treasury securities unless they are expressly canceled by action of an appropriate officer of the General Partner. As long as Partnership Securities are held by any Group Member, such Partnership Securities shall not be considered Outstanding for any purpose, except as otherwise provided herein. The General Partner or any of its Affiliates may also purchase or otherwise acquire and sell or otherwise dispose of Partnership Securities for their own account, subject to the provisions of </w:t>
      </w:r>
      <w:r>
        <w:rPr>
          <w:rFonts w:ascii="Times New Roman" w:hAnsi="Times New Roman"/>
          <w:sz w:val="20"/>
          <w:u w:val="single"/>
        </w:rPr>
        <w:t>Articles IV</w:t>
      </w:r>
      <w:r>
        <w:rPr>
          <w:rFonts w:ascii="Times New Roman" w:hAnsi="Times New Roman"/>
          <w:sz w:val="20"/>
        </w:rPr>
        <w:t xml:space="preserve"> and </w:t>
      </w:r>
      <w:r>
        <w:rPr>
          <w:rFonts w:ascii="Times New Roman" w:hAnsi="Times New Roman"/>
          <w:sz w:val="20"/>
          <w:u w:val="single"/>
        </w:rPr>
        <w:t>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Registration Rights of the General Partner and its Affiliates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(i) the General Partner or any Affiliate of the General Partner (including for purposes of this </w:t>
      </w:r>
      <w:r>
        <w:rPr>
          <w:rFonts w:ascii="Times New Roman" w:hAnsi="Times New Roman"/>
          <w:sz w:val="20"/>
          <w:u w:val="single"/>
        </w:rPr>
        <w:t>Section 7.12</w:t>
      </w:r>
      <w:r>
        <w:rPr>
          <w:rFonts w:ascii="Times New Roman" w:hAnsi="Times New Roman"/>
          <w:sz w:val="20"/>
        </w:rPr>
        <w:t>, any Person that is an Affiliate of the General Partner at the date hereof notwithstanding that it may later cease to be an Affiliate of the General Partner) holds Partnership Securities that it desires to sell and (ii) Rule 144 of the Securities Act (or any successor rule or regulation to Rule 144) or another exemption from registration is not available to enable such holder of Partnership Securities (the “</w:t>
      </w:r>
      <w:r>
        <w:rPr>
          <w:rFonts w:ascii="Times New Roman" w:hAnsi="Times New Roman"/>
          <w:i/>
          <w:sz w:val="20"/>
        </w:rPr>
        <w:t>Holder</w:t>
      </w:r>
      <w:r>
        <w:rPr>
          <w:rFonts w:ascii="Times New Roman" w:hAnsi="Times New Roman"/>
          <w:sz w:val="20"/>
        </w:rPr>
        <w:t xml:space="preserve">”) to dispose of the number of Partnership Securities it desires to sell at the time it desires to do so without registration under the Securities Act, then at the option and upon the request of the Holder, the Partnership shall file with the Commission as promptly as practicable after receiving such request, and use all commercially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reasonable efforts to cause to become effective and remain effective for a period of not less than six months following its effective date or such shorter period as shall terminate when all Partnership Securities covered by such registration statement have been sold, a registration statement under the Securities Act registering the offering and sale of the number of Partnership Securities specified by the Holder;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Partnership shall not be required to effect more than three registrations pursuant to this </w:t>
      </w:r>
      <w:r>
        <w:rPr>
          <w:rFonts w:ascii="Times New Roman" w:hAnsi="Times New Roman"/>
          <w:sz w:val="20"/>
          <w:u w:val="single"/>
        </w:rPr>
        <w:t>Section 7.12(a)</w:t>
      </w:r>
      <w:r>
        <w:rPr>
          <w:rFonts w:ascii="Times New Roman" w:hAnsi="Times New Roman"/>
          <w:sz w:val="20"/>
        </w:rPr>
        <w:t xml:space="preserve"> and </w:t>
      </w:r>
      <w:r>
        <w:rPr>
          <w:rFonts w:ascii="Times New Roman" w:hAnsi="Times New Roman"/>
          <w:sz w:val="20"/>
          <w:u w:val="single"/>
        </w:rPr>
        <w:t>Section 7.12(b)</w:t>
      </w:r>
      <w:r>
        <w:rPr>
          <w:rFonts w:ascii="Times New Roman" w:hAnsi="Times New Roman"/>
          <w:sz w:val="20"/>
        </w:rPr>
        <w:t xml:space="preserve">; and </w:t>
      </w:r>
      <w:r>
        <w:rPr>
          <w:rFonts w:ascii="Times New Roman" w:hAnsi="Times New Roman"/>
          <w:sz w:val="20"/>
          <w:u w:val="single"/>
        </w:rPr>
        <w:t>provided further</w:t>
      </w:r>
      <w:r>
        <w:rPr>
          <w:rFonts w:ascii="Times New Roman" w:hAnsi="Times New Roman"/>
          <w:sz w:val="20"/>
        </w:rPr>
        <w:t xml:space="preserve">, however, that if the Conflicts Committee determines in good faith that the requested registration would be materially detrimental to the Partnership and its Partners because such registration would (x) materially interfere with a significant acquisition, reorganization or other similar transaction involving the Partnership, (y) require premature disclosure of material information that the Partnership has a bona fide business purpose for preserving as confidential or (z) render the Partnership unable to comply with requirements under applicable securities laws, then the Partnership shall have the right to postpone such requested registration for a period of not more than six months after receipt of the Holder’s request, such right pursuant to this </w:t>
      </w:r>
      <w:r>
        <w:rPr>
          <w:rFonts w:ascii="Times New Roman" w:hAnsi="Times New Roman"/>
          <w:sz w:val="20"/>
          <w:u w:val="single"/>
        </w:rPr>
        <w:t>Section 7.12(a)</w:t>
      </w:r>
      <w:r>
        <w:rPr>
          <w:rFonts w:ascii="Times New Roman" w:hAnsi="Times New Roman"/>
          <w:sz w:val="20"/>
        </w:rPr>
        <w:t xml:space="preserve"> or </w:t>
      </w:r>
      <w:r>
        <w:rPr>
          <w:rFonts w:ascii="Times New Roman" w:hAnsi="Times New Roman"/>
          <w:sz w:val="20"/>
          <w:u w:val="single"/>
        </w:rPr>
        <w:t>Section 7.12(b)</w:t>
      </w:r>
      <w:r>
        <w:rPr>
          <w:rFonts w:ascii="Times New Roman" w:hAnsi="Times New Roman"/>
          <w:sz w:val="20"/>
        </w:rPr>
        <w:t xml:space="preserve"> not to be utilized more than once in any twelve-month period. Except as provided in the preceding sentence, the Partnership shall be deemed not to have used all reasonable efforts to keep the registration statement effective during the applicable period if it voluntarily takes any action that would result in Holders of Partnership Securities covered thereby not being able to offer and sell such Partnership Securities at any time during such period, unless such action is required by applicable law. In connection with any registration pursuant to the immediately preceding sentence, the Partnership shall (i) promptly prepare and file (A) such documents as may be necessary to register or qualify the securities subject to such registration under the securities laws of such states as the Holder shall reasonably request;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no such qualification shall be required in any jurisdiction where, as a result thereof, the Partnership would become subject to general service of process or to taxation or qualification to do business as a foreign corporation or partnership doing business in such jurisdiction solely as a result of such registration, and (B) such documents as may be necessary to apply for listing or to list the Partnership Securities subject to such registration on such National Securities Exchange as the Holder shall reasonably request, and (ii) do any and all other acts and things that may be necessary or appropriate to enable the Holder to consummate a public sale of such Partnership Securities in such states. Except as set forth in </w:t>
      </w:r>
      <w:r>
        <w:rPr>
          <w:rFonts w:ascii="Times New Roman" w:hAnsi="Times New Roman"/>
          <w:sz w:val="20"/>
          <w:u w:val="single"/>
        </w:rPr>
        <w:t>Section 7.12(d)</w:t>
      </w:r>
      <w:r>
        <w:rPr>
          <w:rFonts w:ascii="Times New Roman" w:hAnsi="Times New Roman"/>
          <w:sz w:val="20"/>
        </w:rPr>
        <w:t xml:space="preserve">, all costs and expenses of any such registration and offering (other than the underwriting discounts and commissions) shall be paid by the Partnership, without reimbursement by the Holder. </w:t>
      </w:r>
    </w:p>
    <w:p>
      <w:pPr>
        <w:pStyle w:val="TextBody"/>
        <w:bidi w:val="0"/>
        <w:spacing w:before="240" w:after="0"/>
        <w:jc w:val="left"/>
        <w:rPr>
          <w:rFonts w:ascii="Times New Roman" w:hAnsi="Times New Roman"/>
          <w:sz w:val="20"/>
        </w:rPr>
      </w:pPr>
      <w:r>
        <w:rPr>
          <w:rFonts w:ascii="Times New Roman" w:hAnsi="Times New Roman"/>
          <w:sz w:val="20"/>
        </w:rPr>
        <w:t>(b) If any Holder holds Partnership Securities that it desires to sell and Rule 144 of the Securities Act (or any successor rule or regulation to Rule 144) or another exemption from registration is not available to enable such Holder to dispose of the number of Partnership Securities it desires to sell at the time it desires to do so without registration under the Securities Act, then at the option and upon the request of the Holder, the Partnership shall file with the Commission as promptly as practicable after receiving such request, and use all commercially reasonable efforts to cause to become effective and remain effective for a period of not less than six months following its effective date or such shorter period as shall terminate when all Partnership Securities covered by such shelf registration statement have been sold, a “</w:t>
      </w:r>
      <w:r>
        <w:rPr>
          <w:rFonts w:ascii="Times New Roman" w:hAnsi="Times New Roman"/>
          <w:i/>
          <w:sz w:val="20"/>
        </w:rPr>
        <w:t>shelf</w:t>
      </w:r>
      <w:r>
        <w:rPr>
          <w:rFonts w:ascii="Times New Roman" w:hAnsi="Times New Roman"/>
          <w:sz w:val="20"/>
        </w:rPr>
        <w:t xml:space="preserve">” registration statement covering the Partnership Securities specified by the Holder on an appropriate form under Rule 415 under the Securities Act, or any similar rule that may be adopted by the Commission;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Partnership shall not be required to effect more than three registrations pursuant to </w:t>
      </w:r>
      <w:r>
        <w:rPr>
          <w:rFonts w:ascii="Times New Roman" w:hAnsi="Times New Roman"/>
          <w:sz w:val="20"/>
          <w:u w:val="single"/>
        </w:rPr>
        <w:t>Section 7.12(a)</w:t>
      </w:r>
      <w:r>
        <w:rPr>
          <w:rFonts w:ascii="Times New Roman" w:hAnsi="Times New Roman"/>
          <w:sz w:val="20"/>
        </w:rPr>
        <w:t xml:space="preserve"> and this </w:t>
      </w:r>
      <w:r>
        <w:rPr>
          <w:rFonts w:ascii="Times New Roman" w:hAnsi="Times New Roman"/>
          <w:sz w:val="20"/>
          <w:u w:val="single"/>
        </w:rPr>
        <w:t>Section 7.12(b)</w:t>
      </w:r>
      <w:r>
        <w:rPr>
          <w:rFonts w:ascii="Times New Roman" w:hAnsi="Times New Roman"/>
          <w:sz w:val="20"/>
        </w:rPr>
        <w:t xml:space="preserve">; and </w:t>
      </w:r>
      <w:r>
        <w:rPr>
          <w:rFonts w:ascii="Times New Roman" w:hAnsi="Times New Roman"/>
          <w:sz w:val="20"/>
          <w:u w:val="single"/>
        </w:rPr>
        <w:t>provided further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however</w:t>
      </w:r>
      <w:r>
        <w:rPr>
          <w:rFonts w:ascii="Times New Roman" w:hAnsi="Times New Roman"/>
          <w:sz w:val="20"/>
        </w:rPr>
        <w:t xml:space="preserve">, that if the Conflicts Committee determines in good faith that any offering under, or the use of any prospectus forming a part of, the shelf registration statement would be materially detrimental to the Partnership and its Partners because such offering or use would (x) materially interfere with a significant acquisition, reorganization or other similar transaction involving the Partnership, (y) require premature disclosure of material information that the Partnership has a bona fide business purpose for preserving as confidential or (z) render the Partnership unable to comply with requirements under applicable securities laws, then the Partnership shall have the right to suspend such offering or use for a period of not more than six months after receipt of the Holder’s request, such right pursuant to </w:t>
      </w:r>
      <w:r>
        <w:rPr>
          <w:rFonts w:ascii="Times New Roman" w:hAnsi="Times New Roman"/>
          <w:sz w:val="20"/>
          <w:u w:val="single"/>
        </w:rPr>
        <w:t>Section 7.12(a)</w:t>
      </w:r>
      <w:r>
        <w:rPr>
          <w:rFonts w:ascii="Times New Roman" w:hAnsi="Times New Roman"/>
          <w:sz w:val="20"/>
        </w:rPr>
        <w:t xml:space="preserve"> or this </w:t>
      </w:r>
      <w:r>
        <w:rPr>
          <w:rFonts w:ascii="Times New Roman" w:hAnsi="Times New Roman"/>
          <w:sz w:val="20"/>
          <w:u w:val="single"/>
        </w:rPr>
        <w:t>Section 7.12(b)</w:t>
      </w:r>
      <w:r>
        <w:rPr>
          <w:rFonts w:ascii="Times New Roman" w:hAnsi="Times New Roman"/>
          <w:sz w:val="20"/>
        </w:rPr>
        <w:t xml:space="preserve"> not to be utilized more than once in any twelve-month period. Except as provided in the preceding sentence, the Partnership shall be deemed not to have used all commercially reasonable efforts to keep the shelf registration statement effective during the applicable period if it voluntarily takes any action that would result in Holders of Partnership Securities covered thereby not being able to offer and sell such Partnership Securities at any time during such period, unless such action is required by applicable law. In connection with any shelf registration pursuant to this </w:t>
      </w:r>
      <w:r>
        <w:rPr>
          <w:rFonts w:ascii="Times New Roman" w:hAnsi="Times New Roman"/>
          <w:sz w:val="20"/>
          <w:u w:val="single"/>
        </w:rPr>
        <w:t>Section 7.12(b)</w:t>
      </w:r>
      <w:r>
        <w:rPr>
          <w:rFonts w:ascii="Times New Roman" w:hAnsi="Times New Roman"/>
          <w:sz w:val="20"/>
        </w:rPr>
        <w:t xml:space="preserve">, the Partnership shall (i) promptly prepare and file (A) such documents as may be necessary to register or qualify the securities subject to such shelf registration under the securities laws of such states as the Holder shall reasonably request;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no such qualification shall be required in any jurisdiction where, as a result thereof, the Partnership would become subject to general service of process or to taxation or qualification to do business as a foreign corporation or partnership doing business in such jurisdiction solely as a result of such shelf registration, and (B) such documents as may be necessary to apply for listing or to list the Partnership Securities subject to such shelf registration on such National Securities Exchange as the Holder shall reasonably request, and (ii) do any and all other acts and things that may be necessary or appropriate to enable the Holder to consummate a public sale of such Partnership Securities in such states. Except as set forth in </w:t>
      </w:r>
      <w:r>
        <w:rPr>
          <w:rFonts w:ascii="Times New Roman" w:hAnsi="Times New Roman"/>
          <w:sz w:val="20"/>
          <w:u w:val="single"/>
        </w:rPr>
        <w:t>Section 7.12(d)</w:t>
      </w:r>
      <w:r>
        <w:rPr>
          <w:rFonts w:ascii="Times New Roman" w:hAnsi="Times New Roman"/>
          <w:sz w:val="20"/>
        </w:rPr>
        <w:t xml:space="preserve">, all costs and expenses of any such shelf registration and offering (other than the underwriting discounts and commissions) shall be paid by the Partnership, without reimbursement by the Holder. </w:t>
      </w:r>
    </w:p>
    <w:p>
      <w:pPr>
        <w:pStyle w:val="TextBody"/>
        <w:bidi w:val="0"/>
        <w:spacing w:before="240" w:after="0"/>
        <w:jc w:val="left"/>
        <w:rPr>
          <w:rFonts w:ascii="Times New Roman" w:hAnsi="Times New Roman"/>
          <w:sz w:val="20"/>
        </w:rPr>
      </w:pPr>
      <w:r>
        <w:rPr>
          <w:rFonts w:ascii="Times New Roman" w:hAnsi="Times New Roman"/>
          <w:sz w:val="20"/>
        </w:rPr>
        <w:t xml:space="preserve">(c) If the Partnership shall at any time propose to file a registration statement under the Securities Act for an offering of equity securities of the Partnership for cash (other than an offering relating solely to an employee benefit plan), the Partnership shall use all commercially reasonable efforts to include such number or amount of securities held by any Holder in such registration statement as the Holder shall request;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the Partnership is not required to make any effort or take an action to so include the securities of the Holder once the registration statement becomes or is declared effective by the Commission, including any registration statement providing for the offering from time to time of securities pursuant to Rule 415 of the Securities Act. If the proposed offering pursuant to this </w:t>
      </w:r>
      <w:r>
        <w:rPr>
          <w:rFonts w:ascii="Times New Roman" w:hAnsi="Times New Roman"/>
          <w:sz w:val="20"/>
          <w:u w:val="single"/>
        </w:rPr>
        <w:t>Section 7.12(c)</w:t>
      </w:r>
      <w:r>
        <w:rPr>
          <w:rFonts w:ascii="Times New Roman" w:hAnsi="Times New Roman"/>
          <w:sz w:val="20"/>
        </w:rPr>
        <w:t xml:space="preserve"> shall be an underwritten offering, then, in the event that the managing underwriter or managing underwriters of such offering advise the Partnership and the Holder in writing that in their opinion the inclusion of all or some of the Holder’s Partnership Securities would adversely and materially affect the success of the offering, the Partnership shall include in such offering only that number or amount, if any, of securities held by the Holder that, in the opinion of the managing underwriter or managing underwriters, will not so adversely and materially affect the offering. Except as set forth in </w:t>
      </w:r>
      <w:r>
        <w:rPr>
          <w:rFonts w:ascii="Times New Roman" w:hAnsi="Times New Roman"/>
          <w:sz w:val="20"/>
          <w:u w:val="single"/>
        </w:rPr>
        <w:t>Section 7.12(d)</w:t>
      </w:r>
      <w:r>
        <w:rPr>
          <w:rFonts w:ascii="Times New Roman" w:hAnsi="Times New Roman"/>
          <w:sz w:val="20"/>
        </w:rPr>
        <w:t xml:space="preserve">, all costs and expenses of any such registration and offering (other than the underwriting discounts and commissions) shall be paid by the Partnership, without reimbursement by the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underwriters are engaged in connection with any registration referred to in this </w:t>
      </w:r>
      <w:r>
        <w:rPr>
          <w:rFonts w:ascii="Times New Roman" w:hAnsi="Times New Roman"/>
          <w:sz w:val="20"/>
          <w:u w:val="single"/>
        </w:rPr>
        <w:t>Section 7.12</w:t>
      </w:r>
      <w:r>
        <w:rPr>
          <w:rFonts w:ascii="Times New Roman" w:hAnsi="Times New Roman"/>
          <w:sz w:val="20"/>
        </w:rPr>
        <w:t xml:space="preserve">, the Partnership shall provide indemnification, representations, covenants, opinions and other assurance to the underwriters in form and substance reasonably satisfactory to such underwriters. Further, in addition to and not in limitation of the Partnership’s obligation under </w:t>
      </w:r>
      <w:r>
        <w:rPr>
          <w:rFonts w:ascii="Times New Roman" w:hAnsi="Times New Roman"/>
          <w:sz w:val="20"/>
          <w:u w:val="single"/>
        </w:rPr>
        <w:t>Section 7.7</w:t>
      </w:r>
      <w:r>
        <w:rPr>
          <w:rFonts w:ascii="Times New Roman" w:hAnsi="Times New Roman"/>
          <w:sz w:val="20"/>
        </w:rPr>
        <w:t>, the Partnership shall, to the maximum extent permitted by law, indemnify and hold harmless the Holder, its officers, directors and each Person who controls the Holder (within the meaning of the Securities Act) and any agent thereof (collectively, “</w:t>
      </w:r>
      <w:r>
        <w:rPr>
          <w:rFonts w:ascii="Times New Roman" w:hAnsi="Times New Roman"/>
          <w:i/>
          <w:sz w:val="20"/>
        </w:rPr>
        <w:t>Indemnified Persons</w:t>
      </w:r>
      <w:r>
        <w:rPr>
          <w:rFonts w:ascii="Times New Roman" w:hAnsi="Times New Roman"/>
          <w:sz w:val="20"/>
        </w:rPr>
        <w:t xml:space="preserve">”)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Indemnified Person may be involved, or is threatened to be involved, as a party or otherwise, under the Securities Act or otherwise (hereinafter referred to in this </w:t>
      </w:r>
      <w:r>
        <w:rPr>
          <w:rFonts w:ascii="Times New Roman" w:hAnsi="Times New Roman"/>
          <w:sz w:val="20"/>
          <w:u w:val="single"/>
        </w:rPr>
        <w:t>Section 7.12(d)</w:t>
      </w:r>
      <w:r>
        <w:rPr>
          <w:rFonts w:ascii="Times New Roman" w:hAnsi="Times New Roman"/>
          <w:sz w:val="20"/>
        </w:rPr>
        <w:t xml:space="preserve"> as a “</w:t>
      </w:r>
      <w:r>
        <w:rPr>
          <w:rFonts w:ascii="Times New Roman" w:hAnsi="Times New Roman"/>
          <w:i/>
          <w:sz w:val="20"/>
        </w:rPr>
        <w:t>claim</w:t>
      </w:r>
      <w:r>
        <w:rPr>
          <w:rFonts w:ascii="Times New Roman" w:hAnsi="Times New Roman"/>
          <w:sz w:val="20"/>
        </w:rPr>
        <w:t>” and in the plural as “</w:t>
      </w:r>
      <w:r>
        <w:rPr>
          <w:rFonts w:ascii="Times New Roman" w:hAnsi="Times New Roman"/>
          <w:i/>
          <w:sz w:val="20"/>
        </w:rPr>
        <w:t>claims</w:t>
      </w:r>
      <w:r>
        <w:rPr>
          <w:rFonts w:ascii="Times New Roman" w:hAnsi="Times New Roman"/>
          <w:sz w:val="20"/>
        </w:rPr>
        <w:t xml:space="preserve">”) based upon, arising out of or resulting from any untrue statement or alleged untrue statement of any material fact contained in any registration statement under which any Partnership Securities were registered under the Securities Act or any state securities or Blue Sky laws, in any preliminary prospectus (if used prior to the effective date of such registration statement), or in any summary or final prospectus or in any amendment or supplement thereto (if used during the period the Partnership is required to keep the registration statement current), or arising out of, based upon or resulting from the omission or alleged omission to state therein a material fact required to be stated therein or necessary to make the statements made therein not misleading;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Partnership shall not be liable to any Indemnified Person to the extent that any such claim arises out of, is based upon or results from an untrue statement or alleged untrue statement or omission or alleged omission made in such registration statement, such preliminary, summary or final prospectus or such amendment or supplement, in reliance upon and in conformity with written information furnished to the Partnership by or on behalf of such Indemnified Person specifically for use in the preparation thereof. </w:t>
      </w:r>
    </w:p>
    <w:p>
      <w:pPr>
        <w:pStyle w:val="TextBody"/>
        <w:bidi w:val="0"/>
        <w:spacing w:before="240" w:after="0"/>
        <w:jc w:val="left"/>
        <w:rPr>
          <w:rFonts w:ascii="Times New Roman" w:hAnsi="Times New Roman"/>
          <w:sz w:val="20"/>
        </w:rPr>
      </w:pPr>
      <w:r>
        <w:rPr>
          <w:rFonts w:ascii="Times New Roman" w:hAnsi="Times New Roman"/>
          <w:sz w:val="20"/>
        </w:rPr>
        <w:t xml:space="preserve">(e) The provisions of </w:t>
      </w:r>
      <w:r>
        <w:rPr>
          <w:rFonts w:ascii="Times New Roman" w:hAnsi="Times New Roman"/>
          <w:sz w:val="20"/>
          <w:u w:val="single"/>
        </w:rPr>
        <w:t>Sections 7.12(a)</w:t>
      </w:r>
      <w:r>
        <w:rPr>
          <w:rFonts w:ascii="Times New Roman" w:hAnsi="Times New Roman"/>
          <w:sz w:val="20"/>
        </w:rPr>
        <w:t xml:space="preserve">, </w:t>
      </w:r>
      <w:r>
        <w:rPr>
          <w:rFonts w:ascii="Times New Roman" w:hAnsi="Times New Roman"/>
          <w:sz w:val="20"/>
          <w:u w:val="single"/>
        </w:rPr>
        <w:t>7.12(b)</w:t>
      </w:r>
      <w:r>
        <w:rPr>
          <w:rFonts w:ascii="Times New Roman" w:hAnsi="Times New Roman"/>
          <w:sz w:val="20"/>
        </w:rPr>
        <w:t xml:space="preserve"> and </w:t>
      </w:r>
      <w:r>
        <w:rPr>
          <w:rFonts w:ascii="Times New Roman" w:hAnsi="Times New Roman"/>
          <w:sz w:val="20"/>
          <w:u w:val="single"/>
        </w:rPr>
        <w:t>7.12(c)</w:t>
      </w:r>
      <w:r>
        <w:rPr>
          <w:rFonts w:ascii="Times New Roman" w:hAnsi="Times New Roman"/>
          <w:sz w:val="20"/>
        </w:rPr>
        <w:t xml:space="preserve"> shall continue to be applicable with respect to the General Partner (and any of the General Partner’s Affiliates) after it ceases to be a general partner of the Partnership, during a period of two years subsequent to the effective date of such cessation and for so long thereafter as is required for the Holder to sell all of the Partnership Securities with respect to which it has requested during such two-year period inclusion in a registration statement otherwise filed or that a registration statement be filed;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Partnership shall not be required to file successive registration statements covering the same Partnership Securities for which registration was demanded during such two-year period. The provisions of </w:t>
      </w:r>
      <w:r>
        <w:rPr>
          <w:rFonts w:ascii="Times New Roman" w:hAnsi="Times New Roman"/>
          <w:sz w:val="20"/>
          <w:u w:val="single"/>
        </w:rPr>
        <w:t>Section 7.12(d)</w:t>
      </w:r>
      <w:r>
        <w:rPr>
          <w:rFonts w:ascii="Times New Roman" w:hAnsi="Times New Roman"/>
          <w:sz w:val="20"/>
        </w:rPr>
        <w:t xml:space="preserve"> shall continue in effect thereafter. </w:t>
      </w:r>
    </w:p>
    <w:p>
      <w:pPr>
        <w:pStyle w:val="TextBody"/>
        <w:bidi w:val="0"/>
        <w:spacing w:before="240" w:after="0"/>
        <w:jc w:val="left"/>
        <w:rPr>
          <w:rFonts w:ascii="Times New Roman" w:hAnsi="Times New Roman"/>
          <w:sz w:val="20"/>
        </w:rPr>
      </w:pPr>
      <w:r>
        <w:rPr>
          <w:rFonts w:ascii="Times New Roman" w:hAnsi="Times New Roman"/>
          <w:sz w:val="20"/>
        </w:rPr>
        <w:t xml:space="preserve">(f) The rights to cause the Partnership to register Partnership Securities pursuant to this </w:t>
      </w:r>
      <w:r>
        <w:rPr>
          <w:rFonts w:ascii="Times New Roman" w:hAnsi="Times New Roman"/>
          <w:sz w:val="20"/>
          <w:u w:val="single"/>
        </w:rPr>
        <w:t>Section 7.12</w:t>
      </w:r>
      <w:r>
        <w:rPr>
          <w:rFonts w:ascii="Times New Roman" w:hAnsi="Times New Roman"/>
          <w:sz w:val="20"/>
        </w:rPr>
        <w:t xml:space="preserve"> may be assigned (but only with all related obligations) by a Holder to a transferee or assignee of such Partnership Securities, provided (i) the Partnership is, within a reasonable time after such transfer, furnished with written notice of the name and address of such transferee or assignee and the Partnership Securities with respect to which such registration rights are being assigned; and (ii) such transferee or assignee agrees in writing to be bound by and subject to the terms set forth in this </w:t>
      </w:r>
      <w:r>
        <w:rPr>
          <w:rFonts w:ascii="Times New Roman" w:hAnsi="Times New Roman"/>
          <w:sz w:val="20"/>
          <w:u w:val="single"/>
        </w:rPr>
        <w:t>Section 7.12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Any request to register Partnership Securities pursuant to this </w:t>
      </w:r>
      <w:r>
        <w:rPr>
          <w:rFonts w:ascii="Times New Roman" w:hAnsi="Times New Roman"/>
          <w:sz w:val="20"/>
          <w:u w:val="single"/>
        </w:rPr>
        <w:t>Section 7.12</w:t>
      </w:r>
      <w:r>
        <w:rPr>
          <w:rFonts w:ascii="Times New Roman" w:hAnsi="Times New Roman"/>
          <w:sz w:val="20"/>
        </w:rPr>
        <w:t xml:space="preserve"> shall (i) specify the Partnership Securities intended to be offered and sold by the Person making the request, (ii) express such Person’s present intent to offer such Partnership Securities for distribution, (iii) describe the nature or method of the proposed offer and sale of Partnership Securities, and (iv) contain the undertaking of such Person to provide all such information and materials and take all action as may be required in order to permit the Partnership to comply with all applicable requirements in connection with the registration of such Partnership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Reliance by Third Parties</w:t>
      </w:r>
      <w:r>
        <w:rPr>
          <w:rFonts w:ascii="Times New Roman" w:hAnsi="Times New Roman"/>
          <w:sz w:val="20"/>
        </w:rPr>
        <w:t xml:space="preserve">. Notwithstanding anything to the contrary in this Agreement, any Person dealing with the Partnership shall be entitled to assume that the General Partner and any officer of the General Partner authorized by the General Partner to act on behalf of and in the name of the Partnership has full power and authority to encumber, sell or otherwise use in any manner any and all assets of the Partnership and to enter into any authorized contracts on behalf of the Partnership, and such Person shall be entitled to deal with the General Partner or any such officer as if it were the Partnership’s sole party in interest, both legally and beneficially. Each Limited Partner hereby waives any and all defenses or other remedies that may be available against such Person to contest, negate or disaffirm any action of the General Partner or any such officer in connection with any such dealing. In no event shall any Person dealing with the General Partner or any such officer or its representatives be obligated to ascertain that the terms of the Agreement have been complied with or to inquire into the necessity or expedience of any act or action of the General Partner or any such officer or its representatives. Each and every certificate, document or other instrument executed on behalf of the Partnership by the General Partner or any such officer or its representatives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Partnership and (c) such certificate, document or instrument was duly executed and delivered in accordance with the terms and provisions of this Agreement and is binding upon the Partnership.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BOOKS, RECORDS, ACCOUNTING AND REPORTS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Records and Accounting</w:t>
      </w:r>
      <w:r>
        <w:rPr>
          <w:rFonts w:ascii="Times New Roman" w:hAnsi="Times New Roman"/>
          <w:sz w:val="20"/>
        </w:rPr>
        <w:t xml:space="preserve">. The General Partner shall keep or cause to be kept at the principal office of the Partnership appropriate books and records with respect to the Partnership’s business, including all books and records necessary to provide to the Limited Partners any information required to be provided pursuant to </w:t>
      </w:r>
      <w:r>
        <w:rPr>
          <w:rFonts w:ascii="Times New Roman" w:hAnsi="Times New Roman"/>
          <w:sz w:val="20"/>
          <w:u w:val="single"/>
        </w:rPr>
        <w:t>Section 3.4(a)</w:t>
      </w:r>
      <w:r>
        <w:rPr>
          <w:rFonts w:ascii="Times New Roman" w:hAnsi="Times New Roman"/>
          <w:sz w:val="20"/>
        </w:rPr>
        <w:t xml:space="preserve">. Any books and records maintained by or on behalf of the Partnership in the regular course of its business, including the record of the Record Holders of Units or other Partnership Securities, books of account and records of Partnership proceedings, may be kept on, or be in the form of, computer disks, hard drives, punch cards, magnetic tape, photographs, micrographics or any other information storage device;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the books and records so maintained are convertible into clearly legible written form within a reasonable period of time. The books of the Partnership shall be maintained, for financial reporting purposes, on an accrual basis in accordance with U.S. GAAP.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Fiscal Year</w:t>
      </w:r>
      <w:r>
        <w:rPr>
          <w:rFonts w:ascii="Times New Roman" w:hAnsi="Times New Roman"/>
          <w:sz w:val="20"/>
        </w:rPr>
        <w:t xml:space="preserve">. The fiscal year of the Partnership shall be from January 1 to December 31.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Reports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soon as practicable, but in no event later than 120 days after the close of each fiscal year of the Partnership, the General Partner shall cause to be mailed or made available, by any reasonable means (including posting on the Partnership’s website), to each Record Holder of a Unit as of a date selected by the General Partner, an annual report containing financial statements of the Partnership for such fiscal year of the Partnership, presented in accordance with U.S. GAAP, including a balance sheet and statements of operations, Partnership equity and cash flows, such statements to be audited by a firm of independent public accountants selected by the General Partner. </w:t>
      </w:r>
    </w:p>
    <w:p>
      <w:pPr>
        <w:pStyle w:val="TextBody"/>
        <w:bidi w:val="0"/>
        <w:spacing w:before="240" w:after="0"/>
        <w:jc w:val="left"/>
        <w:rPr>
          <w:rFonts w:ascii="Times New Roman" w:hAnsi="Times New Roman"/>
          <w:sz w:val="20"/>
        </w:rPr>
      </w:pPr>
      <w:r>
        <w:rPr>
          <w:rFonts w:ascii="Times New Roman" w:hAnsi="Times New Roman"/>
          <w:sz w:val="20"/>
        </w:rPr>
        <w:t xml:space="preserve">(b) As soon as practicable, but in no event later than 90 days after the close of each Quarter except the last Quarter of each fiscal year, the General Partner shall cause to be mailed or made available, by any reasonable means (including posting on the Partnership’s website), to each Record Holder of a Unit, as of a date selected by the General Partner, a report containing unaudited financial statements of the Partnership and such other information as may be required by applicable law, regulation or rule of any National Securities Exchange on which the Units are listed or admitted for trading, or as the General Partner determines to be necessary or appropriate.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TAX MATTERS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Tax Returns and Information</w:t>
      </w:r>
      <w:r>
        <w:rPr>
          <w:rFonts w:ascii="Times New Roman" w:hAnsi="Times New Roman"/>
          <w:sz w:val="20"/>
        </w:rPr>
        <w:t xml:space="preserve">. The Partnership shall timely file all returns of the Partnership that are required for federal, state and local income tax purposes on the basis of the accrual method and a taxable year ending on December 31. The tax information reasonably required by Record Holders for federal and state income tax reporting purposes with respect to a taxable year shall be furnished to them within 90 days of the close of the calendar year in which the Partnership’s taxable year ends. The classification, realization and recognition of income, gain, losses and deductions and other items shall be on the accrual method of accounting for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Tax Elections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Partnership shall make the election under Section 754 of the Code in accordance with applicable regulations thereunder, subject to the reservation of the right to seek to revoke any such election upon the General Partner’s determination that such revocation is in the best interests of the Limited Partners. Notwithstanding any other provision herein contained, for the purposes of computing the adjustments under Section 743(b) of the Code, the General Partner shall be authorized (but not required) to adopt a convention whereby the price paid by a transferee of a Limited Partner Interest will be deemed to be the lowest quoted closing price of the Limited Partner Interests on any National Securities Exchange on which such Limited Partner Interests are listed or admitted for trading during the calendar month in which such transfer is deemed to occur pursuant to </w:t>
      </w:r>
      <w:r>
        <w:rPr>
          <w:rFonts w:ascii="Times New Roman" w:hAnsi="Times New Roman"/>
          <w:sz w:val="20"/>
          <w:u w:val="single"/>
        </w:rPr>
        <w:t>Section 6.2(g)</w:t>
      </w:r>
      <w:r>
        <w:rPr>
          <w:rFonts w:ascii="Times New Roman" w:hAnsi="Times New Roman"/>
          <w:sz w:val="20"/>
        </w:rPr>
        <w:t xml:space="preserve"> without regard to the actual price paid by such transferee.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provided herein, the General Partner shall determine whether the Partnership should make any other elections permitted by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Tax Controversies</w:t>
      </w:r>
      <w:r>
        <w:rPr>
          <w:rFonts w:ascii="Times New Roman" w:hAnsi="Times New Roman"/>
          <w:sz w:val="20"/>
        </w:rPr>
        <w:t>. The General Partner is designated as the “partnership representative” in accordance with the rules prescribed pursuant to Section 6223 of the Code (the “</w:t>
      </w:r>
      <w:r>
        <w:rPr>
          <w:rFonts w:ascii="Times New Roman" w:hAnsi="Times New Roman"/>
          <w:i/>
          <w:sz w:val="20"/>
        </w:rPr>
        <w:t>Partnership Representative</w:t>
      </w:r>
      <w:r>
        <w:rPr>
          <w:rFonts w:ascii="Times New Roman" w:hAnsi="Times New Roman"/>
          <w:sz w:val="20"/>
        </w:rPr>
        <w:t>”). The Partnership Representative shall have the authority to designate from time to time a “</w:t>
      </w:r>
      <w:r>
        <w:rPr>
          <w:rFonts w:ascii="Times New Roman" w:hAnsi="Times New Roman"/>
          <w:i/>
          <w:sz w:val="20"/>
        </w:rPr>
        <w:t>Designated Individual</w:t>
      </w:r>
      <w:r>
        <w:rPr>
          <w:rFonts w:ascii="Times New Roman" w:hAnsi="Times New Roman"/>
          <w:sz w:val="20"/>
        </w:rPr>
        <w:t xml:space="preserve">” to act on behalf of the Partnership Representative, and such Designated Individual shall be subject to replacement by the Partnership Representative in accordance with Treasury Regulations Section 301.6223-1. The Partnership Representative, or the Designated Individual, as applicable, shall have the sole authority to act on behalf of the Partnership in connection with all examinations of the Partnership’s affairs by tax authorities, including resulting administrative and judicial proceedings, and to expend Partnership funds for professional services and costs associated therewith. The Partnership Representative or the Designated Individual, as applicable, shall exercise in its sole discretion, any and all authority of the Partnership Representative under the Code, including, without limitation, (i) binding the Partnership and its Partners with respect to tax matters and (ii) determining whether to make any available election under Section 6226 of the Code. Any reasonable, documented cost or expense that the Partnership Representative or the Designated Individual, as applicable, incurs in connection with its duties, including the preparation for or pursuance of administrative or judicial proceedings, shall be paid by the Partnership. Neither the Partnership Representative nor the Designated Individual shall be liable to the Partnership or to its partners for acts or omissions taken or suffered by it in its capacity as either Partnership Representative or Designated Individual, as the case may be, in good faith; </w:t>
      </w:r>
      <w:r>
        <w:rPr>
          <w:rFonts w:ascii="Times New Roman" w:hAnsi="Times New Roman"/>
          <w:sz w:val="20"/>
          <w:u w:val="single"/>
        </w:rPr>
        <w:t xml:space="preserve">provided </w:t>
      </w:r>
      <w:r>
        <w:rPr>
          <w:rFonts w:ascii="Times New Roman" w:hAnsi="Times New Roman"/>
          <w:sz w:val="20"/>
        </w:rPr>
        <w:t xml:space="preserve">that such act or omission is not in willful violation of this Agreement and does not constitute fraud or a willful violation of law. </w:t>
      </w:r>
    </w:p>
    <w:p>
      <w:pPr>
        <w:pStyle w:val="TextBody"/>
        <w:bidi w:val="0"/>
        <w:spacing w:before="240" w:after="0"/>
        <w:jc w:val="left"/>
        <w:rPr>
          <w:rFonts w:ascii="Times New Roman" w:hAnsi="Times New Roman"/>
          <w:sz w:val="20"/>
        </w:rPr>
      </w:pPr>
      <w:r>
        <w:rPr>
          <w:rFonts w:ascii="Times New Roman" w:hAnsi="Times New Roman"/>
          <w:sz w:val="20"/>
        </w:rPr>
        <w:t xml:space="preserve">The General Partner shall amend the provisions of this Agreement as appropriate in accordance with </w:t>
      </w:r>
      <w:r>
        <w:rPr>
          <w:rFonts w:ascii="Times New Roman" w:hAnsi="Times New Roman"/>
          <w:sz w:val="20"/>
          <w:u w:val="single"/>
        </w:rPr>
        <w:t>Article XIII</w:t>
      </w:r>
      <w:r>
        <w:rPr>
          <w:rFonts w:ascii="Times New Roman" w:hAnsi="Times New Roman"/>
          <w:sz w:val="20"/>
        </w:rPr>
        <w:t xml:space="preserve"> to reflect the proposal or promulgation of Treasury Regulations implementing the partnership audit, assessment and collection rules adopted by the Bipartisan Budget Act of 2015, including any amendments to those rules. </w:t>
      </w:r>
    </w:p>
    <w:p>
      <w:pPr>
        <w:pStyle w:val="TextBody"/>
        <w:bidi w:val="0"/>
        <w:spacing w:before="240" w:after="0"/>
        <w:jc w:val="left"/>
        <w:rPr>
          <w:rFonts w:ascii="Times New Roman" w:hAnsi="Times New Roman"/>
          <w:sz w:val="20"/>
        </w:rPr>
      </w:pPr>
      <w:r>
        <w:rPr>
          <w:rFonts w:ascii="Times New Roman" w:hAnsi="Times New Roman"/>
          <w:sz w:val="20"/>
        </w:rPr>
        <w:t xml:space="preserve">Section 9.4 </w:t>
      </w:r>
      <w:r>
        <w:rPr>
          <w:rFonts w:ascii="Times New Roman" w:hAnsi="Times New Roman"/>
          <w:sz w:val="20"/>
          <w:u w:val="single"/>
        </w:rPr>
        <w:t>Withholding</w:t>
      </w:r>
      <w:r>
        <w:rPr>
          <w:rFonts w:ascii="Times New Roman" w:hAnsi="Times New Roman"/>
          <w:sz w:val="20"/>
        </w:rPr>
        <w:t xml:space="preserve">. Notwithstanding any other provision of this Agreement, the General Partner is authorized to take any action that may be required to cause the Partnership to comply with any withholding requirements established under the Code or any other federal, state or local law including, without limitation, pursuant to Sections 1441, 1442, 1445 and 1446 of the Code. To the extent that the Partnership is required or elects to withhold and pay over to any taxing authority any amount resulting from the allocation or distribution of income to any Partner (including, without limitation, by reason of Section 1446 of the Code), the General Partner may treat the amount withheld as a distribution of cash pursuant to </w:t>
      </w:r>
      <w:r>
        <w:rPr>
          <w:rFonts w:ascii="Times New Roman" w:hAnsi="Times New Roman"/>
          <w:sz w:val="20"/>
          <w:u w:val="single"/>
        </w:rPr>
        <w:t>Section 6.3</w:t>
      </w:r>
      <w:r>
        <w:rPr>
          <w:rFonts w:ascii="Times New Roman" w:hAnsi="Times New Roman"/>
          <w:sz w:val="20"/>
        </w:rPr>
        <w:t xml:space="preserve"> in the amount of such withholding from such Partner.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ADMISSION OF PARTNERS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Admission of Substituted Limited Partners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By acceptance of the transfer of any Limited Partner Interests in accordance with this </w:t>
      </w:r>
      <w:r>
        <w:rPr>
          <w:rFonts w:ascii="Times New Roman" w:hAnsi="Times New Roman"/>
          <w:sz w:val="20"/>
          <w:u w:val="single"/>
        </w:rPr>
        <w:t>Section 10.1(a)</w:t>
      </w:r>
      <w:r>
        <w:rPr>
          <w:rFonts w:ascii="Times New Roman" w:hAnsi="Times New Roman"/>
          <w:sz w:val="20"/>
        </w:rPr>
        <w:t xml:space="preserve"> or the issuance of any Limited Partner Interests in a merger or consolidation pursuant to </w:t>
      </w:r>
      <w:r>
        <w:rPr>
          <w:rFonts w:ascii="Times New Roman" w:hAnsi="Times New Roman"/>
          <w:sz w:val="20"/>
          <w:u w:val="single"/>
        </w:rPr>
        <w:t>Article XIV</w:t>
      </w:r>
      <w:r>
        <w:rPr>
          <w:rFonts w:ascii="Times New Roman" w:hAnsi="Times New Roman"/>
          <w:sz w:val="20"/>
        </w:rPr>
        <w:t xml:space="preserve">, and except as provided in </w:t>
      </w:r>
      <w:r>
        <w:rPr>
          <w:rFonts w:ascii="Times New Roman" w:hAnsi="Times New Roman"/>
          <w:sz w:val="20"/>
          <w:u w:val="single"/>
        </w:rPr>
        <w:t>Section 10.1(b)</w:t>
      </w:r>
      <w:r>
        <w:rPr>
          <w:rFonts w:ascii="Times New Roman" w:hAnsi="Times New Roman"/>
          <w:sz w:val="20"/>
        </w:rPr>
        <w:t xml:space="preserve">, each transferee of a Limited Partner Interest (including any nominee holder or an agent or representative acquiring such Limited Partner Interests for the account of another Person) (i) shall be admitted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Partnership as a Limited Partner with respect to the Limited Partner Interests so transferred to such Person when any such transfer or admission is reflected in the books and records of the Partnership, with or without execution of this Agreement, (ii) shall become bound by the terms of, and shall be deemed to have executed, this Agreement, (iii) shall become the Record Holder of the Limited Partner Interests so transferred, (iv) represents that the transferee has the capacity, power and authority to enter into this Agreement, (v) grants the powers of attorney set forth in this Agreement and (vi) makes the consents and waivers contained in this Agreement. The transfer of any Limited Partner Interests and the admission of any new Limited Partner shall not constitute an amendment to this Agreement. Except as provided in </w:t>
      </w:r>
      <w:r>
        <w:rPr>
          <w:rFonts w:ascii="Times New Roman" w:hAnsi="Times New Roman"/>
          <w:sz w:val="20"/>
          <w:u w:val="single"/>
        </w:rPr>
        <w:t>Section 10.1(b)</w:t>
      </w:r>
      <w:r>
        <w:rPr>
          <w:rFonts w:ascii="Times New Roman" w:hAnsi="Times New Roman"/>
          <w:sz w:val="20"/>
        </w:rPr>
        <w:t xml:space="preserve">, a Person may become a Record Holder of a Limited Partner Interest without the consent or approval of any of the Partners. A Person may not become a Limited Partner without acquiring a Limited Partner Interest and until such Person is reflected in the books and records of the Partnership as the Record Holder of such Limited Partner Interest. The rights and obligations of a Person who is an Ineligible Assignee shall be determined in accordance with </w:t>
      </w:r>
      <w:r>
        <w:rPr>
          <w:rFonts w:ascii="Times New Roman" w:hAnsi="Times New Roman"/>
          <w:sz w:val="20"/>
          <w:u w:val="single"/>
        </w:rPr>
        <w:t>Section 10.1(b)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Following a FERC Notice, (i) clause (i) of </w:t>
      </w:r>
      <w:r>
        <w:rPr>
          <w:rFonts w:ascii="Times New Roman" w:hAnsi="Times New Roman"/>
          <w:sz w:val="20"/>
          <w:u w:val="single"/>
        </w:rPr>
        <w:t>Section 10.1(a)</w:t>
      </w:r>
      <w:r>
        <w:rPr>
          <w:rFonts w:ascii="Times New Roman" w:hAnsi="Times New Roman"/>
          <w:sz w:val="20"/>
        </w:rPr>
        <w:t xml:space="preserve"> shall no longer be applicable, (ii) the transferor of a Limited Partner Interest made in accordance with </w:t>
      </w:r>
      <w:r>
        <w:rPr>
          <w:rFonts w:ascii="Times New Roman" w:hAnsi="Times New Roman"/>
          <w:sz w:val="20"/>
          <w:u w:val="single"/>
        </w:rPr>
        <w:t>Article IV</w:t>
      </w:r>
      <w:r>
        <w:rPr>
          <w:rFonts w:ascii="Times New Roman" w:hAnsi="Times New Roman"/>
          <w:sz w:val="20"/>
        </w:rPr>
        <w:t xml:space="preserve"> shall be deemed to have given the transferee the right to seek admission as a Substituted Limited Partner subject to the conditions of, and in the manner permitted under, this Agreement and (iii) a transferor of a Certificate representing a Limited Partner Interest shall only have the authority to convey to a purchaser or other transferee who does not execute and deliver a Transfer Application (a) the right to negotiate such Certificate to a purchaser or other transferee and (b) the right to transfer the right to request admission as a Substituted Limited Partner to such purchaser or other transferee in respect of the transferred Limited Partner Interests. No transferor of a Limited Partner Interest or other Person shall have any obligation or responsibility to provide a Transfer Application to a transferee or assist or participate in any way with respect to the completion or delivery thereof. Following a FERC Notice, each transferee of a Limited Partner Interest (including any nominee holder or an agent acquiring such Limited Partner Interest for the account of another Person) who executes and delivers a properly completed Transfer Application, containing a properly completed and executed Taxation Certification, shall, by virtue of such execution and delivery, be an Assignee. Such Assignee shall automatically be admitted to the Partnership as a Substituted Limited Partner with respect to the Limited Partner Interests so transferred to such Person at such time as such transfer is recorded in the books and records of the Partnership, and until so recorded, such transferee shall be an Assignee. The General Partner shall periodically, but no less frequently than on the first Business Day of each calendar quarter, cause any unrecorded transfers of Limited Partner Interests with respect to which a properly completed, duly executed Transfer Application, including the accompanying Taxation Certification, has been received to be recorded in the books and records of the Partnership. An Assignee shall have an interest in the Partnership equivalent to that of a Limited Partner with respect to allocations and distributions, including liquidating distributions, of the Partnership. With respect to voting rights attributable to Limited Partner Interests that are held by Assignees, the General Partner shall be deemed to be the Limited Partner with respect thereto and shall, in exercising the voting rights in respect of such Limited Partner Interests on any matter, vote such Limited Partner Interests at the written direction of the Assignee who is the Record Holder of such Limited Partner Interests. If no such written direction is received, such Limited Partner Interests will not be voted. An Assignee shall have no other rights of a Limited Partner.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Admission of Successor General Partner</w:t>
      </w:r>
      <w:r>
        <w:rPr>
          <w:rFonts w:ascii="Times New Roman" w:hAnsi="Times New Roman"/>
          <w:sz w:val="20"/>
        </w:rPr>
        <w:t xml:space="preserve">. A successor General Partner approved pursuant to </w:t>
      </w:r>
      <w:r>
        <w:rPr>
          <w:rFonts w:ascii="Times New Roman" w:hAnsi="Times New Roman"/>
          <w:sz w:val="20"/>
          <w:u w:val="single"/>
        </w:rPr>
        <w:t>Sections 11.1</w:t>
      </w:r>
      <w:r>
        <w:rPr>
          <w:rFonts w:ascii="Times New Roman" w:hAnsi="Times New Roman"/>
          <w:sz w:val="20"/>
        </w:rPr>
        <w:t xml:space="preserve"> or </w:t>
      </w:r>
      <w:r>
        <w:rPr>
          <w:rFonts w:ascii="Times New Roman" w:hAnsi="Times New Roman"/>
          <w:sz w:val="20"/>
          <w:u w:val="single"/>
        </w:rPr>
        <w:t>11.2</w:t>
      </w:r>
      <w:r>
        <w:rPr>
          <w:rFonts w:ascii="Times New Roman" w:hAnsi="Times New Roman"/>
          <w:sz w:val="20"/>
        </w:rPr>
        <w:t xml:space="preserve"> or the transferee of or successor to all of the General Partner Interest pursuant to </w:t>
      </w:r>
      <w:r>
        <w:rPr>
          <w:rFonts w:ascii="Times New Roman" w:hAnsi="Times New Roman"/>
          <w:sz w:val="20"/>
          <w:u w:val="single"/>
        </w:rPr>
        <w:t>Section 4.6</w:t>
      </w:r>
      <w:r>
        <w:rPr>
          <w:rFonts w:ascii="Times New Roman" w:hAnsi="Times New Roman"/>
          <w:sz w:val="20"/>
        </w:rPr>
        <w:t xml:space="preserve"> who is proposed to be admitted as a successor General Partner shall be admitted to the Partnership as the General Partner effective immediately prior to the withdrawal or removal of the predecessor or transferring General Partner pursuant to </w:t>
      </w:r>
      <w:r>
        <w:rPr>
          <w:rFonts w:ascii="Times New Roman" w:hAnsi="Times New Roman"/>
          <w:sz w:val="20"/>
          <w:u w:val="single"/>
        </w:rPr>
        <w:t>Sections 11.1</w:t>
      </w:r>
      <w:r>
        <w:rPr>
          <w:rFonts w:ascii="Times New Roman" w:hAnsi="Times New Roman"/>
          <w:sz w:val="20"/>
        </w:rPr>
        <w:t xml:space="preserve"> or </w:t>
      </w:r>
      <w:r>
        <w:rPr>
          <w:rFonts w:ascii="Times New Roman" w:hAnsi="Times New Roman"/>
          <w:sz w:val="20"/>
          <w:u w:val="single"/>
        </w:rPr>
        <w:t>11.2</w:t>
      </w:r>
      <w:r>
        <w:rPr>
          <w:rFonts w:ascii="Times New Roman" w:hAnsi="Times New Roman"/>
          <w:sz w:val="20"/>
        </w:rPr>
        <w:t xml:space="preserve"> or the transfer of such General Partner’s General Partner Interest pursuant to </w:t>
      </w:r>
      <w:r>
        <w:rPr>
          <w:rFonts w:ascii="Times New Roman" w:hAnsi="Times New Roman"/>
          <w:sz w:val="20"/>
          <w:u w:val="single"/>
        </w:rPr>
        <w:t>Section 4.6</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no such successor shall be admitted to the Partnership until compliance with the terms of </w:t>
      </w:r>
      <w:r>
        <w:rPr>
          <w:rFonts w:ascii="Times New Roman" w:hAnsi="Times New Roman"/>
          <w:sz w:val="20"/>
          <w:u w:val="single"/>
        </w:rPr>
        <w:t>Section 4.6</w:t>
      </w:r>
      <w:r>
        <w:rPr>
          <w:rFonts w:ascii="Times New Roman" w:hAnsi="Times New Roman"/>
          <w:sz w:val="20"/>
        </w:rPr>
        <w:t xml:space="preserve"> has occurred and such successor has executed and delivered such other documents or instruments as may be required to effect such admission. Any such successor shall, subject to the terms hereof, carry on the business of the Partnership without dissolution.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Admission of Additional Limited Partners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 Person (other than the General Partner, an Initial Limited Partner or a Substituted Limited Partner) who makes a Capital Contribution to the Partnership in accordance with this Agreement shall be admitted to the Partnership as an Additional Limited Partner only upon furnishing to the General Partner: </w:t>
      </w:r>
    </w:p>
    <w:p>
      <w:pPr>
        <w:pStyle w:val="TextBody"/>
        <w:bidi w:val="0"/>
        <w:spacing w:before="120" w:after="0"/>
        <w:jc w:val="left"/>
        <w:rPr>
          <w:rFonts w:ascii="Times New Roman" w:hAnsi="Times New Roman"/>
          <w:sz w:val="20"/>
        </w:rPr>
      </w:pPr>
      <w:r>
        <w:rPr>
          <w:rFonts w:ascii="Times New Roman" w:hAnsi="Times New Roman"/>
          <w:sz w:val="20"/>
        </w:rPr>
        <w:t xml:space="preserve">(i) evidence of acceptance in form satisfactory to the General Partner of all of the terms and conditions of this Agreement, including the power of attorney granted in </w:t>
      </w:r>
      <w:r>
        <w:rPr>
          <w:rFonts w:ascii="Times New Roman" w:hAnsi="Times New Roman"/>
          <w:sz w:val="20"/>
          <w:u w:val="single"/>
        </w:rPr>
        <w:t>Section 2.6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following a FERC Notice, a properly completed Taxation Certification; and </w:t>
      </w:r>
    </w:p>
    <w:p>
      <w:pPr>
        <w:pStyle w:val="TextBody"/>
        <w:bidi w:val="0"/>
        <w:spacing w:before="120" w:after="0"/>
        <w:jc w:val="left"/>
        <w:rPr>
          <w:rFonts w:ascii="Times New Roman" w:hAnsi="Times New Roman"/>
          <w:sz w:val="20"/>
        </w:rPr>
      </w:pPr>
      <w:r>
        <w:rPr>
          <w:rFonts w:ascii="Times New Roman" w:hAnsi="Times New Roman"/>
          <w:sz w:val="20"/>
        </w:rPr>
        <w:t xml:space="preserve">(iii) such other documents or instruments as may be required by the General Partner to effect such Person’s admission as an Additional Limited Partner.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in this </w:t>
      </w:r>
      <w:r>
        <w:rPr>
          <w:rFonts w:ascii="Times New Roman" w:hAnsi="Times New Roman"/>
          <w:sz w:val="20"/>
          <w:u w:val="single"/>
        </w:rPr>
        <w:t>Section 10.3</w:t>
      </w:r>
      <w:r>
        <w:rPr>
          <w:rFonts w:ascii="Times New Roman" w:hAnsi="Times New Roman"/>
          <w:sz w:val="20"/>
        </w:rPr>
        <w:t xml:space="preserve">, no Person shall be admitted as an Additional Limited Partner without the consent of the General Partner. The admission of any Person as an Additional Limited Partner shall become effective on the date upon which the name of such Person is recorded as such in the books and records of the Partnership, following the consent of the General Partner to such admission.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Amendment of Agreement and Certificate of Formation</w:t>
      </w:r>
      <w:r>
        <w:rPr>
          <w:rFonts w:ascii="Times New Roman" w:hAnsi="Times New Roman"/>
          <w:sz w:val="20"/>
        </w:rPr>
        <w:t xml:space="preserve">. To effect the admission to the Partnership of any Partner, the General Partner shall take all steps necessary and appropriate under the Texas Limited Partnership Law to amend the records of the Partnership to reflect such admission and, if necessary, to prepare as soon as practicable an amendment to this Agreement and, if required by law, the General Partner shall prepare and file an amendment to the Certificate of Formation, and the General Partner may for this purpose, among others, exercise the power of attorney granted pursuant to </w:t>
      </w:r>
      <w:r>
        <w:rPr>
          <w:rFonts w:ascii="Times New Roman" w:hAnsi="Times New Roman"/>
          <w:sz w:val="20"/>
          <w:u w:val="single"/>
        </w:rPr>
        <w:t>Section 2.6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WITHDRAWAL OR REMOVAL OF PARTNERS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Withdrawal of the General Partner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General Partner shall be deemed to have withdrawn from the Partnership upon the occurrence of any one of the following events (each such event herein referred to as an “</w:t>
      </w:r>
      <w:r>
        <w:rPr>
          <w:rFonts w:ascii="Times New Roman" w:hAnsi="Times New Roman"/>
          <w:i/>
          <w:sz w:val="20"/>
        </w:rPr>
        <w:t>Event of Withdrawal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General Partner voluntarily withdraws from the Partnership by giving written notice to the other Partners; </w:t>
      </w:r>
    </w:p>
    <w:p>
      <w:pPr>
        <w:pStyle w:val="TextBody"/>
        <w:bidi w:val="0"/>
        <w:spacing w:before="120" w:after="0"/>
        <w:jc w:val="left"/>
        <w:rPr>
          <w:rFonts w:ascii="Times New Roman" w:hAnsi="Times New Roman"/>
          <w:sz w:val="20"/>
        </w:rPr>
      </w:pPr>
      <w:r>
        <w:rPr>
          <w:rFonts w:ascii="Times New Roman" w:hAnsi="Times New Roman"/>
          <w:sz w:val="20"/>
        </w:rPr>
        <w:t xml:space="preserve">(ii) the General Partner transfers all of its rights as General Partner pursuant to </w:t>
      </w:r>
      <w:r>
        <w:rPr>
          <w:rFonts w:ascii="Times New Roman" w:hAnsi="Times New Roman"/>
          <w:sz w:val="20"/>
          <w:u w:val="single"/>
        </w:rPr>
        <w:t>Section 4.6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the General Partner is removed pursuant to </w:t>
      </w:r>
      <w:r>
        <w:rPr>
          <w:rFonts w:ascii="Times New Roman" w:hAnsi="Times New Roman"/>
          <w:sz w:val="20"/>
          <w:u w:val="single"/>
        </w:rPr>
        <w:t>Section 11.2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the General Partner (A) makes a general assignment for the benefit of creditors; (B) files a voluntary bankruptcy petition for relief under Chapter 7 of the United States Bankruptcy Code; (C) files a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clauses (A)-(C) of this </w:t>
      </w:r>
      <w:r>
        <w:rPr>
          <w:rFonts w:ascii="Times New Roman" w:hAnsi="Times New Roman"/>
          <w:sz w:val="20"/>
          <w:u w:val="single"/>
        </w:rPr>
        <w:t>Section 11.1(a)(iv)</w:t>
      </w:r>
      <w:r>
        <w:rPr>
          <w:rFonts w:ascii="Times New Roman" w:hAnsi="Times New Roman"/>
          <w:sz w:val="20"/>
        </w:rPr>
        <w:t xml:space="preserve">; or (E) seeks, consents to or acquiesces in the appointment of a trustee (but not a debtor-in-possession), receiver or liquidator of the General Partner or of all or any substantial part of its properties; or </w:t>
      </w:r>
    </w:p>
    <w:p>
      <w:pPr>
        <w:pStyle w:val="TextBody"/>
        <w:bidi w:val="0"/>
        <w:spacing w:before="120" w:after="0"/>
        <w:jc w:val="left"/>
        <w:rPr>
          <w:rFonts w:ascii="Times New Roman" w:hAnsi="Times New Roman"/>
          <w:sz w:val="20"/>
        </w:rPr>
      </w:pPr>
      <w:r>
        <w:rPr>
          <w:rFonts w:ascii="Times New Roman" w:hAnsi="Times New Roman"/>
          <w:sz w:val="20"/>
        </w:rPr>
        <w:t xml:space="preserve">(v) a final and non-appealable order of relief under Chapter 7 of the United States Bankruptcy Code is entered by a court with appropriate jurisdiction pursuant to a voluntary or involuntary petition by or against the General Partner; or </w:t>
      </w:r>
    </w:p>
    <w:p>
      <w:pPr>
        <w:pStyle w:val="TextBody"/>
        <w:bidi w:val="0"/>
        <w:spacing w:before="120" w:after="0"/>
        <w:jc w:val="left"/>
        <w:rPr>
          <w:rFonts w:ascii="Times New Roman" w:hAnsi="Times New Roman"/>
          <w:sz w:val="20"/>
        </w:rPr>
      </w:pPr>
      <w:r>
        <w:rPr>
          <w:rFonts w:ascii="Times New Roman" w:hAnsi="Times New Roman"/>
          <w:sz w:val="20"/>
        </w:rPr>
        <w:t xml:space="preserve">(vi) (A) in the event the General Partner is a corporation, a certificate of dissolution or its equivalent is filed for the General Partner, or 90 days expire after the date of notice to the General Partner of revocation of its charter without a reinstatement of its charter, under the laws of its state of incorporation; (B) in the event the General Partner is a partnership or a limited liability company, the dissolution and commencement of winding up of the General Partner; (C) in the event the General Partner is acting in such capacity by virtue of being a trustee of a trust, the termination of the trust; (D) in the event the General Partner is a natural person, his death or adjudication of incompetency; and (E) otherwise in the event of the termination of the General Partner.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Withdrawal specified in </w:t>
      </w:r>
      <w:r>
        <w:rPr>
          <w:rFonts w:ascii="Times New Roman" w:hAnsi="Times New Roman"/>
          <w:sz w:val="20"/>
          <w:u w:val="single"/>
        </w:rPr>
        <w:t>Section 11.1(a)(iv)</w:t>
      </w:r>
      <w:r>
        <w:rPr>
          <w:rFonts w:ascii="Times New Roman" w:hAnsi="Times New Roman"/>
          <w:sz w:val="20"/>
        </w:rPr>
        <w:t xml:space="preserve"> or </w:t>
      </w:r>
      <w:r>
        <w:rPr>
          <w:rFonts w:ascii="Times New Roman" w:hAnsi="Times New Roman"/>
          <w:sz w:val="20"/>
          <w:u w:val="single"/>
        </w:rPr>
        <w:t>(vi)(A)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or </w:t>
      </w:r>
      <w:r>
        <w:rPr>
          <w:rFonts w:ascii="Times New Roman" w:hAnsi="Times New Roman"/>
          <w:sz w:val="20"/>
          <w:u w:val="single"/>
        </w:rPr>
        <w:t>(E)</w:t>
      </w:r>
      <w:r>
        <w:rPr>
          <w:rFonts w:ascii="Times New Roman" w:hAnsi="Times New Roman"/>
          <w:sz w:val="20"/>
        </w:rPr>
        <w:t xml:space="preserve"> occurs, the withdrawing General Partner shall give notice to the Limited Partners within 30 days after such occurrence. The Partners hereby agree that only the Events of Withdrawal described in this </w:t>
      </w:r>
      <w:r>
        <w:rPr>
          <w:rFonts w:ascii="Times New Roman" w:hAnsi="Times New Roman"/>
          <w:sz w:val="20"/>
          <w:u w:val="single"/>
        </w:rPr>
        <w:t>Section 11.1</w:t>
      </w:r>
      <w:r>
        <w:rPr>
          <w:rFonts w:ascii="Times New Roman" w:hAnsi="Times New Roman"/>
          <w:sz w:val="20"/>
        </w:rPr>
        <w:t xml:space="preserve"> shall result in the withdrawal of the General Partner from the Partnership.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Withdrawal of the General Partner from the Partnership upon the occurrence of an Event of Withdrawal shall not constitute a breach of this Agreement under the following circumstances: (i) the General Partner voluntarily withdraws by giving at least 90 days’ advance notice to the Unitholders, such withdrawal to take effect on the date specified in such notice; (ii) at any time that the General Partner ceases to be the General Partner pursuant to </w:t>
      </w:r>
      <w:r>
        <w:rPr>
          <w:rFonts w:ascii="Times New Roman" w:hAnsi="Times New Roman"/>
          <w:sz w:val="20"/>
          <w:u w:val="single"/>
        </w:rPr>
        <w:t>Section 11.1(a)(ii)</w:t>
      </w:r>
      <w:r>
        <w:rPr>
          <w:rFonts w:ascii="Times New Roman" w:hAnsi="Times New Roman"/>
          <w:sz w:val="20"/>
        </w:rPr>
        <w:t xml:space="preserve"> or is removed pursuant to </w:t>
      </w:r>
      <w:r>
        <w:rPr>
          <w:rFonts w:ascii="Times New Roman" w:hAnsi="Times New Roman"/>
          <w:sz w:val="20"/>
          <w:u w:val="single"/>
        </w:rPr>
        <w:t>Section 11.2</w:t>
      </w:r>
      <w:r>
        <w:rPr>
          <w:rFonts w:ascii="Times New Roman" w:hAnsi="Times New Roman"/>
          <w:sz w:val="20"/>
        </w:rPr>
        <w:t xml:space="preserve">; or (iii) at any time that the General Partner voluntarily withdraws by giving at least 90 days’ advance notice of its intention to withdraw to the Limited Partners, such withdrawal to take effect on the date specified in the notice, if at the time such notice is given one Person and its Affiliates (other than the General Partner and its Affiliates) own beneficially or of record or control at least 50% of the Outstanding Units. The withdrawal of the General Partner from the Partnership upon the occurrence of an Event of Withdrawal shall also constitute the withdrawal of the General Partner as general partner or managing member, to the extent applicable, of the other Group Members. If the General Partner gives a notice of withdrawal pursuant to </w:t>
      </w:r>
      <w:r>
        <w:rPr>
          <w:rFonts w:ascii="Times New Roman" w:hAnsi="Times New Roman"/>
          <w:sz w:val="20"/>
          <w:u w:val="single"/>
        </w:rPr>
        <w:t>Section 11.1(a)(i)</w:t>
      </w:r>
      <w:r>
        <w:rPr>
          <w:rFonts w:ascii="Times New Roman" w:hAnsi="Times New Roman"/>
          <w:sz w:val="20"/>
        </w:rPr>
        <w:t xml:space="preserve">, the holders of a Unit Majority, may, prior to the effective date of such withdrawal, elect a successor General Partner. The Person so elected as successor General Partner shall automatically become the successor general partner or managing member, to the extent applicable, of the other Group Members of which the General Partner is a general partner or a managing member. Any successor General Partner elected in accordance with the terms of this </w:t>
      </w:r>
      <w:r>
        <w:rPr>
          <w:rFonts w:ascii="Times New Roman" w:hAnsi="Times New Roman"/>
          <w:sz w:val="20"/>
          <w:u w:val="single"/>
        </w:rPr>
        <w:t>Section 11.1</w:t>
      </w:r>
      <w:r>
        <w:rPr>
          <w:rFonts w:ascii="Times New Roman" w:hAnsi="Times New Roman"/>
          <w:sz w:val="20"/>
        </w:rPr>
        <w:t xml:space="preserve"> shall be subject to the provisions of </w:t>
      </w:r>
      <w:r>
        <w:rPr>
          <w:rFonts w:ascii="Times New Roman" w:hAnsi="Times New Roman"/>
          <w:sz w:val="20"/>
          <w:u w:val="single"/>
        </w:rPr>
        <w:t>Section 10.2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Removal of the General Partner</w:t>
      </w:r>
      <w:r>
        <w:rPr>
          <w:rFonts w:ascii="Times New Roman" w:hAnsi="Times New Roman"/>
          <w:sz w:val="20"/>
        </w:rPr>
        <w:t xml:space="preserve">. The General Partner may be removed if such removal is approved by the Unitholders holding at least 66 2/3% of the Outstanding Units (including Units held by the General Partner and its Affiliates). Any such action by such holders for removal of the General Partner must also provide for the election of a successor General Partner by the Unitholders holding a majority of Outstanding Units (including Units held by the General Partner and its Affiliates). Such removal shall be effective immediately following the admission of a successor General Partner pursuant to </w:t>
      </w:r>
      <w:r>
        <w:rPr>
          <w:rFonts w:ascii="Times New Roman" w:hAnsi="Times New Roman"/>
          <w:sz w:val="20"/>
          <w:u w:val="single"/>
        </w:rPr>
        <w:t>Section 10.2</w:t>
      </w:r>
      <w:r>
        <w:rPr>
          <w:rFonts w:ascii="Times New Roman" w:hAnsi="Times New Roman"/>
          <w:sz w:val="20"/>
        </w:rPr>
        <w:t xml:space="preserve">. The removal of the General Partner shall also automatically constitute the removal of the General Partner as general partner or managing member, to the extent applicable, of the other Group Members of which the General Partner is a general partner or a managing member. If a Person is elected as a successor General Partner in accordance with the terms of this </w:t>
      </w:r>
      <w:r>
        <w:rPr>
          <w:rFonts w:ascii="Times New Roman" w:hAnsi="Times New Roman"/>
          <w:sz w:val="20"/>
          <w:u w:val="single"/>
        </w:rPr>
        <w:t>Section 11.2</w:t>
      </w:r>
      <w:r>
        <w:rPr>
          <w:rFonts w:ascii="Times New Roman" w:hAnsi="Times New Roman"/>
          <w:sz w:val="20"/>
        </w:rPr>
        <w:t xml:space="preserve">, such Person shall, upon admission pursuant to </w:t>
      </w:r>
      <w:r>
        <w:rPr>
          <w:rFonts w:ascii="Times New Roman" w:hAnsi="Times New Roman"/>
          <w:sz w:val="20"/>
          <w:u w:val="single"/>
        </w:rPr>
        <w:t>Section 10.2</w:t>
      </w:r>
      <w:r>
        <w:rPr>
          <w:rFonts w:ascii="Times New Roman" w:hAnsi="Times New Roman"/>
          <w:sz w:val="20"/>
        </w:rPr>
        <w:t xml:space="preserve">, automatically become a successor general partner or managing member, to the extent applicable, of the other Group Members of which the General Partner is a general partner or a managing member. The right of the holders of Outstanding Units to remove the General Partner shall not exist or be exercised unless the Partnership has received an opinion opining that such removal (following the selection of the successor General Partner) would not result in the loss of the limited liability of any Limited Partner or any Group Member or cause any Group Member to be treated as an association taxable as a corporation or otherwise to be taxed as an entity for federal income tax purposes (to the extent not previously treated or taxed as such). Any successor General Partner elected in accordance with the terms of this </w:t>
      </w:r>
      <w:r>
        <w:rPr>
          <w:rFonts w:ascii="Times New Roman" w:hAnsi="Times New Roman"/>
          <w:sz w:val="20"/>
          <w:u w:val="single"/>
        </w:rPr>
        <w:t>Section 11.2</w:t>
      </w:r>
      <w:r>
        <w:rPr>
          <w:rFonts w:ascii="Times New Roman" w:hAnsi="Times New Roman"/>
          <w:sz w:val="20"/>
        </w:rPr>
        <w:t xml:space="preserve"> shall be subject to the provisions of </w:t>
      </w:r>
      <w:r>
        <w:rPr>
          <w:rFonts w:ascii="Times New Roman" w:hAnsi="Times New Roman"/>
          <w:sz w:val="20"/>
          <w:u w:val="single"/>
        </w:rPr>
        <w:t>Section 10.2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11.3 </w:t>
      </w:r>
      <w:r>
        <w:rPr>
          <w:rFonts w:ascii="Times New Roman" w:hAnsi="Times New Roman"/>
          <w:sz w:val="20"/>
          <w:u w:val="single"/>
        </w:rPr>
        <w:t>Interest of Departing General Partner and Successor General Partner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of (i) withdrawal of the General Partner under circumstances where such withdrawal does not violate this Agreement or (ii) removal of the General Partner by the holders of Outstanding Units under circumstances where Cause does not exist, if a successor General Partner is elected in accordance with the terms of </w:t>
      </w:r>
      <w:r>
        <w:rPr>
          <w:rFonts w:ascii="Times New Roman" w:hAnsi="Times New Roman"/>
          <w:sz w:val="20"/>
          <w:u w:val="single"/>
        </w:rPr>
        <w:t>Sections 11.1</w:t>
      </w:r>
      <w:r>
        <w:rPr>
          <w:rFonts w:ascii="Times New Roman" w:hAnsi="Times New Roman"/>
          <w:sz w:val="20"/>
        </w:rPr>
        <w:t xml:space="preserve"> or </w:t>
      </w:r>
      <w:r>
        <w:rPr>
          <w:rFonts w:ascii="Times New Roman" w:hAnsi="Times New Roman"/>
          <w:sz w:val="20"/>
          <w:u w:val="single"/>
        </w:rPr>
        <w:t>11.2</w:t>
      </w:r>
      <w:r>
        <w:rPr>
          <w:rFonts w:ascii="Times New Roman" w:hAnsi="Times New Roman"/>
          <w:sz w:val="20"/>
        </w:rPr>
        <w:t xml:space="preserve">, the Departing General Partner shall have the option exercisable prior to the effective date of the departure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Departing General Partner to require its successor to purchase (x) its General Partner Interest and (y) its general partner interest (or equivalent interest), if any, in the other Group Members ((x) and (y) collectively, the “</w:t>
      </w:r>
      <w:r>
        <w:rPr>
          <w:rFonts w:ascii="Times New Roman" w:hAnsi="Times New Roman"/>
          <w:i/>
          <w:sz w:val="20"/>
        </w:rPr>
        <w:t>Combined Interest</w:t>
      </w:r>
      <w:r>
        <w:rPr>
          <w:rFonts w:ascii="Times New Roman" w:hAnsi="Times New Roman"/>
          <w:sz w:val="20"/>
        </w:rPr>
        <w:t xml:space="preserve">”) in exchange for an amount in cash equal to the fair market value of such Combined Interest, such amount to be determined and payable as of the effective date of its departure or, if there is not agreement as to the fair market value of such Combined Interest, within ten (10) days after such agreement is reached. If the General Partner is removed by the Unitholders under circumstances where Cause exists or if the General Partner withdraws under circumstances where such withdrawal violates this Agreement, and if a successor General Partner is elected in accordance with the terms of </w:t>
      </w:r>
      <w:r>
        <w:rPr>
          <w:rFonts w:ascii="Times New Roman" w:hAnsi="Times New Roman"/>
          <w:sz w:val="20"/>
          <w:u w:val="single"/>
        </w:rPr>
        <w:t>Sections 11.1</w:t>
      </w:r>
      <w:r>
        <w:rPr>
          <w:rFonts w:ascii="Times New Roman" w:hAnsi="Times New Roman"/>
          <w:sz w:val="20"/>
        </w:rPr>
        <w:t xml:space="preserve"> or </w:t>
      </w:r>
      <w:r>
        <w:rPr>
          <w:rFonts w:ascii="Times New Roman" w:hAnsi="Times New Roman"/>
          <w:sz w:val="20"/>
          <w:u w:val="single"/>
        </w:rPr>
        <w:t>11.2</w:t>
      </w:r>
      <w:r>
        <w:rPr>
          <w:rFonts w:ascii="Times New Roman" w:hAnsi="Times New Roman"/>
          <w:sz w:val="20"/>
        </w:rPr>
        <w:t xml:space="preserve"> (or if the business of the Partnership is continued pursuant to </w:t>
      </w:r>
      <w:r>
        <w:rPr>
          <w:rFonts w:ascii="Times New Roman" w:hAnsi="Times New Roman"/>
          <w:sz w:val="20"/>
          <w:u w:val="single"/>
        </w:rPr>
        <w:t>Section 12.2</w:t>
      </w:r>
      <w:r>
        <w:rPr>
          <w:rFonts w:ascii="Times New Roman" w:hAnsi="Times New Roman"/>
          <w:sz w:val="20"/>
        </w:rPr>
        <w:t xml:space="preserve"> and the successor General Partner is not the former General Partner), such successor shall have the option, exercisable prior to the effective date of the departure of such Departing General Partner (or, in the event the business of the Partnership is continued, prior to the date the business of the Partnership is continued), to purchase the Combined Interest of the Departing General Partner for such fair market value of such Combined Interest of the Departing General Partner. In either event, the Departing General Partner shall be entitled to receive all reimbursements due such Departing General Partner pursuant to </w:t>
      </w:r>
      <w:r>
        <w:rPr>
          <w:rFonts w:ascii="Times New Roman" w:hAnsi="Times New Roman"/>
          <w:sz w:val="20"/>
          <w:u w:val="single"/>
        </w:rPr>
        <w:t>Section 7.4</w:t>
      </w:r>
      <w:r>
        <w:rPr>
          <w:rFonts w:ascii="Times New Roman" w:hAnsi="Times New Roman"/>
          <w:sz w:val="20"/>
        </w:rPr>
        <w:t xml:space="preserve">, including any employee-related liabilities (including severance liabilities), incurred in connection with the termination of any employees employed by the Departing General Partner for the benefit of the Partnership or the other Group Members.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11.3(a)</w:t>
      </w:r>
      <w:r>
        <w:rPr>
          <w:rFonts w:ascii="Times New Roman" w:hAnsi="Times New Roman"/>
          <w:sz w:val="20"/>
        </w:rPr>
        <w:t xml:space="preserve">, the fair market value of a Departing General Partner’s Combined Interest shall be determined by agreement between the Departing General Partner and its successor or, failing agreement within 30 days after the effective date of such Departing General Partner’s departure, by an independent investment banking firm or other independent expert selected by the Departing General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the Departing General Partner shall designate an independent investment banking firm or other independent expert, the Departing General Partner’s successor shall designate an independent investment banking firm or other independent expert, and such firms or experts shall mutually select a third independent investment banking firm or independent expert, which third independent investment banking firm or other independent expert shall determine the fair market value of the Combined Interest of the Departing General Partner. In making its determination, such third independent investment banking firm or other independent expert may consider the then current trading price of Units on any National Securities Exchange on which Units are then listed or admitted for trading, the value of the Partnership’s assets, the rights and obligations of the Departing General Partner and other factors it may deem relevant. </w:t>
      </w:r>
    </w:p>
    <w:p>
      <w:pPr>
        <w:pStyle w:val="TextBody"/>
        <w:bidi w:val="0"/>
        <w:spacing w:before="240" w:after="0"/>
        <w:jc w:val="left"/>
        <w:rPr>
          <w:rFonts w:ascii="Times New Roman" w:hAnsi="Times New Roman"/>
          <w:sz w:val="20"/>
        </w:rPr>
      </w:pPr>
      <w:r>
        <w:rPr>
          <w:rFonts w:ascii="Times New Roman" w:hAnsi="Times New Roman"/>
          <w:sz w:val="20"/>
        </w:rPr>
        <w:t xml:space="preserve">(b) If the Combined Interest is not purchased in the manner set forth in </w:t>
      </w:r>
      <w:r>
        <w:rPr>
          <w:rFonts w:ascii="Times New Roman" w:hAnsi="Times New Roman"/>
          <w:sz w:val="20"/>
          <w:u w:val="single"/>
        </w:rPr>
        <w:t>Section 11.3(a)</w:t>
      </w:r>
      <w:r>
        <w:rPr>
          <w:rFonts w:ascii="Times New Roman" w:hAnsi="Times New Roman"/>
          <w:sz w:val="20"/>
        </w:rPr>
        <w:t xml:space="preserve">, the Departing General Partner (or its transferee) shall become a Limited Partner and its Combined Interest shall be converted into Common Units pursuant to a valuation made by an investment banking firm or other independent expert selected pursuant to </w:t>
      </w:r>
      <w:r>
        <w:rPr>
          <w:rFonts w:ascii="Times New Roman" w:hAnsi="Times New Roman"/>
          <w:sz w:val="20"/>
          <w:u w:val="single"/>
        </w:rPr>
        <w:t>Section 11.3(a)</w:t>
      </w:r>
      <w:r>
        <w:rPr>
          <w:rFonts w:ascii="Times New Roman" w:hAnsi="Times New Roman"/>
          <w:sz w:val="20"/>
        </w:rPr>
        <w:t xml:space="preserve">, without reduction in such Partnership Interest (but subject to proportionate dilution by reason of the admission of its successor). Any successor General Partner shall indemnify the Departing General Partner (or its transferee) as to all debts and liabilities of the Partnership arising on or after the date on which the Departing General Partner (or its transferee) becomes a Limited Partner. For purposes of this Agreement, conversion of the Combined Interest of the Departing General Partner to Common Units will be characterized as if such General Partner (or its transferee) contributed its Combined Interest to the Partnership in exchange for the newly issued Common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11.4 </w:t>
      </w:r>
      <w:r>
        <w:rPr>
          <w:rFonts w:ascii="Times New Roman" w:hAnsi="Times New Roman"/>
          <w:sz w:val="20"/>
          <w:u w:val="single"/>
        </w:rPr>
        <w:t>Withdrawal of Limited Partners</w:t>
      </w:r>
      <w:r>
        <w:rPr>
          <w:rFonts w:ascii="Times New Roman" w:hAnsi="Times New Roman"/>
          <w:sz w:val="20"/>
        </w:rPr>
        <w:t xml:space="preserve">. No Limited Partner shall have any right to withdraw from the Partnership;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when a transferee of a Limited Partner’s Limited Partner Interest becomes a Record Holder of the Limited Partner Interest so transferred, such transferring Limited Partner shall cease to be a Limited Partner with respect to the Limited Partner Interest so transferred. For the avoidance of doubt, Section 152.601 of the Texas Limited Partnership Law shall not apply to any such cessation.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0" w:after="0"/>
        <w:jc w:val="center"/>
        <w:rPr>
          <w:rFonts w:ascii="Times New Roman" w:hAnsi="Times New Roman"/>
          <w:b/>
          <w:sz w:val="20"/>
        </w:rPr>
      </w:pPr>
      <w:r>
        <w:rPr>
          <w:rFonts w:ascii="Times New Roman" w:hAnsi="Times New Roman"/>
          <w:b/>
          <w:sz w:val="20"/>
        </w:rPr>
        <w:t xml:space="preserve">DISSOLUTION AND LIQUIDATION </w:t>
      </w:r>
    </w:p>
    <w:p>
      <w:pPr>
        <w:pStyle w:val="TextBody"/>
        <w:bidi w:val="0"/>
        <w:spacing w:before="240" w:after="0"/>
        <w:jc w:val="left"/>
        <w:rPr>
          <w:rFonts w:ascii="Times New Roman" w:hAnsi="Times New Roman"/>
          <w:sz w:val="20"/>
        </w:rPr>
      </w:pPr>
      <w:r>
        <w:rPr>
          <w:rFonts w:ascii="Times New Roman" w:hAnsi="Times New Roman"/>
          <w:sz w:val="20"/>
        </w:rPr>
        <w:t xml:space="preserve">Section 12.1 </w:t>
      </w:r>
      <w:r>
        <w:rPr>
          <w:rFonts w:ascii="Times New Roman" w:hAnsi="Times New Roman"/>
          <w:sz w:val="20"/>
          <w:u w:val="single"/>
        </w:rPr>
        <w:t>Dissolution</w:t>
      </w:r>
      <w:r>
        <w:rPr>
          <w:rFonts w:ascii="Times New Roman" w:hAnsi="Times New Roman"/>
          <w:sz w:val="20"/>
        </w:rPr>
        <w:t xml:space="preserve">. The Partnership shall not be dissolved by the admission of Additional Limited Partners or by the admission of a successor General Partner in accordance with the terms of this Agreement. Upon the removal or withdrawal of the General Partner, if a successor General Partner is elected pursuant to </w:t>
      </w:r>
      <w:r>
        <w:rPr>
          <w:rFonts w:ascii="Times New Roman" w:hAnsi="Times New Roman"/>
          <w:sz w:val="20"/>
          <w:u w:val="single"/>
        </w:rPr>
        <w:t>Sections 11.1</w:t>
      </w:r>
      <w:r>
        <w:rPr>
          <w:rFonts w:ascii="Times New Roman" w:hAnsi="Times New Roman"/>
          <w:sz w:val="20"/>
        </w:rPr>
        <w:t xml:space="preserve"> or </w:t>
      </w:r>
      <w:r>
        <w:rPr>
          <w:rFonts w:ascii="Times New Roman" w:hAnsi="Times New Roman"/>
          <w:sz w:val="20"/>
          <w:u w:val="single"/>
        </w:rPr>
        <w:t>11.2</w:t>
      </w:r>
      <w:r>
        <w:rPr>
          <w:rFonts w:ascii="Times New Roman" w:hAnsi="Times New Roman"/>
          <w:sz w:val="20"/>
        </w:rPr>
        <w:t xml:space="preserve">, the Partnership shall not be dissolved and such successor General Partner shall continue the business of the Partnership. The Partnership shall dissolve, and (subject to </w:t>
      </w:r>
      <w:r>
        <w:rPr>
          <w:rFonts w:ascii="Times New Roman" w:hAnsi="Times New Roman"/>
          <w:sz w:val="20"/>
          <w:u w:val="single"/>
        </w:rPr>
        <w:t>Section 12.2</w:t>
      </w:r>
      <w:r>
        <w:rPr>
          <w:rFonts w:ascii="Times New Roman" w:hAnsi="Times New Roman"/>
          <w:sz w:val="20"/>
        </w:rPr>
        <w:t xml:space="preserve">) its affairs shall be wound up, upon: </w:t>
      </w:r>
    </w:p>
    <w:p>
      <w:pPr>
        <w:pStyle w:val="TextBody"/>
        <w:bidi w:val="0"/>
        <w:spacing w:before="120" w:after="0"/>
        <w:jc w:val="left"/>
        <w:rPr>
          <w:rFonts w:ascii="Times New Roman" w:hAnsi="Times New Roman"/>
          <w:sz w:val="20"/>
        </w:rPr>
      </w:pPr>
      <w:r>
        <w:rPr>
          <w:rFonts w:ascii="Times New Roman" w:hAnsi="Times New Roman"/>
          <w:sz w:val="20"/>
        </w:rPr>
        <w:t xml:space="preserve">(a) an Event of Withdrawal of the General Partner as provided in </w:t>
      </w:r>
      <w:r>
        <w:rPr>
          <w:rFonts w:ascii="Times New Roman" w:hAnsi="Times New Roman"/>
          <w:sz w:val="20"/>
          <w:u w:val="single"/>
        </w:rPr>
        <w:t>Section 11.1(a)</w:t>
      </w:r>
      <w:r>
        <w:rPr>
          <w:rFonts w:ascii="Times New Roman" w:hAnsi="Times New Roman"/>
          <w:sz w:val="20"/>
        </w:rPr>
        <w:t xml:space="preserve"> (other than </w:t>
      </w:r>
      <w:r>
        <w:rPr>
          <w:rFonts w:ascii="Times New Roman" w:hAnsi="Times New Roman"/>
          <w:sz w:val="20"/>
          <w:u w:val="single"/>
        </w:rPr>
        <w:t>Section 11.1(a)(ii)</w:t>
      </w:r>
      <w:r>
        <w:rPr>
          <w:rFonts w:ascii="Times New Roman" w:hAnsi="Times New Roman"/>
          <w:sz w:val="20"/>
        </w:rPr>
        <w:t xml:space="preserve">), unless a successor is elected and an Opinion of Counsel is received as provided in </w:t>
      </w:r>
      <w:r>
        <w:rPr>
          <w:rFonts w:ascii="Times New Roman" w:hAnsi="Times New Roman"/>
          <w:sz w:val="20"/>
          <w:u w:val="single"/>
        </w:rPr>
        <w:t>Sections 11.1(b)</w:t>
      </w:r>
      <w:r>
        <w:rPr>
          <w:rFonts w:ascii="Times New Roman" w:hAnsi="Times New Roman"/>
          <w:sz w:val="20"/>
        </w:rPr>
        <w:t xml:space="preserve"> or </w:t>
      </w:r>
      <w:r>
        <w:rPr>
          <w:rFonts w:ascii="Times New Roman" w:hAnsi="Times New Roman"/>
          <w:sz w:val="20"/>
          <w:u w:val="single"/>
        </w:rPr>
        <w:t>11.2</w:t>
      </w:r>
      <w:r>
        <w:rPr>
          <w:rFonts w:ascii="Times New Roman" w:hAnsi="Times New Roman"/>
          <w:sz w:val="20"/>
        </w:rPr>
        <w:t xml:space="preserve"> and such successor is admitted to the Partnership pursuant to </w:t>
      </w:r>
      <w:r>
        <w:rPr>
          <w:rFonts w:ascii="Times New Roman" w:hAnsi="Times New Roman"/>
          <w:sz w:val="20"/>
          <w:u w:val="single"/>
        </w:rPr>
        <w:t>Section 10.2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an election to dissolve the Partnership by the General Partner that is approved by the holders of a Unit Majority; </w:t>
      </w:r>
    </w:p>
    <w:p>
      <w:pPr>
        <w:pStyle w:val="TextBody"/>
        <w:bidi w:val="0"/>
        <w:spacing w:before="240" w:after="0"/>
        <w:jc w:val="left"/>
        <w:rPr>
          <w:rFonts w:ascii="Times New Roman" w:hAnsi="Times New Roman"/>
          <w:sz w:val="20"/>
        </w:rPr>
      </w:pPr>
      <w:r>
        <w:rPr>
          <w:rFonts w:ascii="Times New Roman" w:hAnsi="Times New Roman"/>
          <w:sz w:val="20"/>
        </w:rPr>
        <w:t xml:space="preserve">(c) the entry of a decree of judicial dissolution of the Partnership pursuant to the provisions of the Texas Limited Partnership Law; or </w:t>
      </w:r>
    </w:p>
    <w:p>
      <w:pPr>
        <w:pStyle w:val="TextBody"/>
        <w:bidi w:val="0"/>
        <w:spacing w:before="240" w:after="0"/>
        <w:jc w:val="left"/>
        <w:rPr>
          <w:rFonts w:ascii="Times New Roman" w:hAnsi="Times New Roman"/>
          <w:sz w:val="20"/>
        </w:rPr>
      </w:pPr>
      <w:r>
        <w:rPr>
          <w:rFonts w:ascii="Times New Roman" w:hAnsi="Times New Roman"/>
          <w:sz w:val="20"/>
        </w:rPr>
        <w:t xml:space="preserve">(d) at any time there are no Limited Partners, unless the Partnership is continued without dissolution in accordance with the Texas Limited Partnership Law. </w:t>
      </w:r>
    </w:p>
    <w:p>
      <w:pPr>
        <w:pStyle w:val="TextBody"/>
        <w:bidi w:val="0"/>
        <w:spacing w:before="240" w:after="0"/>
        <w:jc w:val="left"/>
        <w:rPr>
          <w:rFonts w:ascii="Times New Roman" w:hAnsi="Times New Roman"/>
          <w:sz w:val="20"/>
        </w:rPr>
      </w:pPr>
      <w:r>
        <w:rPr>
          <w:rFonts w:ascii="Times New Roman" w:hAnsi="Times New Roman"/>
          <w:sz w:val="20"/>
        </w:rPr>
        <w:t xml:space="preserve">Section 12.2 </w:t>
      </w:r>
      <w:r>
        <w:rPr>
          <w:rFonts w:ascii="Times New Roman" w:hAnsi="Times New Roman"/>
          <w:sz w:val="20"/>
          <w:u w:val="single"/>
        </w:rPr>
        <w:t>Continuation of the Business of the Partnership After Dissolution</w:t>
      </w:r>
      <w:r>
        <w:rPr>
          <w:rFonts w:ascii="Times New Roman" w:hAnsi="Times New Roman"/>
          <w:sz w:val="20"/>
        </w:rPr>
        <w:t xml:space="preserve">. Upon (a) dissolution of the Partnership following an Event of Withdrawal caused by the withdrawal or removal of the General Partner as provided in </w:t>
      </w:r>
      <w:r>
        <w:rPr>
          <w:rFonts w:ascii="Times New Roman" w:hAnsi="Times New Roman"/>
          <w:sz w:val="20"/>
          <w:u w:val="single"/>
        </w:rPr>
        <w:t>Section 11.1(a)(i)</w:t>
      </w:r>
      <w:r>
        <w:rPr>
          <w:rFonts w:ascii="Times New Roman" w:hAnsi="Times New Roman"/>
          <w:sz w:val="20"/>
        </w:rPr>
        <w:t xml:space="preserve"> or (iii) and the failure of the Partners to select a successor to such Departing General Partner pursuant to </w:t>
      </w:r>
      <w:r>
        <w:rPr>
          <w:rFonts w:ascii="Times New Roman" w:hAnsi="Times New Roman"/>
          <w:sz w:val="20"/>
          <w:u w:val="single"/>
        </w:rPr>
        <w:t>Sections 11.1</w:t>
      </w:r>
      <w:r>
        <w:rPr>
          <w:rFonts w:ascii="Times New Roman" w:hAnsi="Times New Roman"/>
          <w:sz w:val="20"/>
        </w:rPr>
        <w:t xml:space="preserve"> or </w:t>
      </w:r>
      <w:r>
        <w:rPr>
          <w:rFonts w:ascii="Times New Roman" w:hAnsi="Times New Roman"/>
          <w:sz w:val="20"/>
          <w:u w:val="single"/>
        </w:rPr>
        <w:t>11.2</w:t>
      </w:r>
      <w:r>
        <w:rPr>
          <w:rFonts w:ascii="Times New Roman" w:hAnsi="Times New Roman"/>
          <w:sz w:val="20"/>
        </w:rPr>
        <w:t xml:space="preserve">, then within 90 days thereafter, or (b) dissolution of the Partnership upon an event constituting an Event of Withdrawal as defined in </w:t>
      </w:r>
      <w:r>
        <w:rPr>
          <w:rFonts w:ascii="Times New Roman" w:hAnsi="Times New Roman"/>
          <w:sz w:val="20"/>
          <w:u w:val="single"/>
        </w:rPr>
        <w:t>Section 11.1(a)(iv)</w:t>
      </w:r>
      <w:r>
        <w:rPr>
          <w:rFonts w:ascii="Times New Roman" w:hAnsi="Times New Roman"/>
          <w:sz w:val="20"/>
        </w:rPr>
        <w:t xml:space="preserve"> or (v), then, to the maximum extent permitted by law, within 180 days thereafter, the holders of a Unit Majority may elect to continue the business of the Partnership on the same terms and conditions set forth in this Agreement by appointing as a successor General Partner a Person approved by the holders of a majority of Outstanding Units. Unless such an election is made within the applicable time period as set forth above, the Partnership shall conduct only activities necessary to wind up its affairs. If such an election is so made, then: </w:t>
      </w:r>
    </w:p>
    <w:p>
      <w:pPr>
        <w:pStyle w:val="TextBody"/>
        <w:bidi w:val="0"/>
        <w:spacing w:before="120" w:after="0"/>
        <w:jc w:val="left"/>
        <w:rPr>
          <w:rFonts w:ascii="Times New Roman" w:hAnsi="Times New Roman"/>
          <w:sz w:val="20"/>
        </w:rPr>
      </w:pPr>
      <w:r>
        <w:rPr>
          <w:rFonts w:ascii="Times New Roman" w:hAnsi="Times New Roman"/>
          <w:sz w:val="20"/>
        </w:rPr>
        <w:t xml:space="preserve">(i) the Partnership shall continue without dissolution unless earlier dissolved in accordance with this </w:t>
      </w:r>
      <w:r>
        <w:rPr>
          <w:rFonts w:ascii="Times New Roman" w:hAnsi="Times New Roman"/>
          <w:sz w:val="20"/>
          <w:u w:val="single"/>
        </w:rPr>
        <w:t>Article XII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the successor General Partner is not the former General Partner, then the interest of the former General Partner shall be treated in the manner provided in </w:t>
      </w:r>
      <w:r>
        <w:rPr>
          <w:rFonts w:ascii="Times New Roman" w:hAnsi="Times New Roman"/>
          <w:sz w:val="20"/>
          <w:u w:val="single"/>
        </w:rPr>
        <w:t>Section 11.3</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(iii) the successor General Partner shall be admitted to the Partnership as General Partner, effective as of the Event of Withdrawal, by agreeing in writing to be bound by this Agreement;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the right of the holders of a majority of Outstanding Units to approve a successor General Partner and to reconstitute and to continue the business of the Partnership shall not exist and may not be exercised unless the Partnership has received an Opinion of Counsel that (x) the exercise of the right would not result in the loss of limited liability of any Limited Partner and (y) the Partnership would not be treated as an association taxable as a corporation or otherwise be taxable as an entity for federal income tax purposes upon the exercise of such right to continue (to the extent not already so treated or taxed). </w:t>
      </w:r>
    </w:p>
    <w:p>
      <w:pPr>
        <w:pStyle w:val="TextBody"/>
        <w:bidi w:val="0"/>
        <w:spacing w:before="240" w:after="0"/>
        <w:jc w:val="left"/>
        <w:rPr>
          <w:rFonts w:ascii="Times New Roman" w:hAnsi="Times New Roman"/>
          <w:sz w:val="20"/>
        </w:rPr>
      </w:pPr>
      <w:r>
        <w:rPr>
          <w:rFonts w:ascii="Times New Roman" w:hAnsi="Times New Roman"/>
          <w:sz w:val="20"/>
        </w:rPr>
        <w:t xml:space="preserve">Section 12.3 </w:t>
      </w:r>
      <w:r>
        <w:rPr>
          <w:rFonts w:ascii="Times New Roman" w:hAnsi="Times New Roman"/>
          <w:sz w:val="20"/>
          <w:u w:val="single"/>
        </w:rPr>
        <w:t>Liquidator</w:t>
      </w:r>
      <w:r>
        <w:rPr>
          <w:rFonts w:ascii="Times New Roman" w:hAnsi="Times New Roman"/>
          <w:sz w:val="20"/>
        </w:rPr>
        <w:t xml:space="preserve">. Upon dissolution of the Partnership, unless the Partnership is continued pursuant to </w:t>
      </w:r>
      <w:r>
        <w:rPr>
          <w:rFonts w:ascii="Times New Roman" w:hAnsi="Times New Roman"/>
          <w:sz w:val="20"/>
          <w:u w:val="single"/>
        </w:rPr>
        <w:t>Section 12.2</w:t>
      </w:r>
      <w:r>
        <w:rPr>
          <w:rFonts w:ascii="Times New Roman" w:hAnsi="Times New Roman"/>
          <w:sz w:val="20"/>
        </w:rPr>
        <w:t xml:space="preserve">, the General Partner shall select one or more Persons to act as Liquidator. The Liquidator (if other than the General Partner) shall be entitled to receive such compensation for its services as may be approved by holders of at least a majority of the Outstanding Common Units voting as a single class. The Liquidator (if other than the General Partner) shall agree not to resign at any time without 15 days’ prior notice and may be removed at any time, with or without cause, by notice of removal approved by holders of at least a majority of the Outstanding Common Units voting as a single class. Upon dissolution, removal or resignation of the Liquidator, a successor and substitute Liquidator (who shall have and succeed to all rights, powers and duties of the original Liquidator) shall within 30 days thereafter be approved by holders of at least a majority of the Outstanding Common Units voting as a single class. The right to approve a successor or substitute Liquidator in the manner provided herein shall be deemed to refer also to any such successor or substitute Liquidator approved in the manner herein provided. Except as expressly provided in this </w:t>
      </w:r>
      <w:r>
        <w:rPr>
          <w:rFonts w:ascii="Times New Roman" w:hAnsi="Times New Roman"/>
          <w:sz w:val="20"/>
          <w:u w:val="single"/>
        </w:rPr>
        <w:t>Article XII</w:t>
      </w:r>
      <w:r>
        <w:rPr>
          <w:rFonts w:ascii="Times New Roman" w:hAnsi="Times New Roman"/>
          <w:sz w:val="20"/>
        </w:rPr>
        <w:t xml:space="preserve">, the Liquidator approved in the manner provided herein shall have and may exercise, without further authorization or consent of any of the parties hereto, all of the powers conferred upon the General Partner under the terms of this Agreement (but subject to all of the applicable limitations, contractual and otherwise, upon the exercise of such powers, other than the limitation on sale set forth in </w:t>
      </w:r>
      <w:r>
        <w:rPr>
          <w:rFonts w:ascii="Times New Roman" w:hAnsi="Times New Roman"/>
          <w:sz w:val="20"/>
          <w:u w:val="single"/>
        </w:rPr>
        <w:t>Section 7.3</w:t>
      </w:r>
      <w:r>
        <w:rPr>
          <w:rFonts w:ascii="Times New Roman" w:hAnsi="Times New Roman"/>
          <w:sz w:val="20"/>
        </w:rPr>
        <w:t xml:space="preserve">) necessary or appropriate to carry out the duties and functions of the Liquidator hereunder for and during the period of time required to complete the winding up and liquidation of the Partnership as provided for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12.4 </w:t>
      </w:r>
      <w:r>
        <w:rPr>
          <w:rFonts w:ascii="Times New Roman" w:hAnsi="Times New Roman"/>
          <w:sz w:val="20"/>
          <w:u w:val="single"/>
        </w:rPr>
        <w:t>Liquidation</w:t>
      </w:r>
      <w:r>
        <w:rPr>
          <w:rFonts w:ascii="Times New Roman" w:hAnsi="Times New Roman"/>
          <w:sz w:val="20"/>
        </w:rPr>
        <w:t xml:space="preserve">. The Liquidator shall proceed to dispose of the assets of the Partnership, discharge its liabilities, and otherwise wind up its affairs in such manner and over such period as the Liquidator determines to be in the best interest of the Partners, subject to Sections 11.053 and 153.210 of the Texas Limited Partnership Law and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Disposition of Assets</w:t>
      </w:r>
      <w:r>
        <w:rPr>
          <w:rFonts w:ascii="Times New Roman" w:hAnsi="Times New Roman"/>
          <w:sz w:val="20"/>
        </w:rPr>
        <w:t xml:space="preserve">. The assets may be disposed of by public or private sale or by distribution in kind to one or more Partners on such terms as the Liquidator and such Partner or Partners may agree. If any property is distributed in kind, the Partner receiving the property shall be deemed for purposes of </w:t>
      </w:r>
      <w:r>
        <w:rPr>
          <w:rFonts w:ascii="Times New Roman" w:hAnsi="Times New Roman"/>
          <w:sz w:val="20"/>
          <w:u w:val="single"/>
        </w:rPr>
        <w:t>Section 12.4(c)</w:t>
      </w:r>
      <w:r>
        <w:rPr>
          <w:rFonts w:ascii="Times New Roman" w:hAnsi="Times New Roman"/>
          <w:sz w:val="20"/>
        </w:rPr>
        <w:t xml:space="preserve"> to have received cash equal to its fair market value; and contemporaneously therewith, appropriate cash distributions must be made to the other Partners. The Liquidator may defer liquidation or distribution of the Partnership’s assets for a reasonable time if it determines that an immediate sale or distribution of all or some of the Partnership’s assets would be impractical or would cause undue loss to the Partners. The Liquidator may distribute the Partnership’s assets, in whole or in part, in kind if it determines that a sale would be impractical or would cause undue loss to the Partners.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Discharge of Liabilities</w:t>
      </w:r>
      <w:r>
        <w:rPr>
          <w:rFonts w:ascii="Times New Roman" w:hAnsi="Times New Roman"/>
          <w:sz w:val="20"/>
        </w:rPr>
        <w:t xml:space="preserve">. Liabilities of the Partnership include amounts owed to the Liquidator as compensation for serving in such capacity (subject to the terms of </w:t>
      </w:r>
      <w:r>
        <w:rPr>
          <w:rFonts w:ascii="Times New Roman" w:hAnsi="Times New Roman"/>
          <w:sz w:val="20"/>
          <w:u w:val="single"/>
        </w:rPr>
        <w:t>Section 12.3</w:t>
      </w:r>
      <w:r>
        <w:rPr>
          <w:rFonts w:ascii="Times New Roman" w:hAnsi="Times New Roman"/>
          <w:sz w:val="20"/>
        </w:rPr>
        <w:t xml:space="preserve">) and amounts to Partners otherwise than in respect of their distribution rights under </w:t>
      </w:r>
      <w:r>
        <w:rPr>
          <w:rFonts w:ascii="Times New Roman" w:hAnsi="Times New Roman"/>
          <w:sz w:val="20"/>
          <w:u w:val="single"/>
        </w:rPr>
        <w:t>Article VI</w:t>
      </w:r>
      <w:r>
        <w:rPr>
          <w:rFonts w:ascii="Times New Roman" w:hAnsi="Times New Roman"/>
          <w:sz w:val="20"/>
        </w:rPr>
        <w:t xml:space="preserve">. With respect to any liability that is contingent, conditional or unmatured or is otherwise not yet due and payable, the Liquidator shall either settle such claim for such amount as it thinks appropriate or establish a reserve of cash or other assets to provide for its payment. When paid, any unused portion of the reserve shall be distributed as additional liquidation proceeds.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Liquidation Distributions</w:t>
      </w:r>
      <w:r>
        <w:rPr>
          <w:rFonts w:ascii="Times New Roman" w:hAnsi="Times New Roman"/>
          <w:sz w:val="20"/>
        </w:rPr>
        <w:t xml:space="preserve">. All property and all cash in excess of that required to discharge liabilities as provided in </w:t>
      </w:r>
      <w:r>
        <w:rPr>
          <w:rFonts w:ascii="Times New Roman" w:hAnsi="Times New Roman"/>
          <w:sz w:val="20"/>
          <w:u w:val="single"/>
        </w:rPr>
        <w:t>Section 12.4(b)</w:t>
      </w:r>
      <w:r>
        <w:rPr>
          <w:rFonts w:ascii="Times New Roman" w:hAnsi="Times New Roman"/>
          <w:sz w:val="20"/>
        </w:rPr>
        <w:t xml:space="preserve"> and that required to satisfy the Series B Liquidation Preference provided for under </w:t>
      </w:r>
      <w:r>
        <w:rPr>
          <w:rFonts w:ascii="Times New Roman" w:hAnsi="Times New Roman"/>
          <w:sz w:val="20"/>
          <w:u w:val="single"/>
        </w:rPr>
        <w:t>Section 5.11(b)(v)</w:t>
      </w:r>
      <w:r>
        <w:rPr>
          <w:rFonts w:ascii="Times New Roman" w:hAnsi="Times New Roman"/>
          <w:sz w:val="20"/>
        </w:rPr>
        <w:t xml:space="preserve">, the Series G Liquidation Preference provided for under </w:t>
      </w:r>
      <w:r>
        <w:rPr>
          <w:rFonts w:ascii="Times New Roman" w:hAnsi="Times New Roman"/>
          <w:sz w:val="20"/>
          <w:u w:val="single"/>
        </w:rPr>
        <w:t>Section 5.12(b)(v)</w:t>
      </w:r>
      <w:r>
        <w:rPr>
          <w:rFonts w:ascii="Times New Roman" w:hAnsi="Times New Roman"/>
          <w:sz w:val="20"/>
        </w:rPr>
        <w:t xml:space="preserve">, the Series H Liquidation Preference provided for under </w:t>
      </w:r>
      <w:r>
        <w:rPr>
          <w:rFonts w:ascii="Times New Roman" w:hAnsi="Times New Roman"/>
          <w:sz w:val="20"/>
          <w:u w:val="single"/>
        </w:rPr>
        <w:t>Section 5.14(b)(v)</w:t>
      </w:r>
      <w:r>
        <w:rPr>
          <w:rFonts w:ascii="Times New Roman" w:hAnsi="Times New Roman"/>
          <w:sz w:val="20"/>
        </w:rPr>
        <w:t xml:space="preserve"> and the Series I Liquidation Preference provided for under </w:t>
      </w:r>
      <w:r>
        <w:rPr>
          <w:rFonts w:ascii="Times New Roman" w:hAnsi="Times New Roman"/>
          <w:sz w:val="20"/>
          <w:u w:val="single"/>
        </w:rPr>
        <w:t>Section 5.15(g)</w:t>
      </w:r>
      <w:r>
        <w:rPr>
          <w:rFonts w:ascii="Times New Roman" w:hAnsi="Times New Roman"/>
          <w:sz w:val="20"/>
        </w:rPr>
        <w:t xml:space="preserve"> shall be distributed to the Partners in accordance with, and to the extent of, the positive balances in their respective Capital Accounts, as determined after taking into account all Capital Account adjustments (other than those made by reason of distributions pursuant to this </w:t>
      </w:r>
      <w:r>
        <w:rPr>
          <w:rFonts w:ascii="Times New Roman" w:hAnsi="Times New Roman"/>
          <w:sz w:val="20"/>
          <w:u w:val="single"/>
        </w:rPr>
        <w:t>Section 12.4(c)</w:t>
      </w:r>
      <w:r>
        <w:rPr>
          <w:rFonts w:ascii="Times New Roman" w:hAnsi="Times New Roman"/>
          <w:sz w:val="20"/>
        </w:rPr>
        <w:t xml:space="preserve">) for the taxable year of the Partnership during which the liquidation of the Partnership occurs (with such date of occurrence being determined pursuant to Treasury Regulation Section 1.704-1(b)(2)(ii)(g)), and such distribution shall be made by the end of such taxable year (or, if later, within 90 calendar days after said date of such occurrence). </w:t>
      </w:r>
    </w:p>
    <w:p>
      <w:pPr>
        <w:pStyle w:val="TextBody"/>
        <w:bidi w:val="0"/>
        <w:spacing w:before="240" w:after="0"/>
        <w:jc w:val="left"/>
        <w:rPr>
          <w:rFonts w:ascii="Times New Roman" w:hAnsi="Times New Roman"/>
          <w:sz w:val="20"/>
        </w:rPr>
      </w:pPr>
      <w:r>
        <w:rPr>
          <w:rFonts w:ascii="Times New Roman" w:hAnsi="Times New Roman"/>
          <w:sz w:val="20"/>
        </w:rPr>
        <w:t xml:space="preserve">Section 12.5 </w:t>
      </w:r>
      <w:r>
        <w:rPr>
          <w:rFonts w:ascii="Times New Roman" w:hAnsi="Times New Roman"/>
          <w:sz w:val="20"/>
          <w:u w:val="single"/>
        </w:rPr>
        <w:t>Termination</w:t>
      </w:r>
      <w:r>
        <w:rPr>
          <w:rFonts w:ascii="Times New Roman" w:hAnsi="Times New Roman"/>
          <w:sz w:val="20"/>
        </w:rPr>
        <w:t xml:space="preserve">. Upon the completion of the distribution of Partnership cash and property as provided in </w:t>
      </w:r>
      <w:r>
        <w:rPr>
          <w:rFonts w:ascii="Times New Roman" w:hAnsi="Times New Roman"/>
          <w:sz w:val="20"/>
          <w:u w:val="single"/>
        </w:rPr>
        <w:t>Section 12.4</w:t>
      </w:r>
      <w:r>
        <w:rPr>
          <w:rFonts w:ascii="Times New Roman" w:hAnsi="Times New Roman"/>
          <w:sz w:val="20"/>
        </w:rPr>
        <w:t xml:space="preserve"> in connection with the liquidation of the Partnership, the Partnership shall file a certificate of termination as provided in the Texas Limited Partnership Law, all qualifications of the Partnership as a foreign limited partnership in jurisdictions other than the State of Texas shall be canceled and such other actions as may be necessary to terminate the Partnership shall be taken. </w:t>
      </w:r>
    </w:p>
    <w:p>
      <w:pPr>
        <w:pStyle w:val="TextBody"/>
        <w:bidi w:val="0"/>
        <w:spacing w:before="240" w:after="0"/>
        <w:jc w:val="left"/>
        <w:rPr>
          <w:rFonts w:ascii="Times New Roman" w:hAnsi="Times New Roman"/>
          <w:sz w:val="20"/>
        </w:rPr>
      </w:pPr>
      <w:r>
        <w:rPr>
          <w:rFonts w:ascii="Times New Roman" w:hAnsi="Times New Roman"/>
          <w:sz w:val="20"/>
        </w:rPr>
        <w:t xml:space="preserve">Section 12.6 </w:t>
      </w:r>
      <w:r>
        <w:rPr>
          <w:rFonts w:ascii="Times New Roman" w:hAnsi="Times New Roman"/>
          <w:sz w:val="20"/>
          <w:u w:val="single"/>
        </w:rPr>
        <w:t>Return of Contributions</w:t>
      </w:r>
      <w:r>
        <w:rPr>
          <w:rFonts w:ascii="Times New Roman" w:hAnsi="Times New Roman"/>
          <w:sz w:val="20"/>
        </w:rPr>
        <w:t xml:space="preserve">. The General Partner shall not be personally liable for, and shall have no obligation to contribute or loan any monies or property to the Partnership to enable it to effectuate, the return of the Capital Contributions of the Limited Partners or Unitholders, or any portion thereof, it being expressly understood that any such return shall be made solely from Partnership assets. </w:t>
      </w:r>
    </w:p>
    <w:p>
      <w:pPr>
        <w:pStyle w:val="TextBody"/>
        <w:bidi w:val="0"/>
        <w:spacing w:before="240" w:after="0"/>
        <w:jc w:val="left"/>
        <w:rPr>
          <w:rFonts w:ascii="Times New Roman" w:hAnsi="Times New Roman"/>
          <w:sz w:val="20"/>
        </w:rPr>
      </w:pPr>
      <w:r>
        <w:rPr>
          <w:rFonts w:ascii="Times New Roman" w:hAnsi="Times New Roman"/>
          <w:sz w:val="20"/>
        </w:rPr>
        <w:t xml:space="preserve">Section 12.7 </w:t>
      </w:r>
      <w:r>
        <w:rPr>
          <w:rFonts w:ascii="Times New Roman" w:hAnsi="Times New Roman"/>
          <w:sz w:val="20"/>
          <w:u w:val="single"/>
        </w:rPr>
        <w:t>Waiver of Partition</w:t>
      </w:r>
      <w:r>
        <w:rPr>
          <w:rFonts w:ascii="Times New Roman" w:hAnsi="Times New Roman"/>
          <w:sz w:val="20"/>
        </w:rPr>
        <w:t xml:space="preserve">. To the maximum extent permitted by law, each Partner hereby waives any right to partition of the Partnership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12.8 </w:t>
      </w:r>
      <w:r>
        <w:rPr>
          <w:rFonts w:ascii="Times New Roman" w:hAnsi="Times New Roman"/>
          <w:sz w:val="20"/>
          <w:u w:val="single"/>
        </w:rPr>
        <w:t>Capital Account Restoration</w:t>
      </w:r>
      <w:r>
        <w:rPr>
          <w:rFonts w:ascii="Times New Roman" w:hAnsi="Times New Roman"/>
          <w:sz w:val="20"/>
        </w:rPr>
        <w:t xml:space="preserve">. No Partner shall have any obligation to restore any negative balance in its Capital Account upon liquidation of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Section 12.9 </w:t>
      </w:r>
      <w:r>
        <w:rPr>
          <w:rFonts w:ascii="Times New Roman" w:hAnsi="Times New Roman"/>
          <w:sz w:val="20"/>
          <w:u w:val="single"/>
        </w:rPr>
        <w:t>Certain Prohibited Acts</w:t>
      </w:r>
      <w:r>
        <w:rPr>
          <w:rFonts w:ascii="Times New Roman" w:hAnsi="Times New Roman"/>
          <w:sz w:val="20"/>
        </w:rPr>
        <w:t xml:space="preserve">. Without obtaining Special Approval, the General Partner shall not take any action to cause the Partnership to (i) make or consent to a general assignment for the benefit of the Partnership’s creditors; (ii) file or consent to the filing of any bankruptcy, insolvency or reorganization petition for relief under the United States Bankruptcy Code naming the Partnership or otherwise seek, with respect to the Partnership, relief from debts or protection from creditors generally; (iii) file or consent to the filing of a petition or answer seeking for the Partnership a liquidation, dissolution, arrangement, or similar relief under any law; (iv) file an answer or other pleading admitting or failing to contest the material allegations of a petition filed against the Partnership in a proceeding of the type described in clauses (i) - (iii) of this </w:t>
      </w:r>
      <w:r>
        <w:rPr>
          <w:rFonts w:ascii="Times New Roman" w:hAnsi="Times New Roman"/>
          <w:sz w:val="20"/>
          <w:u w:val="single"/>
        </w:rPr>
        <w:t>Section 12.9</w:t>
      </w:r>
      <w:r>
        <w:rPr>
          <w:rFonts w:ascii="Times New Roman" w:hAnsi="Times New Roman"/>
          <w:sz w:val="20"/>
        </w:rPr>
        <w:t xml:space="preserve">; (v) seek, consent to or acquiesce in the appointment of a receiver, liquidator, conservator, assignee, trustee, sequestrator, custodian or any similar official for the Partnership or for all or any substantial portion of its properties; (vi) sell all or substantially all of its assets, except in accordance with </w:t>
      </w:r>
      <w:r>
        <w:rPr>
          <w:rFonts w:ascii="Times New Roman" w:hAnsi="Times New Roman"/>
          <w:sz w:val="20"/>
          <w:u w:val="single"/>
        </w:rPr>
        <w:t>Section 7.3</w:t>
      </w:r>
      <w:r>
        <w:rPr>
          <w:rFonts w:ascii="Times New Roman" w:hAnsi="Times New Roman"/>
          <w:sz w:val="20"/>
        </w:rPr>
        <w:t xml:space="preserve">; (vii) dissolve or liquidate, except in accordance with </w:t>
      </w:r>
      <w:r>
        <w:rPr>
          <w:rFonts w:ascii="Times New Roman" w:hAnsi="Times New Roman"/>
          <w:sz w:val="20"/>
          <w:u w:val="single"/>
        </w:rPr>
        <w:t>Article XII</w:t>
      </w:r>
      <w:r>
        <w:rPr>
          <w:rFonts w:ascii="Times New Roman" w:hAnsi="Times New Roman"/>
          <w:sz w:val="20"/>
        </w:rPr>
        <w:t xml:space="preserve">; or (viii) merge or consolidate, except in accordance with </w:t>
      </w:r>
      <w:r>
        <w:rPr>
          <w:rFonts w:ascii="Times New Roman" w:hAnsi="Times New Roman"/>
          <w:sz w:val="20"/>
          <w:u w:val="single"/>
        </w:rPr>
        <w:t>Article XIV</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XIII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 OF PARTNERSHIP AGREEMENT; MEETINGS; RECORD DATE </w:t>
      </w:r>
    </w:p>
    <w:p>
      <w:pPr>
        <w:pStyle w:val="TextBody"/>
        <w:bidi w:val="0"/>
        <w:spacing w:before="240" w:after="0"/>
        <w:jc w:val="left"/>
        <w:rPr>
          <w:rFonts w:ascii="Times New Roman" w:hAnsi="Times New Roman"/>
          <w:sz w:val="20"/>
        </w:rPr>
      </w:pPr>
      <w:r>
        <w:rPr>
          <w:rFonts w:ascii="Times New Roman" w:hAnsi="Times New Roman"/>
          <w:sz w:val="20"/>
        </w:rPr>
        <w:t xml:space="preserve">Section 13.1 </w:t>
      </w:r>
      <w:r>
        <w:rPr>
          <w:rFonts w:ascii="Times New Roman" w:hAnsi="Times New Roman"/>
          <w:sz w:val="20"/>
          <w:u w:val="single"/>
        </w:rPr>
        <w:t>Amendments to be Adopted Solely by the General Partner</w:t>
      </w:r>
      <w:r>
        <w:rPr>
          <w:rFonts w:ascii="Times New Roman" w:hAnsi="Times New Roman"/>
          <w:sz w:val="20"/>
        </w:rPr>
        <w:t xml:space="preserve">. Each Limited Partner agrees that the General Partner, without the approval of any Partner, may amend any provision of this Agreement and execute, swear to, acknowledge, deliver, file and record whatever documents may be required in connection therewith, to reflect: </w:t>
      </w:r>
    </w:p>
    <w:p>
      <w:pPr>
        <w:pStyle w:val="TextBody"/>
        <w:bidi w:val="0"/>
        <w:spacing w:before="120" w:after="0"/>
        <w:jc w:val="left"/>
        <w:rPr>
          <w:rFonts w:ascii="Times New Roman" w:hAnsi="Times New Roman"/>
          <w:sz w:val="20"/>
        </w:rPr>
      </w:pPr>
      <w:r>
        <w:rPr>
          <w:rFonts w:ascii="Times New Roman" w:hAnsi="Times New Roman"/>
          <w:sz w:val="20"/>
        </w:rPr>
        <w:t xml:space="preserve">(a) a change in the name of the Partnership, the location of the principal place of business of the Partnership, the registered agent of the Partnership or the registered office of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(b) the admission, substitution, withdrawal or removal of Partners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a change that the General Partner determines to be necessary or appropriate to qualify or continue the qualification of the Partnership as a limited partnership or a partnership in which the Limited Partners have limited liability under the laws of any state or to ensure that the Group Members will not be treated as associations taxable as corporations or otherwise taxed as entities for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(d) a change that the General Partner determines (i) does not adversely affect the Limited Partners (including any particular class of Partnership Interests as compared to other classes of Partnership Interests) in any material respect, (ii) to be necessary or appropriate to (A) satisfy any requirements, conditions or guidelines contained in any opinion, directive, order, ruling or regulation of any federal or state agency or judicial authority or contained in any federal or state statute (including the Texas Limited Partnership Law) or (B) facilitate the trading of the Limited Partner Interests (including the division of any class or classes of Outstanding Limited Partner Interests into different classes to facilitate uniformity of tax consequences within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classes of Limited Partner Interests) or comply with any rule, regulation, guideline or requirement of any National Securities Exchange on which the Limited Partner Interests are or will be listed, (iii) to be necessary or appropriate in connection with action taken by the General Partner pursuant to </w:t>
      </w:r>
      <w:r>
        <w:rPr>
          <w:rFonts w:ascii="Times New Roman" w:hAnsi="Times New Roman"/>
          <w:sz w:val="20"/>
          <w:u w:val="single"/>
        </w:rPr>
        <w:t>Section 5.8</w:t>
      </w:r>
      <w:r>
        <w:rPr>
          <w:rFonts w:ascii="Times New Roman" w:hAnsi="Times New Roman"/>
          <w:sz w:val="20"/>
        </w:rPr>
        <w:t xml:space="preserve"> or (iv) to be required to effect the intent expressed in the Registration Statement or the intent of the provisions of this Agreement or is otherwise contemplated by this Agreement; </w:t>
      </w:r>
    </w:p>
    <w:p>
      <w:pPr>
        <w:pStyle w:val="TextBody"/>
        <w:bidi w:val="0"/>
        <w:spacing w:before="240" w:after="0"/>
        <w:jc w:val="left"/>
        <w:rPr>
          <w:rFonts w:ascii="Times New Roman" w:hAnsi="Times New Roman"/>
          <w:sz w:val="20"/>
        </w:rPr>
      </w:pPr>
      <w:r>
        <w:rPr>
          <w:rFonts w:ascii="Times New Roman" w:hAnsi="Times New Roman"/>
          <w:sz w:val="20"/>
        </w:rPr>
        <w:t>(e) a change in the fiscal year or taxable year of the Partnership and any other changes that the General Partner determines to be necessary or appropriate as a result of a change in the fiscal year or taxable year of the Partnership including, if the General Partner shall so determine, a change in the definition of “</w:t>
      </w:r>
      <w:r>
        <w:rPr>
          <w:rFonts w:ascii="Times New Roman" w:hAnsi="Times New Roman"/>
          <w:i/>
          <w:sz w:val="20"/>
        </w:rPr>
        <w:t>Quarter</w:t>
      </w:r>
      <w:r>
        <w:rPr>
          <w:rFonts w:ascii="Times New Roman" w:hAnsi="Times New Roman"/>
          <w:sz w:val="20"/>
        </w:rPr>
        <w:t xml:space="preserve">” and the dates on which distributions (other than Series B Distributions, Series G Distributions, Series H Distributions and Series I Distributions) are to be made by the Partnership; </w:t>
      </w:r>
    </w:p>
    <w:p>
      <w:pPr>
        <w:pStyle w:val="TextBody"/>
        <w:bidi w:val="0"/>
        <w:spacing w:before="240" w:after="0"/>
        <w:jc w:val="left"/>
        <w:rPr>
          <w:rFonts w:ascii="Times New Roman" w:hAnsi="Times New Roman"/>
          <w:sz w:val="20"/>
        </w:rPr>
      </w:pPr>
      <w:r>
        <w:rPr>
          <w:rFonts w:ascii="Times New Roman" w:hAnsi="Times New Roman"/>
          <w:sz w:val="20"/>
        </w:rPr>
        <w:t>(f) an amendment that is necessary, in the Opinion of Counsel, to prevent the Partnership, or the General Partner or its directors, officers, trustees or agents from in any manner being subjected to the provisions of the Investment Company Act of 1940, as amended, the Investment Advisers Act of 1940, as amended, or “</w:t>
      </w:r>
      <w:r>
        <w:rPr>
          <w:rFonts w:ascii="Times New Roman" w:hAnsi="Times New Roman"/>
          <w:i/>
          <w:sz w:val="20"/>
        </w:rPr>
        <w:t>plan asset</w:t>
      </w:r>
      <w:r>
        <w:rPr>
          <w:rFonts w:ascii="Times New Roman" w:hAnsi="Times New Roman"/>
          <w:sz w:val="20"/>
        </w:rPr>
        <w:t xml:space="preserve">” regulations adopted under the Employee Retirement Income Security Act of 1974, as amended, regardless of whether such are substantially similar to plan asset regulations currently applied or proposed by the United States Department of Labor; </w:t>
      </w:r>
    </w:p>
    <w:p>
      <w:pPr>
        <w:pStyle w:val="TextBody"/>
        <w:bidi w:val="0"/>
        <w:spacing w:before="240" w:after="0"/>
        <w:jc w:val="left"/>
        <w:rPr>
          <w:rFonts w:ascii="Times New Roman" w:hAnsi="Times New Roman"/>
          <w:sz w:val="20"/>
        </w:rPr>
      </w:pPr>
      <w:r>
        <w:rPr>
          <w:rFonts w:ascii="Times New Roman" w:hAnsi="Times New Roman"/>
          <w:sz w:val="20"/>
        </w:rPr>
        <w:t xml:space="preserve">(g) an amendment that the General Partner determines to be necessary or appropriate in connection with the authorization of issuance of any class or series of Partnership Securities pursuant to </w:t>
      </w:r>
      <w:r>
        <w:rPr>
          <w:rFonts w:ascii="Times New Roman" w:hAnsi="Times New Roman"/>
          <w:sz w:val="20"/>
          <w:u w:val="single"/>
        </w:rPr>
        <w:t>Section 5.6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any amendment expressly permitted in this Agreement to be made by the General Partner acting alone; </w:t>
      </w:r>
    </w:p>
    <w:p>
      <w:pPr>
        <w:pStyle w:val="TextBody"/>
        <w:bidi w:val="0"/>
        <w:spacing w:before="240" w:after="0"/>
        <w:jc w:val="left"/>
        <w:rPr>
          <w:rFonts w:ascii="Times New Roman" w:hAnsi="Times New Roman"/>
          <w:sz w:val="20"/>
        </w:rPr>
      </w:pPr>
      <w:r>
        <w:rPr>
          <w:rFonts w:ascii="Times New Roman" w:hAnsi="Times New Roman"/>
          <w:sz w:val="20"/>
        </w:rPr>
        <w:t xml:space="preserve">(i) an amendment effected, necessitated or contemplated by a Merger Agreement approved in accordance with </w:t>
      </w:r>
      <w:r>
        <w:rPr>
          <w:rFonts w:ascii="Times New Roman" w:hAnsi="Times New Roman"/>
          <w:sz w:val="20"/>
          <w:u w:val="single"/>
        </w:rPr>
        <w:t>Section 14.3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an amendment that the General Partner determines to be necessary or appropriate to reflect and account for the formation by the Partnership of, or investment by the Partnership in, any corporation, partnership, joint venture, limited liability company or other entity, in connection with the conduct by the Partnership of activities permitted by the terms of </w:t>
      </w:r>
      <w:r>
        <w:rPr>
          <w:rFonts w:ascii="Times New Roman" w:hAnsi="Times New Roman"/>
          <w:sz w:val="20"/>
          <w:u w:val="single"/>
        </w:rPr>
        <w:t>Section 2.4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a merger or conveyance pursuant to </w:t>
      </w:r>
      <w:r>
        <w:rPr>
          <w:rFonts w:ascii="Times New Roman" w:hAnsi="Times New Roman"/>
          <w:sz w:val="20"/>
          <w:u w:val="single"/>
        </w:rPr>
        <w:t>Section 14.3(d)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 a change in the form of the Transfer Application or the Taxation Certification necessary or appropriate as determined by the General Partner to effectuate the purposes of </w:t>
      </w:r>
      <w:r>
        <w:rPr>
          <w:rFonts w:ascii="Times New Roman" w:hAnsi="Times New Roman"/>
          <w:sz w:val="20"/>
          <w:u w:val="single"/>
        </w:rPr>
        <w:t>Section 4.5</w:t>
      </w:r>
      <w:r>
        <w:rPr>
          <w:rFonts w:ascii="Times New Roman" w:hAnsi="Times New Roman"/>
          <w:sz w:val="20"/>
        </w:rPr>
        <w:t xml:space="preserve"> or </w:t>
      </w:r>
      <w:r>
        <w:rPr>
          <w:rFonts w:ascii="Times New Roman" w:hAnsi="Times New Roman"/>
          <w:sz w:val="20"/>
          <w:u w:val="single"/>
        </w:rPr>
        <w:t>Section 4.8</w:t>
      </w:r>
      <w:r>
        <w:rPr>
          <w:rFonts w:ascii="Times New Roman" w:hAnsi="Times New Roman"/>
          <w:sz w:val="20"/>
        </w:rPr>
        <w:t xml:space="preserve"> hereof; or </w:t>
      </w:r>
    </w:p>
    <w:p>
      <w:pPr>
        <w:pStyle w:val="TextBody"/>
        <w:bidi w:val="0"/>
        <w:spacing w:before="240" w:after="0"/>
        <w:jc w:val="left"/>
        <w:rPr>
          <w:rFonts w:ascii="Times New Roman" w:hAnsi="Times New Roman"/>
          <w:sz w:val="20"/>
        </w:rPr>
      </w:pPr>
      <w:r>
        <w:rPr>
          <w:rFonts w:ascii="Times New Roman" w:hAnsi="Times New Roman"/>
          <w:sz w:val="20"/>
        </w:rPr>
        <w:t xml:space="preserve">(m) any other amendments substantially similar to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13.2 </w:t>
      </w:r>
      <w:r>
        <w:rPr>
          <w:rFonts w:ascii="Times New Roman" w:hAnsi="Times New Roman"/>
          <w:sz w:val="20"/>
          <w:u w:val="single"/>
        </w:rPr>
        <w:t>Amendment Procedures</w:t>
      </w:r>
      <w:r>
        <w:rPr>
          <w:rFonts w:ascii="Times New Roman" w:hAnsi="Times New Roman"/>
          <w:sz w:val="20"/>
        </w:rPr>
        <w:t xml:space="preserve">. Except as provided in </w:t>
      </w:r>
      <w:r>
        <w:rPr>
          <w:rFonts w:ascii="Times New Roman" w:hAnsi="Times New Roman"/>
          <w:sz w:val="20"/>
          <w:u w:val="single"/>
        </w:rPr>
        <w:t>Sections 13.1</w:t>
      </w:r>
      <w:r>
        <w:rPr>
          <w:rFonts w:ascii="Times New Roman" w:hAnsi="Times New Roman"/>
          <w:sz w:val="20"/>
        </w:rPr>
        <w:t xml:space="preserve"> and </w:t>
      </w:r>
      <w:r>
        <w:rPr>
          <w:rFonts w:ascii="Times New Roman" w:hAnsi="Times New Roman"/>
          <w:sz w:val="20"/>
          <w:u w:val="single"/>
        </w:rPr>
        <w:t>13.3</w:t>
      </w:r>
      <w:r>
        <w:rPr>
          <w:rFonts w:ascii="Times New Roman" w:hAnsi="Times New Roman"/>
          <w:sz w:val="20"/>
        </w:rPr>
        <w:t xml:space="preserve">, all amendments to this Agreement shall be made in accordance with the following requirements. Amendments to this Agreement may be proposed only by the General Partner;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General Partner shall have no duty or obligation to propose any amendment to this Agreement and may decline to do so free of any fiduciary duty or obligation whatsoever to the Partnership or any Limited Partner and, in declining to propose an amendment to the maximum extent permitted by law, shall not be required to act in good faith or pursuant to any other standard imposed by this Agreement, any other agreement contemplated hereby or under the Texas Limited Partnership Law or any other law, rule or regulation or at equity. A proposed amendment shall be effective upon its approval by the General Partner and the holders of a Unit Majority, unless a greater or different percentage is required under this Agreement or by Texas law. Each proposed amendment that requires the approval of the holders of a specified percentage of Outstanding Units shall be set forth in a writing that contains the text of the proposed amendment. If such an amendment is proposed, the General Partner shall seek the written approval of the requisite percentage of Outstanding Units or call a meeting of the Unitholders to consider and vote on such proposed amendment. The General Partner shall notify all Record Holders upon final adoption of any such proposed amendments. Notwithstanding the provisions of </w:t>
      </w:r>
      <w:r>
        <w:rPr>
          <w:rFonts w:ascii="Times New Roman" w:hAnsi="Times New Roman"/>
          <w:sz w:val="20"/>
          <w:u w:val="single"/>
        </w:rPr>
        <w:t>Sections 13.1</w:t>
      </w:r>
      <w:r>
        <w:rPr>
          <w:rFonts w:ascii="Times New Roman" w:hAnsi="Times New Roman"/>
          <w:sz w:val="20"/>
        </w:rPr>
        <w:t xml:space="preserve"> and </w:t>
      </w:r>
      <w:r>
        <w:rPr>
          <w:rFonts w:ascii="Times New Roman" w:hAnsi="Times New Roman"/>
          <w:sz w:val="20"/>
          <w:u w:val="single"/>
        </w:rPr>
        <w:t>13.2</w:t>
      </w:r>
      <w:r>
        <w:rPr>
          <w:rFonts w:ascii="Times New Roman" w:hAnsi="Times New Roman"/>
          <w:sz w:val="20"/>
        </w:rPr>
        <w:t>, no amendment of (i) the definitions of “</w:t>
      </w:r>
      <w:r>
        <w:rPr>
          <w:rFonts w:ascii="Times New Roman" w:hAnsi="Times New Roman"/>
          <w:i/>
          <w:sz w:val="20"/>
        </w:rPr>
        <w:t>Conflicts Committee</w:t>
      </w:r>
      <w:r>
        <w:rPr>
          <w:rFonts w:ascii="Times New Roman" w:hAnsi="Times New Roman"/>
          <w:sz w:val="20"/>
        </w:rPr>
        <w:t>” and “</w:t>
      </w:r>
      <w:r>
        <w:rPr>
          <w:rFonts w:ascii="Times New Roman" w:hAnsi="Times New Roman"/>
          <w:i/>
          <w:sz w:val="20"/>
        </w:rPr>
        <w:t>Special Approval</w:t>
      </w:r>
      <w:r>
        <w:rPr>
          <w:rFonts w:ascii="Times New Roman" w:hAnsi="Times New Roman"/>
          <w:sz w:val="20"/>
        </w:rPr>
        <w:t>”, (ii)</w:t>
      </w:r>
      <w:r>
        <w:rPr>
          <w:rFonts w:ascii="Times New Roman" w:hAnsi="Times New Roman"/>
          <w:sz w:val="20"/>
          <w:u w:val="single"/>
        </w:rPr>
        <w:t> Section 4.6</w:t>
      </w:r>
      <w:r>
        <w:rPr>
          <w:rFonts w:ascii="Times New Roman" w:hAnsi="Times New Roman"/>
          <w:sz w:val="20"/>
        </w:rPr>
        <w:t>, (iii)</w:t>
      </w:r>
      <w:r>
        <w:rPr>
          <w:rFonts w:ascii="Times New Roman" w:hAnsi="Times New Roman"/>
          <w:sz w:val="20"/>
          <w:u w:val="single"/>
        </w:rPr>
        <w:t> Section 7.3</w:t>
      </w:r>
      <w:r>
        <w:rPr>
          <w:rFonts w:ascii="Times New Roman" w:hAnsi="Times New Roman"/>
          <w:sz w:val="20"/>
        </w:rPr>
        <w:t xml:space="preserve"> (iv)</w:t>
      </w:r>
      <w:r>
        <w:rPr>
          <w:rFonts w:ascii="Times New Roman" w:hAnsi="Times New Roman"/>
          <w:sz w:val="20"/>
          <w:u w:val="single"/>
        </w:rPr>
        <w:t> Section 7.9(a)</w:t>
      </w:r>
      <w:r>
        <w:rPr>
          <w:rFonts w:ascii="Times New Roman" w:hAnsi="Times New Roman"/>
          <w:sz w:val="20"/>
        </w:rPr>
        <w:t>, (v)</w:t>
      </w:r>
      <w:r>
        <w:rPr>
          <w:rFonts w:ascii="Times New Roman" w:hAnsi="Times New Roman"/>
          <w:sz w:val="20"/>
          <w:u w:val="single"/>
        </w:rPr>
        <w:t> Section 12.9</w:t>
      </w:r>
      <w:r>
        <w:rPr>
          <w:rFonts w:ascii="Times New Roman" w:hAnsi="Times New Roman"/>
          <w:sz w:val="20"/>
        </w:rPr>
        <w:t>, (vi)</w:t>
      </w:r>
      <w:r>
        <w:rPr>
          <w:rFonts w:ascii="Times New Roman" w:hAnsi="Times New Roman"/>
          <w:sz w:val="20"/>
          <w:u w:val="single"/>
        </w:rPr>
        <w:t> Section 14.2</w:t>
      </w:r>
      <w:r>
        <w:rPr>
          <w:rFonts w:ascii="Times New Roman" w:hAnsi="Times New Roman"/>
          <w:sz w:val="20"/>
        </w:rPr>
        <w:t xml:space="preserve">, or (vii) any other provision of this Agreement requiring that Special Approval be obtained as a condition to any action, shall be effective without first obtaining Special Approval. </w:t>
      </w:r>
    </w:p>
    <w:p>
      <w:pPr>
        <w:pStyle w:val="TextBody"/>
        <w:bidi w:val="0"/>
        <w:spacing w:before="240" w:after="0"/>
        <w:jc w:val="left"/>
        <w:rPr>
          <w:rFonts w:ascii="Times New Roman" w:hAnsi="Times New Roman"/>
          <w:sz w:val="20"/>
        </w:rPr>
      </w:pPr>
      <w:r>
        <w:rPr>
          <w:rFonts w:ascii="Times New Roman" w:hAnsi="Times New Roman"/>
          <w:sz w:val="20"/>
        </w:rPr>
        <w:t xml:space="preserve">Section 13.3 </w:t>
      </w:r>
      <w:r>
        <w:rPr>
          <w:rFonts w:ascii="Times New Roman" w:hAnsi="Times New Roman"/>
          <w:sz w:val="20"/>
          <w:u w:val="single"/>
        </w:rPr>
        <w:t>Amendment Requirements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the provisions of </w:t>
      </w:r>
      <w:r>
        <w:rPr>
          <w:rFonts w:ascii="Times New Roman" w:hAnsi="Times New Roman"/>
          <w:sz w:val="20"/>
          <w:u w:val="single"/>
        </w:rPr>
        <w:t>Sections 13.1</w:t>
      </w:r>
      <w:r>
        <w:rPr>
          <w:rFonts w:ascii="Times New Roman" w:hAnsi="Times New Roman"/>
          <w:sz w:val="20"/>
        </w:rPr>
        <w:t xml:space="preserve"> and </w:t>
      </w:r>
      <w:r>
        <w:rPr>
          <w:rFonts w:ascii="Times New Roman" w:hAnsi="Times New Roman"/>
          <w:sz w:val="20"/>
          <w:u w:val="single"/>
        </w:rPr>
        <w:t>13.2</w:t>
      </w:r>
      <w:r>
        <w:rPr>
          <w:rFonts w:ascii="Times New Roman" w:hAnsi="Times New Roman"/>
          <w:sz w:val="20"/>
        </w:rPr>
        <w:t xml:space="preserve">, no provision of this Agreement that establishes a percentage of Outstanding Units (including Units deemed owned by the General Partner) required to take any action shall be amended, altered, changed, repealed or rescinded in any respect that would have the effect of reducing such voting percentage unless such amendment is approved by the written consent or the affirmative vote of holders of Outstanding Units whose aggregate Outstanding Units constitute not less than the voting requirement sought to be reduced.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provisions of </w:t>
      </w:r>
      <w:r>
        <w:rPr>
          <w:rFonts w:ascii="Times New Roman" w:hAnsi="Times New Roman"/>
          <w:sz w:val="20"/>
          <w:u w:val="single"/>
        </w:rPr>
        <w:t>Sections 13.1</w:t>
      </w:r>
      <w:r>
        <w:rPr>
          <w:rFonts w:ascii="Times New Roman" w:hAnsi="Times New Roman"/>
          <w:sz w:val="20"/>
        </w:rPr>
        <w:t xml:space="preserve"> and </w:t>
      </w:r>
      <w:r>
        <w:rPr>
          <w:rFonts w:ascii="Times New Roman" w:hAnsi="Times New Roman"/>
          <w:sz w:val="20"/>
          <w:u w:val="single"/>
        </w:rPr>
        <w:t>13.2</w:t>
      </w:r>
      <w:r>
        <w:rPr>
          <w:rFonts w:ascii="Times New Roman" w:hAnsi="Times New Roman"/>
          <w:sz w:val="20"/>
        </w:rPr>
        <w:t xml:space="preserve">, no amendment to this Agreement may (i) enlarge the obligations of any Limited Partner without its consent, unless such shall be deemed to have occurred as a result of an amendment approved pursuant to </w:t>
      </w:r>
      <w:r>
        <w:rPr>
          <w:rFonts w:ascii="Times New Roman" w:hAnsi="Times New Roman"/>
          <w:sz w:val="20"/>
          <w:u w:val="single"/>
        </w:rPr>
        <w:t>Section 13.3(c)</w:t>
      </w:r>
      <w:r>
        <w:rPr>
          <w:rFonts w:ascii="Times New Roman" w:hAnsi="Times New Roman"/>
          <w:sz w:val="20"/>
        </w:rPr>
        <w:t xml:space="preserve"> or (ii) enlarge the obligations of, restrict in any way any action by or rights of, or reduce in any way the amounts distributable, reimbursable or otherwise payable to the General Partner or any of its Affiliates without its consent, which consent may be given or withheld at its option. </w:t>
      </w:r>
    </w:p>
    <w:p>
      <w:pPr>
        <w:pStyle w:val="TextBody"/>
        <w:bidi w:val="0"/>
        <w:spacing w:before="240" w:after="0"/>
        <w:jc w:val="left"/>
        <w:rPr>
          <w:rFonts w:ascii="Times New Roman" w:hAnsi="Times New Roman"/>
          <w:sz w:val="20"/>
        </w:rPr>
      </w:pPr>
      <w:r>
        <w:rPr>
          <w:rFonts w:ascii="Times New Roman" w:hAnsi="Times New Roman"/>
          <w:sz w:val="20"/>
        </w:rPr>
        <w:t xml:space="preserve">(c) Except as provided in </w:t>
      </w:r>
      <w:r>
        <w:rPr>
          <w:rFonts w:ascii="Times New Roman" w:hAnsi="Times New Roman"/>
          <w:sz w:val="20"/>
          <w:u w:val="single"/>
        </w:rPr>
        <w:t>Section 14.3</w:t>
      </w:r>
      <w:r>
        <w:rPr>
          <w:rFonts w:ascii="Times New Roman" w:hAnsi="Times New Roman"/>
          <w:sz w:val="20"/>
        </w:rPr>
        <w:t xml:space="preserve">, and without limitation of the General Partner’s authority to adopt amendments to this Agreement without the approval of any Partners as contemplated in </w:t>
      </w:r>
      <w:r>
        <w:rPr>
          <w:rFonts w:ascii="Times New Roman" w:hAnsi="Times New Roman"/>
          <w:sz w:val="20"/>
          <w:u w:val="single"/>
        </w:rPr>
        <w:t>Section 13.1</w:t>
      </w:r>
      <w:r>
        <w:rPr>
          <w:rFonts w:ascii="Times New Roman" w:hAnsi="Times New Roman"/>
          <w:sz w:val="20"/>
        </w:rPr>
        <w:t xml:space="preserve">, any amendment that would have a material adverse effect on the rights or preferences of any class of Partnership Interests in relation to other classes of Partnership Interests must be approved by the holders of not less than a majority of the Outstanding Partnership Interests of the class affected.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 other provision of this Agreement, except for amendments pursuant to </w:t>
      </w:r>
      <w:r>
        <w:rPr>
          <w:rFonts w:ascii="Times New Roman" w:hAnsi="Times New Roman"/>
          <w:sz w:val="20"/>
          <w:u w:val="single"/>
        </w:rPr>
        <w:t>Section 13.1</w:t>
      </w:r>
      <w:r>
        <w:rPr>
          <w:rFonts w:ascii="Times New Roman" w:hAnsi="Times New Roman"/>
          <w:sz w:val="20"/>
        </w:rPr>
        <w:t xml:space="preserve"> and except as otherwise provided by </w:t>
      </w:r>
      <w:r>
        <w:rPr>
          <w:rFonts w:ascii="Times New Roman" w:hAnsi="Times New Roman"/>
          <w:sz w:val="20"/>
          <w:u w:val="single"/>
        </w:rPr>
        <w:t>Section 14.3(b)</w:t>
      </w:r>
      <w:r>
        <w:rPr>
          <w:rFonts w:ascii="Times New Roman" w:hAnsi="Times New Roman"/>
          <w:sz w:val="20"/>
        </w:rPr>
        <w:t xml:space="preserve">, no amendments shall become effective without the approval of the holders of at least 90% of the Outstanding Units voting as a single class unless the Partnership obtains an Opinion of Counsel to the effect that such amendment will not affect the limited liability of any Limited Partner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Except as provided in </w:t>
      </w:r>
      <w:r>
        <w:rPr>
          <w:rFonts w:ascii="Times New Roman" w:hAnsi="Times New Roman"/>
          <w:sz w:val="20"/>
          <w:u w:val="single"/>
        </w:rPr>
        <w:t>Section 13.1</w:t>
      </w:r>
      <w:r>
        <w:rPr>
          <w:rFonts w:ascii="Times New Roman" w:hAnsi="Times New Roman"/>
          <w:sz w:val="20"/>
        </w:rPr>
        <w:t xml:space="preserve">, this </w:t>
      </w:r>
      <w:r>
        <w:rPr>
          <w:rFonts w:ascii="Times New Roman" w:hAnsi="Times New Roman"/>
          <w:sz w:val="20"/>
          <w:u w:val="single"/>
        </w:rPr>
        <w:t>Section 13.3</w:t>
      </w:r>
      <w:r>
        <w:rPr>
          <w:rFonts w:ascii="Times New Roman" w:hAnsi="Times New Roman"/>
          <w:sz w:val="20"/>
        </w:rPr>
        <w:t xml:space="preserve"> shall only be amended with the approval of the holders of at least 90% of the Outstanding Units.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herein, without the approval of the holders of 66 2/3% of the Class A Units, the Partnership may not take any action that disproportionately or materially adversely affects the rights, preferences or privileges of the Class A Units or amend the terms of the Class A Units. </w:t>
      </w:r>
    </w:p>
    <w:p>
      <w:pPr>
        <w:pStyle w:val="TextBody"/>
        <w:bidi w:val="0"/>
        <w:spacing w:before="240" w:after="0"/>
        <w:jc w:val="left"/>
        <w:rPr>
          <w:rFonts w:ascii="Times New Roman" w:hAnsi="Times New Roman"/>
          <w:sz w:val="20"/>
        </w:rPr>
      </w:pPr>
      <w:r>
        <w:rPr>
          <w:rFonts w:ascii="Times New Roman" w:hAnsi="Times New Roman"/>
          <w:sz w:val="20"/>
        </w:rPr>
        <w:t xml:space="preserve">Section 13.4 </w:t>
      </w:r>
      <w:r>
        <w:rPr>
          <w:rFonts w:ascii="Times New Roman" w:hAnsi="Times New Roman"/>
          <w:sz w:val="20"/>
          <w:u w:val="single"/>
        </w:rPr>
        <w:t>Special Meetings</w:t>
      </w:r>
      <w:r>
        <w:rPr>
          <w:rFonts w:ascii="Times New Roman" w:hAnsi="Times New Roman"/>
          <w:sz w:val="20"/>
        </w:rPr>
        <w:t xml:space="preserve">. All acts of Limited Partners to be taken pursuant to this Agreement shall be taken in the manner provided in this </w:t>
      </w:r>
      <w:r>
        <w:rPr>
          <w:rFonts w:ascii="Times New Roman" w:hAnsi="Times New Roman"/>
          <w:sz w:val="20"/>
          <w:u w:val="single"/>
        </w:rPr>
        <w:t>Article XIII</w:t>
      </w:r>
      <w:r>
        <w:rPr>
          <w:rFonts w:ascii="Times New Roman" w:hAnsi="Times New Roman"/>
          <w:sz w:val="20"/>
        </w:rPr>
        <w:t xml:space="preserve">. Special meetings of the Limited Partners may be called by the General Partner or by Limited Partners owning 20% or more of the Outstanding Partnership Securities of the class or classes for which a meeting is proposed. Limited Partners shall call a special meeting by delivering to the General Partner one or more requests in writing stating that the signing Limited Partners wish to call a special meeting and indicating the general or specific purposes for which the special meeting is to be called. Within 60 days after receipt of such a call from Limited Partners or within such greater time as may be reasonably necessary for the Partnership to comply with any statutes, rules, regulations, listing agreements or similar requirements governing the holding of a meeting or the solicitation of proxies for use at such a meeting, the General Partner shall send a notice of the meeting to the Limited Partners either directly or indirectly through the Transfer Agent. A meeting shall be held at a time and place determined by the General Partner on a date not less than 10 days nor more than 60 days after the mailing of notice of the meeting. Limited Partners shall not vote on matters that would cause the Limited Partners to be deemed to be taking part in the management and control of the business and affairs of the Partnership so as to jeopardize the Limited Partners’ limited liability under the Texas Limited Partnership Law or the law of any other state in which the Partnership is qualified to do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13.5 </w:t>
      </w:r>
      <w:r>
        <w:rPr>
          <w:rFonts w:ascii="Times New Roman" w:hAnsi="Times New Roman"/>
          <w:sz w:val="20"/>
          <w:u w:val="single"/>
        </w:rPr>
        <w:t>Notice of a Meeting</w:t>
      </w:r>
      <w:r>
        <w:rPr>
          <w:rFonts w:ascii="Times New Roman" w:hAnsi="Times New Roman"/>
          <w:sz w:val="20"/>
        </w:rPr>
        <w:t xml:space="preserve">. Notice of a meeting called pursuant to </w:t>
      </w:r>
      <w:r>
        <w:rPr>
          <w:rFonts w:ascii="Times New Roman" w:hAnsi="Times New Roman"/>
          <w:sz w:val="20"/>
          <w:u w:val="single"/>
        </w:rPr>
        <w:t>Section 13.4</w:t>
      </w:r>
      <w:r>
        <w:rPr>
          <w:rFonts w:ascii="Times New Roman" w:hAnsi="Times New Roman"/>
          <w:sz w:val="20"/>
        </w:rPr>
        <w:t xml:space="preserve"> shall be given to the Record Holders of the class or classes of Limited Partner Interests for which a meeting is proposed in writing by mail or other means of written communication in accordance with </w:t>
      </w:r>
      <w:r>
        <w:rPr>
          <w:rFonts w:ascii="Times New Roman" w:hAnsi="Times New Roman"/>
          <w:sz w:val="20"/>
          <w:u w:val="single"/>
        </w:rPr>
        <w:t>Section 16.1</w:t>
      </w:r>
      <w:r>
        <w:rPr>
          <w:rFonts w:ascii="Times New Roman" w:hAnsi="Times New Roman"/>
          <w:sz w:val="20"/>
        </w:rPr>
        <w:t xml:space="preserve">. The notice shall be deemed to have been given at the time when deposited in the mail or sent by other means of written communication.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13.6 </w:t>
      </w:r>
      <w:r>
        <w:rPr>
          <w:rFonts w:ascii="Times New Roman" w:hAnsi="Times New Roman"/>
          <w:sz w:val="20"/>
          <w:u w:val="single"/>
        </w:rPr>
        <w:t>Record Date</w:t>
      </w:r>
      <w:r>
        <w:rPr>
          <w:rFonts w:ascii="Times New Roman" w:hAnsi="Times New Roman"/>
          <w:sz w:val="20"/>
        </w:rPr>
        <w:t xml:space="preserve">. For purposes of determining the Limited Partners entitled to notice of or to vote at a meeting of the Limited Partners or to give approvals without a meeting as provided in </w:t>
      </w:r>
      <w:r>
        <w:rPr>
          <w:rFonts w:ascii="Times New Roman" w:hAnsi="Times New Roman"/>
          <w:sz w:val="20"/>
          <w:u w:val="single"/>
        </w:rPr>
        <w:t>Section 13.11</w:t>
      </w:r>
      <w:r>
        <w:rPr>
          <w:rFonts w:ascii="Times New Roman" w:hAnsi="Times New Roman"/>
          <w:sz w:val="20"/>
        </w:rPr>
        <w:t xml:space="preserve"> the General Partner may set a Record Date, which shall not be less than 10 nor more than 60 days before (a) the date of the meeting (unless such requirement conflicts with any rule, regulation, guideline or requirement of any National Securities Exchange on which the Limited Partner Interests are listed or admitted for trading, in which case the rule, regulation, guideline or requirement of such National Securities Exchange shall govern) or (b) in the event that approvals are sought without a meeting, the date by which Limited Partners are requested in writing by the General Partner to give such approvals.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13.7 </w:t>
      </w:r>
      <w:r>
        <w:rPr>
          <w:rFonts w:ascii="Times New Roman" w:hAnsi="Times New Roman"/>
          <w:sz w:val="20"/>
          <w:u w:val="single"/>
        </w:rPr>
        <w:t>Adjournment</w:t>
      </w:r>
      <w:r>
        <w:rPr>
          <w:rFonts w:ascii="Times New Roman" w:hAnsi="Times New Roman"/>
          <w:sz w:val="20"/>
        </w:rPr>
        <w:t xml:space="preserve">. 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 45 days. At the adjourned meeting, the Partnership may transact any business which might have been transacted at the original meeting. If the adjournment is for more than 45 days or if a new Record Date is fixed for the adjourned meeting, a notice of the adjourned meeting shall be given in accordance with this </w:t>
      </w:r>
      <w:r>
        <w:rPr>
          <w:rFonts w:ascii="Times New Roman" w:hAnsi="Times New Roman"/>
          <w:sz w:val="20"/>
          <w:u w:val="single"/>
        </w:rPr>
        <w:t>Article XIII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13.8 </w:t>
      </w:r>
      <w:r>
        <w:rPr>
          <w:rFonts w:ascii="Times New Roman" w:hAnsi="Times New Roman"/>
          <w:sz w:val="20"/>
          <w:u w:val="single"/>
        </w:rPr>
        <w:t>Waiver of Notice; Approval of Meeting; Approval of Minutes</w:t>
      </w:r>
      <w:r>
        <w:rPr>
          <w:rFonts w:ascii="Times New Roman" w:hAnsi="Times New Roman"/>
          <w:sz w:val="20"/>
        </w:rPr>
        <w:t xml:space="preserve">. The transactions of any meeting of Limited Partners, however called and noticed, and whenever held, shall be as valid as if it had occurred at a meeting duly held after regular call and notice, if a quorum is present, either in person or by proxy. Attendance of a Limited Partner at a meeting shall constitute a waiver of notice of the meeting, except when the Limited Partner attends the meeting for the express purpose of objecting, at the beginning of the meeting, to the transaction of any business because the meeting is not lawfully called or convened; and except that attendance at a meeting is not a waiver of any right to disapprove the consideration of matters required to be included in the notice of the meeting, but not so included, if the disapproval is expressly made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13.9 </w:t>
      </w:r>
      <w:r>
        <w:rPr>
          <w:rFonts w:ascii="Times New Roman" w:hAnsi="Times New Roman"/>
          <w:sz w:val="20"/>
          <w:u w:val="single"/>
        </w:rPr>
        <w:t>Quorum</w:t>
      </w:r>
      <w:r>
        <w:rPr>
          <w:rFonts w:ascii="Times New Roman" w:hAnsi="Times New Roman"/>
          <w:sz w:val="20"/>
        </w:rPr>
        <w:t xml:space="preserve">. The holders of a majority of the Outstanding Partnership Securities of the class or classes for which a meeting has been called (including Limited Partner Interests deemed owned by the General Partner) represented in person or by proxy shall constitute a quorum at a meeting of Limited Partners of such class or classes unless any such action by the Limited Partners requires approval by holders of a greater percentage of such Limited Partner Interests, in which case the quorum shall be such greater percentage. At any meeting of the Limited Partners duly called and held in accordance with this Agreement at which a quorum is present, the act of Limited Partners holding Outstanding Partnership Securities that in the aggregate represent a majority of the Outstanding Partnership Securities entitled to vote and be present in person or by proxy at such meeting shall be deemed to constitute the act of all Limited Partners, unless a greater or different percentage is required with respect to such action under the provisions of this Agreement, in which case the act of the Limited Partners holding Outstanding Partnership Securities that in the aggregate represent at least such greater or different percentage shall be required. The Limited Partners present at a duly called or held meeting at which a quorum is present may continue to transact business until adjournment, notwithstanding the withdrawal of enough Limited Partners to leave less than a quorum, if any action taken (other than adjournment) is approved by the required percentage of Outstanding Partnership Securities specified in this Agreement (including Outstanding Partnership Securities deemed owned by the General Partner). In the absence of a quorum any meeting of Limited Partners may be adjourned from time to time by the affirmative vote of holders of at least a majority of the Outstanding Partnership Securities entitled to vote at such meeting (including Outstanding Partnership Securities deemed owned by the General Partner) represented either in person or by proxy, but no other business may be transacted, except as provided in </w:t>
      </w:r>
      <w:r>
        <w:rPr>
          <w:rFonts w:ascii="Times New Roman" w:hAnsi="Times New Roman"/>
          <w:sz w:val="20"/>
          <w:u w:val="single"/>
        </w:rPr>
        <w:t>Section 13.7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13.10 </w:t>
      </w:r>
      <w:r>
        <w:rPr>
          <w:rFonts w:ascii="Times New Roman" w:hAnsi="Times New Roman"/>
          <w:sz w:val="20"/>
          <w:u w:val="single"/>
        </w:rPr>
        <w:t>Conduct of a Meeting</w:t>
      </w:r>
      <w:r>
        <w:rPr>
          <w:rFonts w:ascii="Times New Roman" w:hAnsi="Times New Roman"/>
          <w:sz w:val="20"/>
        </w:rPr>
        <w:t xml:space="preserve">. The General Partner shall have full power and authority concerning the manner of conducting any meeting of the Limited Partners or solicitation of approvals in writing, including the determination of Persons entitled to vote, the existence of a quorum, the satisfaction of the requirements of </w:t>
      </w:r>
      <w:r>
        <w:rPr>
          <w:rFonts w:ascii="Times New Roman" w:hAnsi="Times New Roman"/>
          <w:sz w:val="20"/>
          <w:u w:val="single"/>
        </w:rPr>
        <w:t>Section 13.4</w:t>
      </w:r>
      <w:r>
        <w:rPr>
          <w:rFonts w:ascii="Times New Roman" w:hAnsi="Times New Roman"/>
          <w:sz w:val="20"/>
        </w:rPr>
        <w:t xml:space="preserve">, the conduct of voting, the validity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effect of any proxies and the determination of any controversies, votes or challenges arising in connection with or during the meeting or voting. The General Partner shall designate a Person to serve as chairman of any meeting and shall further designate a Person to take the minutes of any meeting. All minutes shall be kept with the records of the Partnership maintained by the General Partner. The General Partner may make such other regulations consistent with applicable law and this Agreement as it may deem advisable concerning the conduct of any meeting of the Limited Partners or solicitation of approvals in writing, including regulations in regard to the appointment of proxies, the appointment and duties of inspectors of votes and approvals, the submission and examination of proxies and other evidence of the right to vote, and the revocation of approvals in writing. </w:t>
      </w:r>
    </w:p>
    <w:p>
      <w:pPr>
        <w:pStyle w:val="TextBody"/>
        <w:bidi w:val="0"/>
        <w:spacing w:before="240" w:after="0"/>
        <w:jc w:val="left"/>
        <w:rPr>
          <w:rFonts w:ascii="Times New Roman" w:hAnsi="Times New Roman"/>
          <w:sz w:val="20"/>
        </w:rPr>
      </w:pPr>
      <w:r>
        <w:rPr>
          <w:rFonts w:ascii="Times New Roman" w:hAnsi="Times New Roman"/>
          <w:sz w:val="20"/>
        </w:rPr>
        <w:t xml:space="preserve">Section 13.11 </w:t>
      </w:r>
      <w:r>
        <w:rPr>
          <w:rFonts w:ascii="Times New Roman" w:hAnsi="Times New Roman"/>
          <w:sz w:val="20"/>
          <w:u w:val="single"/>
        </w:rPr>
        <w:t>Action Without a Meeting</w:t>
      </w:r>
      <w:r>
        <w:rPr>
          <w:rFonts w:ascii="Times New Roman" w:hAnsi="Times New Roman"/>
          <w:sz w:val="20"/>
        </w:rPr>
        <w:t xml:space="preserve">. If authorized by the General Partner, any action that may be taken at a meeting of the Limited Partners may be taken without a meeting if an approval in writing setting forth the action so taken is signed by Limited Partners owning not less than the minimum percentage of the Outstanding Limited Partner Interests (including Limited Partner Interests deemed owned by the General Partner) that would be necessary to authorize or take such action at a meeting at which all the Limited Partners were present and voted (unless such provision conflicts with any rule, regulation, guideline or requirement of any National Securities Exchange on which the Limited Partner Interests are listed or admitted for trading, in which case the rule, regulation, guideline or requirement of such National Securities Exchange shall govern). Prompt notice of the taking of action without a meeting shall be given to the Limited Partners who have not approved in writing. The General Partner may specify that any written ballot submitted to Limited Partners for the purpose of taking any action without a meeting shall be returned to the Partnership within the time period, which shall be not less than 20 days, specified by the General Partner. If a ballot returned to the Partnership does not vote all of the Limited Partner Interests held by the Limited Partners, the Partnership shall be deemed to have failed to receive a ballot for the Limited Partner Interests that were not voted. If approval of the taking of any action by the Limited Partners is solicited by any Person other than by or on behalf of the General Partner, the written approvals shall have no force and effect unless and until (a) they are deposited with the Partnership in care of the General Partner, (b) approvals sufficient to take the action proposed are dated as of a date not more than 90 days prior to the date sufficient approvals are deposited with the Partnership and (c) an Opinion of Counsel is delivered to the General Partner to the effect that the exercise of such right and the action proposed to be taken with respect to any particular matter (i) will not cause the Limited Partners to be deemed to be taking part in the management and control of the business and affairs of the Partnership so as to jeopardize the Limited Partners’ limited liability, and (ii) is otherwise permissible under the state statutes then governing the rights, duties and liabilities of the Partnership and the Partners. </w:t>
      </w:r>
    </w:p>
    <w:p>
      <w:pPr>
        <w:pStyle w:val="TextBody"/>
        <w:bidi w:val="0"/>
        <w:spacing w:before="240" w:after="0"/>
        <w:jc w:val="left"/>
        <w:rPr>
          <w:rFonts w:ascii="Times New Roman" w:hAnsi="Times New Roman"/>
          <w:sz w:val="20"/>
        </w:rPr>
      </w:pPr>
      <w:r>
        <w:rPr>
          <w:rFonts w:ascii="Times New Roman" w:hAnsi="Times New Roman"/>
          <w:sz w:val="20"/>
        </w:rPr>
        <w:t xml:space="preserve">Section 13.12 </w:t>
      </w:r>
      <w:r>
        <w:rPr>
          <w:rFonts w:ascii="Times New Roman" w:hAnsi="Times New Roman"/>
          <w:sz w:val="20"/>
          <w:u w:val="single"/>
        </w:rPr>
        <w:t>Voting and Other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Only those Record Holders of the Limited Partner Interests on the Record Date set pursuant to </w:t>
      </w:r>
      <w:r>
        <w:rPr>
          <w:rFonts w:ascii="Times New Roman" w:hAnsi="Times New Roman"/>
          <w:sz w:val="20"/>
          <w:u w:val="single"/>
        </w:rPr>
        <w:t>Section 13.6</w:t>
      </w:r>
      <w:r>
        <w:rPr>
          <w:rFonts w:ascii="Times New Roman" w:hAnsi="Times New Roman"/>
          <w:sz w:val="20"/>
        </w:rPr>
        <w:t xml:space="preserve"> (and also subject to the limitations contained in the definition of “</w:t>
      </w:r>
      <w:r>
        <w:rPr>
          <w:rFonts w:ascii="Times New Roman" w:hAnsi="Times New Roman"/>
          <w:i/>
          <w:sz w:val="20"/>
        </w:rPr>
        <w:t>Outstanding</w:t>
      </w:r>
      <w:r>
        <w:rPr>
          <w:rFonts w:ascii="Times New Roman" w:hAnsi="Times New Roman"/>
          <w:sz w:val="20"/>
        </w:rPr>
        <w:t xml:space="preserve">”) shall be entitled to notice of, and to vote at, a meeting of Limited Partners or to act with respect to matters as to which the holders of the Outstanding Limited Partner Interests have the right to vote or to act. All references in this Agreement to votes of, or other acts that may be taken by, the Outstanding Limited Partner Interests shall be deemed to be references to the votes or acts of the Record Holders of such Outstanding Limited Partner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 respect to Limited Partner Interests that are held for a Person’s account by another Person (such as a broker, dealer, bank, trust company or clearing corporation, or an agent of any of the foregoing), in whose name such Limited Partner Interests are registered, such other Person shall, in exercising the voting rights in respect of such Limited Partner Interests on any matter, and unless the arrangement between such Persons provides otherwise, vote such Limited Partner Interests in favor of, and at the direction of, the Person who is the beneficial owner, and the Partnership shall be entitled to assume it is so acting without further inquiry. The provisions of this </w:t>
      </w:r>
      <w:r>
        <w:rPr>
          <w:rFonts w:ascii="Times New Roman" w:hAnsi="Times New Roman"/>
          <w:sz w:val="20"/>
          <w:u w:val="single"/>
        </w:rPr>
        <w:t>Section 13.12(b)</w:t>
      </w:r>
      <w:r>
        <w:rPr>
          <w:rFonts w:ascii="Times New Roman" w:hAnsi="Times New Roman"/>
          <w:sz w:val="20"/>
        </w:rPr>
        <w:t xml:space="preserve"> (as well as all other provisions of this Agreement) are subject to the provisions of </w:t>
      </w:r>
      <w:r>
        <w:rPr>
          <w:rFonts w:ascii="Times New Roman" w:hAnsi="Times New Roman"/>
          <w:sz w:val="20"/>
          <w:u w:val="single"/>
        </w:rPr>
        <w:t>Section 4.3</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XIV </w:t>
      </w:r>
    </w:p>
    <w:p>
      <w:pPr>
        <w:pStyle w:val="TextBody"/>
        <w:bidi w:val="0"/>
        <w:spacing w:before="0" w:after="0"/>
        <w:jc w:val="center"/>
        <w:rPr>
          <w:rFonts w:ascii="Times New Roman" w:hAnsi="Times New Roman"/>
          <w:b/>
          <w:sz w:val="20"/>
        </w:rPr>
      </w:pPr>
      <w:r>
        <w:rPr>
          <w:rFonts w:ascii="Times New Roman" w:hAnsi="Times New Roman"/>
          <w:b/>
          <w:sz w:val="20"/>
        </w:rPr>
        <w:t xml:space="preserve">MERGER, CONSOLIDATION OR CONVERSION </w:t>
      </w:r>
    </w:p>
    <w:p>
      <w:pPr>
        <w:pStyle w:val="TextBody"/>
        <w:bidi w:val="0"/>
        <w:spacing w:before="240" w:after="0"/>
        <w:jc w:val="left"/>
        <w:rPr>
          <w:rFonts w:ascii="Times New Roman" w:hAnsi="Times New Roman"/>
          <w:sz w:val="20"/>
        </w:rPr>
      </w:pPr>
      <w:r>
        <w:rPr>
          <w:rFonts w:ascii="Times New Roman" w:hAnsi="Times New Roman"/>
          <w:sz w:val="20"/>
        </w:rPr>
        <w:t xml:space="preserve">Section 14.1 </w:t>
      </w:r>
      <w:r>
        <w:rPr>
          <w:rFonts w:ascii="Times New Roman" w:hAnsi="Times New Roman"/>
          <w:sz w:val="20"/>
          <w:u w:val="single"/>
        </w:rPr>
        <w:t>Authority</w:t>
      </w:r>
      <w:r>
        <w:rPr>
          <w:rFonts w:ascii="Times New Roman" w:hAnsi="Times New Roman"/>
          <w:sz w:val="20"/>
        </w:rPr>
        <w:t>. The Partnership may merge or consolidate with one or more corporations, limited liability companies, statutory trusts or associations, real estate investment trusts, common law trusts or unincorporated businesses, including a partnership (whether general or limited (including a limited liability partnership)) or convert into any such entity, whether such entity is formed under the laws of the State of Texas or any other state of the United States of America, pursuant to a written agreement of merger or consolidation (“</w:t>
      </w:r>
      <w:r>
        <w:rPr>
          <w:rFonts w:ascii="Times New Roman" w:hAnsi="Times New Roman"/>
          <w:i/>
          <w:sz w:val="20"/>
        </w:rPr>
        <w:t>Merger Agreement</w:t>
      </w:r>
      <w:r>
        <w:rPr>
          <w:rFonts w:ascii="Times New Roman" w:hAnsi="Times New Roman"/>
          <w:sz w:val="20"/>
        </w:rPr>
        <w:t>”) or a written plan of conversion (“</w:t>
      </w:r>
      <w:r>
        <w:rPr>
          <w:rFonts w:ascii="Times New Roman" w:hAnsi="Times New Roman"/>
          <w:i/>
          <w:sz w:val="20"/>
        </w:rPr>
        <w:t>Plan of Conversion</w:t>
      </w:r>
      <w:r>
        <w:rPr>
          <w:rFonts w:ascii="Times New Roman" w:hAnsi="Times New Roman"/>
          <w:sz w:val="20"/>
        </w:rPr>
        <w:t xml:space="preserve">”), as the case may be, in accordance with this </w:t>
      </w:r>
      <w:r>
        <w:rPr>
          <w:rFonts w:ascii="Times New Roman" w:hAnsi="Times New Roman"/>
          <w:sz w:val="20"/>
          <w:u w:val="single"/>
        </w:rPr>
        <w:t>Article XIV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14.2 </w:t>
      </w:r>
      <w:r>
        <w:rPr>
          <w:rFonts w:ascii="Times New Roman" w:hAnsi="Times New Roman"/>
          <w:sz w:val="20"/>
          <w:u w:val="single"/>
        </w:rPr>
        <w:t>Procedure for Merger, Consolidation or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Merger, consolidation or conversion of the Partnership pursuant to this </w:t>
      </w:r>
      <w:r>
        <w:rPr>
          <w:rFonts w:ascii="Times New Roman" w:hAnsi="Times New Roman"/>
          <w:sz w:val="20"/>
          <w:u w:val="single"/>
        </w:rPr>
        <w:t>Article XIV</w:t>
      </w:r>
      <w:r>
        <w:rPr>
          <w:rFonts w:ascii="Times New Roman" w:hAnsi="Times New Roman"/>
          <w:sz w:val="20"/>
        </w:rPr>
        <w:t xml:space="preserve"> requires the prior consent of the General Partner,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to the maximum extent permitted by law, the General Partner shall have no duty or obligation to consent to any merger, consolidation or conversion of the Partnership and may decline to do so free of any fiduciary duty or obligation whatsoever to the Partnership, any Limited Partner and, in declining to consent to a merger, consolidation or conversion, shall not be required to act in good faith or pursuant to any other standard imposed by this Agreement, any other agreement contemplated hereby or under the Texas Limited Partnership Law or any other law, rule or regulation or at equity. </w:t>
      </w:r>
    </w:p>
    <w:p>
      <w:pPr>
        <w:pStyle w:val="TextBody"/>
        <w:bidi w:val="0"/>
        <w:spacing w:before="240" w:after="0"/>
        <w:jc w:val="left"/>
        <w:rPr>
          <w:rFonts w:ascii="Times New Roman" w:hAnsi="Times New Roman"/>
          <w:sz w:val="20"/>
        </w:rPr>
      </w:pPr>
      <w:r>
        <w:rPr>
          <w:rFonts w:ascii="Times New Roman" w:hAnsi="Times New Roman"/>
          <w:sz w:val="20"/>
        </w:rPr>
        <w:t xml:space="preserve">(b) If the General Partner shall determine to consent to the merger or consolidation, the General Partner shall approve the Merger Agreement, which shall set forth: </w:t>
      </w:r>
    </w:p>
    <w:p>
      <w:pPr>
        <w:pStyle w:val="TextBody"/>
        <w:bidi w:val="0"/>
        <w:spacing w:before="120" w:after="0"/>
        <w:jc w:val="left"/>
        <w:rPr>
          <w:rFonts w:ascii="Times New Roman" w:hAnsi="Times New Roman"/>
          <w:sz w:val="20"/>
        </w:rPr>
      </w:pPr>
      <w:r>
        <w:rPr>
          <w:rFonts w:ascii="Times New Roman" w:hAnsi="Times New Roman"/>
          <w:sz w:val="20"/>
        </w:rPr>
        <w:t xml:space="preserve">(i) the names and jurisdictions of formation or organization of each of the business entities proposing to merge or consolidate; </w:t>
      </w:r>
    </w:p>
    <w:p>
      <w:pPr>
        <w:pStyle w:val="TextBody"/>
        <w:bidi w:val="0"/>
        <w:spacing w:before="120" w:after="0"/>
        <w:jc w:val="left"/>
        <w:rPr>
          <w:rFonts w:ascii="Times New Roman" w:hAnsi="Times New Roman"/>
          <w:sz w:val="20"/>
        </w:rPr>
      </w:pPr>
      <w:r>
        <w:rPr>
          <w:rFonts w:ascii="Times New Roman" w:hAnsi="Times New Roman"/>
          <w:sz w:val="20"/>
        </w:rPr>
        <w:t>(ii) the name and jurisdiction of formation or organization of the business entity that is to survive the proposed merger or consolidation (the “</w:t>
      </w:r>
      <w:r>
        <w:rPr>
          <w:rFonts w:ascii="Times New Roman" w:hAnsi="Times New Roman"/>
          <w:i/>
          <w:sz w:val="20"/>
        </w:rPr>
        <w:t>Surviving Business Entity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the terms and conditions of the proposed merger or consolidation;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 manner and basis of exchanging or converting the equity securities of each constituent business entity for, or into, cash, property or interests, rights, securities or obligations of the Surviving Business Entity; and (i) if any general or limited partner interests, securities or rights of any constituent business entity are not to be exchanged or converted solely for, or into, cash, property or general or limited partner interests, rights, securities or obligations of the Surviving Business Entity, the cash, property or interests, rights, securities or obligations of any general or limited partnership, corporation, trust, limited liability company, unincorporated business or other entity (other than the Surviving Business Entity) which the holders of such general or limited partner interests, securities or rights are to receive in exchange for, or upon conversion of their interests, securities or rights, and (ii) in the case of securities represented by certificates, upon the surrender of such certificates, which cash, property or general or limited partner interests, rights, securities or obligations of the Surviving Business Entity or any general or limited partnership, corporation, trust, limited liability company, unincorporated business or other entity (other than the Surviving Business Entity), or evidences thereof, are to be delivered; </w:t>
      </w:r>
    </w:p>
    <w:p>
      <w:pPr>
        <w:pStyle w:val="TextBody"/>
        <w:bidi w:val="0"/>
        <w:spacing w:before="120" w:after="0"/>
        <w:jc w:val="left"/>
        <w:rPr>
          <w:rFonts w:ascii="Times New Roman" w:hAnsi="Times New Roman"/>
          <w:sz w:val="20"/>
        </w:rPr>
      </w:pPr>
      <w:r>
        <w:rPr>
          <w:rFonts w:ascii="Times New Roman" w:hAnsi="Times New Roman"/>
          <w:sz w:val="20"/>
        </w:rPr>
        <w:t xml:space="preserve">(v) a statement of any changes in the constituent documents or the adoption of new constituent documents (the articles or certificate of incorporation, articles of trust, declaration of trust, certificate or agreement of limited partnership, operating agreement or other similar charter or governing document) of the Surviving Business Entity to be effected by such merger or consolidation; </w:t>
      </w:r>
    </w:p>
    <w:p>
      <w:pPr>
        <w:pStyle w:val="TextBody"/>
        <w:bidi w:val="0"/>
        <w:spacing w:before="120" w:after="0"/>
        <w:jc w:val="left"/>
        <w:rPr>
          <w:rFonts w:ascii="Times New Roman" w:hAnsi="Times New Roman"/>
          <w:sz w:val="20"/>
        </w:rPr>
      </w:pPr>
      <w:r>
        <w:rPr>
          <w:rFonts w:ascii="Times New Roman" w:hAnsi="Times New Roman"/>
          <w:sz w:val="20"/>
        </w:rPr>
        <w:t xml:space="preserve">(vi) the effective time of the merger, which may be the date of the filing of the certificate of merger pursuant to </w:t>
      </w:r>
      <w:r>
        <w:rPr>
          <w:rFonts w:ascii="Times New Roman" w:hAnsi="Times New Roman"/>
          <w:sz w:val="20"/>
          <w:u w:val="single"/>
        </w:rPr>
        <w:t>Section 14.4</w:t>
      </w:r>
      <w:r>
        <w:rPr>
          <w:rFonts w:ascii="Times New Roman" w:hAnsi="Times New Roman"/>
          <w:sz w:val="20"/>
        </w:rPr>
        <w:t xml:space="preserve"> or a later date specified in or determinable in accordance with the Merger Agreement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if the effective time of the merger is to be later than the date of the filing of such certificate of merger, the effective time shall be fixed at a date or time certain at or prior to the time of the filing of such certificate of merger and stated therein); and (vii) such other provisions with respect to the proposed merger or consolidation that the General Partner determines to be necessary or appropriate. </w:t>
      </w:r>
    </w:p>
    <w:p>
      <w:pPr>
        <w:pStyle w:val="TextBody"/>
        <w:bidi w:val="0"/>
        <w:spacing w:before="240" w:after="0"/>
        <w:jc w:val="left"/>
        <w:rPr>
          <w:rFonts w:ascii="Times New Roman" w:hAnsi="Times New Roman"/>
          <w:sz w:val="20"/>
        </w:rPr>
      </w:pPr>
      <w:r>
        <w:rPr>
          <w:rFonts w:ascii="Times New Roman" w:hAnsi="Times New Roman"/>
          <w:sz w:val="20"/>
        </w:rPr>
        <w:t xml:space="preserve">(c) If the General Partner shall determine to consent to the conversion, the General Partner may approve and adopt a Plan of Conversion containing such terms and conditions that the General Partner determines to be necessary or appropriate. </w:t>
      </w:r>
    </w:p>
    <w:p>
      <w:pPr>
        <w:pStyle w:val="TextBody"/>
        <w:bidi w:val="0"/>
        <w:spacing w:before="240" w:after="0"/>
        <w:jc w:val="left"/>
        <w:rPr>
          <w:rFonts w:ascii="Times New Roman" w:hAnsi="Times New Roman"/>
          <w:sz w:val="20"/>
        </w:rPr>
      </w:pPr>
      <w:r>
        <w:rPr>
          <w:rFonts w:ascii="Times New Roman" w:hAnsi="Times New Roman"/>
          <w:sz w:val="20"/>
        </w:rPr>
        <w:t xml:space="preserve">Section 14.3 </w:t>
      </w:r>
      <w:r>
        <w:rPr>
          <w:rFonts w:ascii="Times New Roman" w:hAnsi="Times New Roman"/>
          <w:sz w:val="20"/>
          <w:u w:val="single"/>
        </w:rPr>
        <w:t>Approval by Limited Partners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provided in </w:t>
      </w:r>
      <w:r>
        <w:rPr>
          <w:rFonts w:ascii="Times New Roman" w:hAnsi="Times New Roman"/>
          <w:sz w:val="20"/>
          <w:u w:val="single"/>
        </w:rPr>
        <w:t>Section 14.3(d)</w:t>
      </w:r>
      <w:r>
        <w:rPr>
          <w:rFonts w:ascii="Times New Roman" w:hAnsi="Times New Roman"/>
          <w:sz w:val="20"/>
        </w:rPr>
        <w:t xml:space="preserve">, the General Partner, upon its approval of the Merger Agreement or Plan of Conversion, as the case may be, shall direct that the Merger Agreement or the Plan of Conversion, as applicable, be submitted to a vote of Limited Partners, whether at a special meeting or by written consent, in either case in accordance with the requirements of </w:t>
      </w:r>
      <w:r>
        <w:rPr>
          <w:rFonts w:ascii="Times New Roman" w:hAnsi="Times New Roman"/>
          <w:sz w:val="20"/>
          <w:u w:val="single"/>
        </w:rPr>
        <w:t>Article XIII</w:t>
      </w:r>
      <w:r>
        <w:rPr>
          <w:rFonts w:ascii="Times New Roman" w:hAnsi="Times New Roman"/>
          <w:sz w:val="20"/>
        </w:rPr>
        <w:t xml:space="preserve">. A copy or a summary of the Merger Agreement or the Plan of Conversion, as applicable, shall be included in or enclosed with the notice of a special meeting or the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(b) Except as provided in </w:t>
      </w:r>
      <w:r>
        <w:rPr>
          <w:rFonts w:ascii="Times New Roman" w:hAnsi="Times New Roman"/>
          <w:sz w:val="20"/>
          <w:u w:val="single"/>
        </w:rPr>
        <w:t>Section 14.3(d)</w:t>
      </w:r>
      <w:r>
        <w:rPr>
          <w:rFonts w:ascii="Times New Roman" w:hAnsi="Times New Roman"/>
          <w:sz w:val="20"/>
        </w:rPr>
        <w:t xml:space="preserve">, the Merger Agreement or the Plan of Conversion, as applicable, shall be approved upon receiving the affirmative vote or consent of the holders of a Unit Majority.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Except as provided in </w:t>
      </w:r>
      <w:r>
        <w:rPr>
          <w:rFonts w:ascii="Times New Roman" w:hAnsi="Times New Roman"/>
          <w:sz w:val="20"/>
          <w:u w:val="single"/>
        </w:rPr>
        <w:t>Section 14.3(d)</w:t>
      </w:r>
      <w:r>
        <w:rPr>
          <w:rFonts w:ascii="Times New Roman" w:hAnsi="Times New Roman"/>
          <w:sz w:val="20"/>
        </w:rPr>
        <w:t xml:space="preserve">, after such approval by vote or consent of the Limited Partners, and at any time prior to the filing of the certificate of merger or a certificate of conversion pursuant to </w:t>
      </w:r>
      <w:r>
        <w:rPr>
          <w:rFonts w:ascii="Times New Roman" w:hAnsi="Times New Roman"/>
          <w:sz w:val="20"/>
          <w:u w:val="single"/>
        </w:rPr>
        <w:t>Section 14.4</w:t>
      </w:r>
      <w:r>
        <w:rPr>
          <w:rFonts w:ascii="Times New Roman" w:hAnsi="Times New Roman"/>
          <w:sz w:val="20"/>
        </w:rPr>
        <w:t xml:space="preserve">, the merger, consolidation or conversion may be abandoned pursuant to provisions therefor, if any, set forth in the Merger Agreement or the Plan of Conversion,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else contained in this </w:t>
      </w:r>
      <w:r>
        <w:rPr>
          <w:rFonts w:ascii="Times New Roman" w:hAnsi="Times New Roman"/>
          <w:sz w:val="20"/>
          <w:u w:val="single"/>
        </w:rPr>
        <w:t>Article XIV</w:t>
      </w:r>
      <w:r>
        <w:rPr>
          <w:rFonts w:ascii="Times New Roman" w:hAnsi="Times New Roman"/>
          <w:sz w:val="20"/>
        </w:rPr>
        <w:t xml:space="preserve"> or in this Agreement, the General Partner is permitted without Limited Partner approval, to convert the Partnership or any Group Member into a new limited liability entity, to merge the Partnership or any Group Member into, or convey all of the Partnership’s assets to, another limited liability entity which shall be newly formed and shall have no assets, liabilities or operations at the time of such conversion, merger or conveyance other than those it receives from the Partnership or other Group Member if (i) the General Partner has received an Opinion of Counsel that the merger or conveyance, as the case may be, would not result in the loss of the limited liability of any Limited Partner or cause the Partnership to be treated as an association taxable as a corporation or otherwise to be taxed as an entity for federal income tax purposes (to the extent not previously treated as such), (ii) the sole purpose of such conversion, merger or conveyance is to effect a mere change in the legal form of the Partnership into another limited liability entity and (iii) the governing instruments of the new entity provide the Limited Partners and the General Partner with the same rights and obligations as are herein contained. </w:t>
      </w:r>
    </w:p>
    <w:p>
      <w:pPr>
        <w:pStyle w:val="TextBody"/>
        <w:bidi w:val="0"/>
        <w:spacing w:before="240" w:after="0"/>
        <w:jc w:val="left"/>
        <w:rPr>
          <w:rFonts w:ascii="Times New Roman" w:hAnsi="Times New Roman"/>
          <w:sz w:val="20"/>
        </w:rPr>
      </w:pPr>
      <w:r>
        <w:rPr>
          <w:rFonts w:ascii="Times New Roman" w:hAnsi="Times New Roman"/>
          <w:sz w:val="20"/>
        </w:rPr>
        <w:t xml:space="preserve">(e) Additionally, notwithstanding anything else contained in this </w:t>
      </w:r>
      <w:r>
        <w:rPr>
          <w:rFonts w:ascii="Times New Roman" w:hAnsi="Times New Roman"/>
          <w:sz w:val="20"/>
          <w:u w:val="single"/>
        </w:rPr>
        <w:t>Article XIV</w:t>
      </w:r>
      <w:r>
        <w:rPr>
          <w:rFonts w:ascii="Times New Roman" w:hAnsi="Times New Roman"/>
          <w:sz w:val="20"/>
        </w:rPr>
        <w:t xml:space="preserve"> or in this Agreement, the General Partner is permitted, without Limited Partner approval, to merge or consolidate the Partnership with or into another entity if (A) the General Partner has received an Opinion of Counsel that the merger or consolidation, as the case may be, would not result in the loss of the limited liability of any Limited Partner or cause the Partnership to be treated as an association taxable as a corporation or otherwise to be taxed as an entity for federal income tax purposes (to the extent not previously treated as such), (B) the merger or consolidation would not result in an amendment to this Agreement, other than any amendments that could be adopted pursuant to </w:t>
      </w:r>
      <w:r>
        <w:rPr>
          <w:rFonts w:ascii="Times New Roman" w:hAnsi="Times New Roman"/>
          <w:sz w:val="20"/>
          <w:u w:val="single"/>
        </w:rPr>
        <w:t>Section 13.1</w:t>
      </w:r>
      <w:r>
        <w:rPr>
          <w:rFonts w:ascii="Times New Roman" w:hAnsi="Times New Roman"/>
          <w:sz w:val="20"/>
        </w:rPr>
        <w:t xml:space="preserve">, (C) the Partnership is the Surviving Business Entity in such merger or consolidation, (D) each Unit outstanding immediately prior to the effective date of the merger or consolidation is to be an identical Unit of the Partnership after the effective date of the merger or consolidation, and (E) the number of Partnership Securities to be issued by the Partnership in such merger or consolidation do not exceed 20% of the Partnership Securities Outstanding immediately prior to the effective date of such merger or consolidation. </w:t>
      </w:r>
    </w:p>
    <w:p>
      <w:pPr>
        <w:pStyle w:val="TextBody"/>
        <w:bidi w:val="0"/>
        <w:spacing w:before="240" w:after="0"/>
        <w:jc w:val="left"/>
        <w:rPr>
          <w:rFonts w:ascii="Times New Roman" w:hAnsi="Times New Roman"/>
          <w:sz w:val="20"/>
        </w:rPr>
      </w:pPr>
      <w:r>
        <w:rPr>
          <w:rFonts w:ascii="Times New Roman" w:hAnsi="Times New Roman"/>
          <w:sz w:val="20"/>
        </w:rPr>
        <w:t xml:space="preserve">Section 14.4 </w:t>
      </w:r>
      <w:r>
        <w:rPr>
          <w:rFonts w:ascii="Times New Roman" w:hAnsi="Times New Roman"/>
          <w:sz w:val="20"/>
          <w:u w:val="single"/>
        </w:rPr>
        <w:t>Certificate of 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Upon the required approval, if any, by the General Partner and the Unitholders of a Merger Agreement or a Plan of Conversion, as the case may be, a certificate of merger or certificate of conversion, as applicable, shall be executed and filed with the Secretary of State of the State of Texas in conformity with the requirements of the Texas Limited Partnership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At the effective time of the certificate of merger: </w:t>
      </w:r>
    </w:p>
    <w:p>
      <w:pPr>
        <w:pStyle w:val="TextBody"/>
        <w:bidi w:val="0"/>
        <w:spacing w:before="120" w:after="0"/>
        <w:jc w:val="left"/>
        <w:rPr>
          <w:rFonts w:ascii="Times New Roman" w:hAnsi="Times New Roman"/>
          <w:sz w:val="20"/>
        </w:rPr>
      </w:pPr>
      <w:r>
        <w:rPr>
          <w:rFonts w:ascii="Times New Roman" w:hAnsi="Times New Roman"/>
          <w:sz w:val="20"/>
        </w:rPr>
        <w:t xml:space="preserve">(i) all of the rights, privileges and powers of each of the business entities that has merged or consolidated, and all property, real, personal and mixed, and all debts due to any of those business entities and all other things and causes of action belonging to each of those business entities, shall be vested in the Surviving Business Entity and after the merger or consolidation shall be the property of the Surviving Business Entity to the extent they were of each constituent business entity; </w:t>
      </w:r>
    </w:p>
    <w:p>
      <w:pPr>
        <w:pStyle w:val="TextBody"/>
        <w:bidi w:val="0"/>
        <w:spacing w:before="120" w:after="0"/>
        <w:jc w:val="left"/>
        <w:rPr>
          <w:rFonts w:ascii="Times New Roman" w:hAnsi="Times New Roman"/>
          <w:sz w:val="20"/>
        </w:rPr>
      </w:pPr>
      <w:r>
        <w:rPr>
          <w:rFonts w:ascii="Times New Roman" w:hAnsi="Times New Roman"/>
          <w:sz w:val="20"/>
        </w:rPr>
        <w:t xml:space="preserve">(ii) the title to any real property vested by deed or otherwise in any of those constituent business entities shall not revert and is not in any way impaired because of the merger or consolidation; </w:t>
      </w:r>
    </w:p>
    <w:p>
      <w:pPr>
        <w:pStyle w:val="TextBody"/>
        <w:bidi w:val="0"/>
        <w:spacing w:before="120" w:after="0"/>
        <w:jc w:val="left"/>
        <w:rPr>
          <w:rFonts w:ascii="Times New Roman" w:hAnsi="Times New Roman"/>
          <w:sz w:val="20"/>
        </w:rPr>
      </w:pPr>
      <w:r>
        <w:rPr>
          <w:rFonts w:ascii="Times New Roman" w:hAnsi="Times New Roman"/>
          <w:sz w:val="20"/>
        </w:rPr>
        <w:t xml:space="preserve">(iii) all rights of creditors and all liens on or security interests in property of any of those constituent business entities shall be preserved unimpaired; and (iv) all debts, liabilities and duties of those constituent business entities shall attach to the Surviving Business Entity and may be enforced against it to the same extent as if the debts, liabilities and duties had been incurred or contracted by it. </w:t>
      </w:r>
    </w:p>
    <w:p>
      <w:pPr>
        <w:pStyle w:val="TextBody"/>
        <w:bidi w:val="0"/>
        <w:spacing w:before="240" w:after="0"/>
        <w:jc w:val="left"/>
        <w:rPr>
          <w:rFonts w:ascii="Times New Roman" w:hAnsi="Times New Roman"/>
          <w:sz w:val="20"/>
        </w:rPr>
      </w:pPr>
      <w:r>
        <w:rPr>
          <w:rFonts w:ascii="Times New Roman" w:hAnsi="Times New Roman"/>
          <w:sz w:val="20"/>
        </w:rPr>
        <w:t xml:space="preserve">(c) At the effective time of conversion: </w:t>
      </w:r>
    </w:p>
    <w:p>
      <w:pPr>
        <w:pStyle w:val="TextBody"/>
        <w:bidi w:val="0"/>
        <w:spacing w:before="120" w:after="0"/>
        <w:jc w:val="left"/>
        <w:rPr>
          <w:rFonts w:ascii="Times New Roman" w:hAnsi="Times New Roman"/>
          <w:sz w:val="20"/>
        </w:rPr>
      </w:pPr>
      <w:r>
        <w:rPr>
          <w:rFonts w:ascii="Times New Roman" w:hAnsi="Times New Roman"/>
          <w:sz w:val="20"/>
        </w:rPr>
        <w:t xml:space="preserve">(i) the Partnership shall continue to exist, without interruption, but in the organizational form of the converted entity rather than in its prior organizational form; </w:t>
      </w:r>
    </w:p>
    <w:p>
      <w:pPr>
        <w:pStyle w:val="TextBody"/>
        <w:bidi w:val="0"/>
        <w:spacing w:before="120" w:after="0"/>
        <w:jc w:val="left"/>
        <w:rPr>
          <w:rFonts w:ascii="Times New Roman" w:hAnsi="Times New Roman"/>
          <w:sz w:val="20"/>
        </w:rPr>
      </w:pPr>
      <w:r>
        <w:rPr>
          <w:rFonts w:ascii="Times New Roman" w:hAnsi="Times New Roman"/>
          <w:sz w:val="20"/>
        </w:rPr>
        <w:t xml:space="preserve">(ii) all rights, title, and interests to all real estate and other property owned by the Partnership shall continue to be owned by the converted entity in its new organizational form without reversion or impairment, without further act or deed, and without any transfer or assignment having occurred, but subject to any existing liens or other encumbrances thereon; </w:t>
      </w:r>
    </w:p>
    <w:p>
      <w:pPr>
        <w:pStyle w:val="TextBody"/>
        <w:bidi w:val="0"/>
        <w:spacing w:before="120" w:after="0"/>
        <w:jc w:val="left"/>
        <w:rPr>
          <w:rFonts w:ascii="Times New Roman" w:hAnsi="Times New Roman"/>
          <w:sz w:val="20"/>
        </w:rPr>
      </w:pPr>
      <w:r>
        <w:rPr>
          <w:rFonts w:ascii="Times New Roman" w:hAnsi="Times New Roman"/>
          <w:sz w:val="20"/>
        </w:rPr>
        <w:t xml:space="preserve">(iii) all liabilities and obligations of the Partnership shall continue to be liabilities and obligations of the converted entity in its new organizational form without impairment or diminution by reason of the conversion; </w:t>
      </w:r>
    </w:p>
    <w:p>
      <w:pPr>
        <w:pStyle w:val="TextBody"/>
        <w:bidi w:val="0"/>
        <w:spacing w:before="120" w:after="0"/>
        <w:jc w:val="left"/>
        <w:rPr>
          <w:rFonts w:ascii="Times New Roman" w:hAnsi="Times New Roman"/>
          <w:sz w:val="20"/>
        </w:rPr>
      </w:pPr>
      <w:r>
        <w:rPr>
          <w:rFonts w:ascii="Times New Roman" w:hAnsi="Times New Roman"/>
          <w:sz w:val="20"/>
        </w:rPr>
        <w:t xml:space="preserve">(iv) all rights of creditors or other parties with respect to or against the prior interest holders or other owners of the Partnership in their capacities as such in existence as of the effective time of conversion will continue in existence as to those liabilities and obligations and may be pursued by such creditors and obligees as if the conversion did not occur; </w:t>
      </w:r>
    </w:p>
    <w:p>
      <w:pPr>
        <w:pStyle w:val="TextBody"/>
        <w:bidi w:val="0"/>
        <w:spacing w:before="120" w:after="0"/>
        <w:jc w:val="left"/>
        <w:rPr>
          <w:rFonts w:ascii="Times New Roman" w:hAnsi="Times New Roman"/>
          <w:sz w:val="20"/>
        </w:rPr>
      </w:pPr>
      <w:r>
        <w:rPr>
          <w:rFonts w:ascii="Times New Roman" w:hAnsi="Times New Roman"/>
          <w:sz w:val="20"/>
        </w:rPr>
        <w:t xml:space="preserve">(v) a proceeding pending by or against the Partnership or by or against any of Partners in their capacities as such may be continued by or against the converted entity in its new organizational form and by or against the prior partners without any need for substitution of parties; and (vi) the Partnership Securities that are to be converted into partnership interests, shares, evidences of ownership, or other securities in the converted entity as provided in the Plan of Conversion or certificate of conversion shall be so converted, and Partners shall be entitled only to the rights provided in the Plan of Conversion or certificate of conversion.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 merger, consolidation or conversion effected pursuant to this Article shall not be deemed to result in a transfer or assignment of assets or liabilities from one entity to another. </w:t>
      </w:r>
    </w:p>
    <w:p>
      <w:pPr>
        <w:pStyle w:val="TextBody"/>
        <w:bidi w:val="0"/>
        <w:spacing w:before="240" w:after="0"/>
        <w:jc w:val="left"/>
        <w:rPr>
          <w:rFonts w:ascii="Times New Roman" w:hAnsi="Times New Roman"/>
          <w:sz w:val="20"/>
        </w:rPr>
      </w:pPr>
      <w:r>
        <w:rPr>
          <w:rFonts w:ascii="Times New Roman" w:hAnsi="Times New Roman"/>
          <w:sz w:val="20"/>
        </w:rPr>
        <w:t xml:space="preserve">Section 14.5 </w:t>
      </w:r>
      <w:r>
        <w:rPr>
          <w:rFonts w:ascii="Times New Roman" w:hAnsi="Times New Roman"/>
          <w:sz w:val="20"/>
          <w:u w:val="single"/>
        </w:rPr>
        <w:t>Amendment of Partnership Agreement</w:t>
      </w:r>
      <w:r>
        <w:rPr>
          <w:rFonts w:ascii="Times New Roman" w:hAnsi="Times New Roman"/>
          <w:sz w:val="20"/>
        </w:rPr>
        <w:t xml:space="preserve">. Pursuant to Section 10.004(a)(1) of the Texas Limited Partnership Law, an agreement of merger or consolidation approved in accordance with Section 14.3(b) may (a) effect any amendment to this Agreement or (b) effect the adoption of a new partnership agreement for a limited partnership if it is the Surviving Business Entity. Any such amendment or adoption made pursuant to this </w:t>
      </w:r>
      <w:r>
        <w:rPr>
          <w:rFonts w:ascii="Times New Roman" w:hAnsi="Times New Roman"/>
          <w:sz w:val="20"/>
          <w:u w:val="single"/>
        </w:rPr>
        <w:t>Section 14.5</w:t>
      </w:r>
      <w:r>
        <w:rPr>
          <w:rFonts w:ascii="Times New Roman" w:hAnsi="Times New Roman"/>
          <w:sz w:val="20"/>
        </w:rPr>
        <w:t xml:space="preserve"> shall be effective at the effective time or date of the merger or consolidation.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XV </w:t>
      </w:r>
    </w:p>
    <w:p>
      <w:pPr>
        <w:pStyle w:val="TextBody"/>
        <w:bidi w:val="0"/>
        <w:spacing w:before="0" w:after="0"/>
        <w:jc w:val="center"/>
        <w:rPr>
          <w:rFonts w:ascii="Times New Roman" w:hAnsi="Times New Roman"/>
          <w:b/>
          <w:sz w:val="20"/>
        </w:rPr>
      </w:pPr>
      <w:r>
        <w:rPr>
          <w:rFonts w:ascii="Times New Roman" w:hAnsi="Times New Roman"/>
          <w:b/>
          <w:sz w:val="20"/>
        </w:rPr>
        <w:t xml:space="preserve">RIGHT TO ACQUIRE LIMITED PARTNER INTERESTS </w:t>
      </w:r>
    </w:p>
    <w:p>
      <w:pPr>
        <w:pStyle w:val="TextBody"/>
        <w:bidi w:val="0"/>
        <w:spacing w:before="240" w:after="0"/>
        <w:jc w:val="left"/>
        <w:rPr>
          <w:rFonts w:ascii="Times New Roman" w:hAnsi="Times New Roman"/>
          <w:sz w:val="20"/>
        </w:rPr>
      </w:pPr>
      <w:r>
        <w:rPr>
          <w:rFonts w:ascii="Times New Roman" w:hAnsi="Times New Roman"/>
          <w:sz w:val="20"/>
        </w:rPr>
        <w:t xml:space="preserve">Section 15.1 </w:t>
      </w:r>
      <w:r>
        <w:rPr>
          <w:rFonts w:ascii="Times New Roman" w:hAnsi="Times New Roman"/>
          <w:sz w:val="20"/>
          <w:u w:val="single"/>
        </w:rPr>
        <w:t>Right to Acquire Limited Partner Interests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 other provision of this Agreement, if at any time 90% or more of the total Limited Partner Interests of any class then Outstanding is held by the General Partner and its Affiliates, the General Partner shall then have the right, which right it may assign and transfer in whole or in part to the Partnership or any Affiliate of the General Partner, exercisable at its option, to purchase all, but not less than all, of such Limited Partner Interests of such class then Outstanding held by Persons other than the General Partner and its Affiliates, at the greater of (x) the Current Market Price as of the date three days prior to the date that the notice described in </w:t>
      </w:r>
      <w:r>
        <w:rPr>
          <w:rFonts w:ascii="Times New Roman" w:hAnsi="Times New Roman"/>
          <w:sz w:val="20"/>
          <w:u w:val="single"/>
        </w:rPr>
        <w:t>Article XV</w:t>
      </w:r>
      <w:r>
        <w:rPr>
          <w:rFonts w:ascii="Times New Roman" w:hAnsi="Times New Roman"/>
          <w:sz w:val="20"/>
        </w:rPr>
        <w:t xml:space="preserve"> is mailed and (y) the highest price paid by a General Partner or any of its Affiliates for any such Limited Partner Interest of such class purchased during the 90-day period preceding the date that the notice described in </w:t>
      </w:r>
      <w:r>
        <w:rPr>
          <w:rFonts w:ascii="Times New Roman" w:hAnsi="Times New Roman"/>
          <w:sz w:val="20"/>
          <w:u w:val="single"/>
        </w:rPr>
        <w:t>Section 15.1(b)</w:t>
      </w:r>
      <w:r>
        <w:rPr>
          <w:rFonts w:ascii="Times New Roman" w:hAnsi="Times New Roman"/>
          <w:sz w:val="20"/>
        </w:rPr>
        <w:t xml:space="preserve"> is mailed. As used in this Agreement, (i) “</w:t>
      </w:r>
      <w:r>
        <w:rPr>
          <w:rFonts w:ascii="Times New Roman" w:hAnsi="Times New Roman"/>
          <w:i/>
          <w:sz w:val="20"/>
        </w:rPr>
        <w:t>Current Market Price</w:t>
      </w:r>
      <w:r>
        <w:rPr>
          <w:rFonts w:ascii="Times New Roman" w:hAnsi="Times New Roman"/>
          <w:sz w:val="20"/>
        </w:rPr>
        <w:t>,” as of any date of any class of Limited Partner Interests listed or admitted to trading on any National Securities Exchange, means the average of the daily Closing Prices (as hereinafter defined) per limited partner interest of such class for the 20 consecutive Trading Days (as hereinafter defined) immediately prior to such date; (ii) “</w:t>
      </w:r>
      <w:r>
        <w:rPr>
          <w:rFonts w:ascii="Times New Roman" w:hAnsi="Times New Roman"/>
          <w:i/>
          <w:sz w:val="20"/>
        </w:rPr>
        <w:t>Closing Price</w:t>
      </w:r>
      <w:r>
        <w:rPr>
          <w:rFonts w:ascii="Times New Roman" w:hAnsi="Times New Roman"/>
          <w:sz w:val="20"/>
        </w:rPr>
        <w:t>” for any day means the last sale price on such day, regular way, or in case no such sale takes place on such day, the average of the closing bid and asked prices on such day, regular way, in either case as reported in the principal consolidated transaction reporting system with respect to securities listed or admitted for trading on the principal National Securities Exchange on which such Limited Partner Interests of such class are listed or admitted to trading or, if such Limited Partner Interests of such class are not listed or admitted to trading on any National Securities Exchange, the last quoted price on such day or, if not so quoted, the average of the high bid and low asked prices on such day in the over-the-counter market, as reported by the Nasdaq or any other system then in use, or, if on any such day such Limited Partner Interests of such class are not quoted by any such organization, the average of the closing bid and asked prices on such day as furnished by a professional market maker making a market in such Limited Partner Interests of such class selected by the General Partner, or if on any such day no market maker is making a market in such Limited Partner Interests of such class, the fair value of such Limited Partner Interests on such day as determined by the General Partner; and (iii) “</w:t>
      </w:r>
      <w:r>
        <w:rPr>
          <w:rFonts w:ascii="Times New Roman" w:hAnsi="Times New Roman"/>
          <w:i/>
          <w:sz w:val="20"/>
        </w:rPr>
        <w:t>Trading Day</w:t>
      </w:r>
      <w:r>
        <w:rPr>
          <w:rFonts w:ascii="Times New Roman" w:hAnsi="Times New Roman"/>
          <w:sz w:val="20"/>
        </w:rPr>
        <w:t xml:space="preserve">” means a day on which the principal National Securities Exchange on which such Limited Partner Interests of any class are listed or admitted to trading is open for the transaction of business or, if Limited Partner Interests of a class are not listed or admitted to trading on any National Securities Exchange, a day on which banking institutions in New York City generally are open.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the General Partner, any Affiliate of the General Partner or the Partnership elects to exercise the right to purchase Limited Partner Interests granted pursuant to </w:t>
      </w:r>
      <w:r>
        <w:rPr>
          <w:rFonts w:ascii="Times New Roman" w:hAnsi="Times New Roman"/>
          <w:sz w:val="20"/>
          <w:u w:val="single"/>
        </w:rPr>
        <w:t>Section 15.1(a)</w:t>
      </w:r>
      <w:r>
        <w:rPr>
          <w:rFonts w:ascii="Times New Roman" w:hAnsi="Times New Roman"/>
          <w:sz w:val="20"/>
        </w:rPr>
        <w:t>, the General Partner shall deliver to the Transfer Agent notice of such election to purchase (the “</w:t>
      </w:r>
      <w:r>
        <w:rPr>
          <w:rFonts w:ascii="Times New Roman" w:hAnsi="Times New Roman"/>
          <w:i/>
          <w:sz w:val="20"/>
        </w:rPr>
        <w:t>Notice of Election to Purchase</w:t>
      </w:r>
      <w:r>
        <w:rPr>
          <w:rFonts w:ascii="Times New Roman" w:hAnsi="Times New Roman"/>
          <w:sz w:val="20"/>
        </w:rPr>
        <w:t xml:space="preserve">”) and shall cause the Transfer Agent to mail a copy of such Notice of Election to Purchase to the Record Holders of Limited Partner Interests of such class or classes (as of a Record Date selected by the General Partner) at least 10, but not more than 60, days prior to the Purchase Date. Such Notice of Election to Purchase shall also be published for a period of at least three consecutive days in at least two daily newspapers of general circulation printed in the English language and published in the Borough of Manhattan, New York. The Notice of Election to Purchase shall specify the Purchase Date and the price (determined in accordance with </w:t>
      </w:r>
      <w:r>
        <w:rPr>
          <w:rFonts w:ascii="Times New Roman" w:hAnsi="Times New Roman"/>
          <w:sz w:val="20"/>
          <w:u w:val="single"/>
        </w:rPr>
        <w:t>Section 15.1(a)</w:t>
      </w:r>
      <w:r>
        <w:rPr>
          <w:rFonts w:ascii="Times New Roman" w:hAnsi="Times New Roman"/>
          <w:sz w:val="20"/>
        </w:rPr>
        <w:t xml:space="preserve">) at which Limited Partner Interests will be purchased and state that the General Partner, its Affiliate or the Partnership, as the case may be, elects to purchase such Limited Partner Interests, upon surrender of Certificates representing such Limited Partner Interests in exchange for payment, at such office or offices of the Transfer Agent as the Transfer Agent may specify, or as may be required by any National Securities Exchange on which such Limited Partner Interests are listed or admitted for trading. Any such Notice of Election to Purchase mailed to a Record Holder of Limited Partner Interests at his address as reflected in the records of the Transfer Agent shall be conclusively presumed to have been given regardless of whether the owner receives such notice. On or prior to the Purchase Date, the General Partner, its Affiliate or the Partnership, as the case may be, shall deposit with the Transfer Agent cash in an amount sufficient to pay the aggregate purchase price of all of such Limited Partner Interests to be purchased in accordance with this </w:t>
      </w:r>
      <w:r>
        <w:rPr>
          <w:rFonts w:ascii="Times New Roman" w:hAnsi="Times New Roman"/>
          <w:sz w:val="20"/>
          <w:u w:val="single"/>
        </w:rPr>
        <w:t>Section 15.1</w:t>
      </w:r>
      <w:r>
        <w:rPr>
          <w:rFonts w:ascii="Times New Roman" w:hAnsi="Times New Roman"/>
          <w:sz w:val="20"/>
        </w:rPr>
        <w:t xml:space="preserve">. If the Notice of Election to Purchase shall have been duly given as aforesaid at least 10 days prior to the Purchase Date, and if on or prior to the Purchase Date the deposit described in the preceding sentence has been made for the benefit of the holders of Limited Partner Interests subject to purchase as provided herein, then from and after the Purchase Date, notwithstanding that any Certificate shall not have been surrendered for purchase, all rights of the holders of such Limited Partner Interests (including any rights pursuant to </w:t>
      </w:r>
      <w:r>
        <w:rPr>
          <w:rFonts w:ascii="Times New Roman" w:hAnsi="Times New Roman"/>
          <w:sz w:val="20"/>
          <w:u w:val="single"/>
        </w:rPr>
        <w:t>Articles IV</w:t>
      </w:r>
      <w:r>
        <w:rPr>
          <w:rFonts w:ascii="Times New Roman" w:hAnsi="Times New Roman"/>
          <w:sz w:val="20"/>
        </w:rPr>
        <w:t xml:space="preserve">, </w:t>
      </w:r>
      <w:r>
        <w:rPr>
          <w:rFonts w:ascii="Times New Roman" w:hAnsi="Times New Roman"/>
          <w:sz w:val="20"/>
          <w:u w:val="single"/>
        </w:rPr>
        <w:t>V</w:t>
      </w:r>
      <w:r>
        <w:rPr>
          <w:rFonts w:ascii="Times New Roman" w:hAnsi="Times New Roman"/>
          <w:sz w:val="20"/>
        </w:rPr>
        <w:t xml:space="preserve">, </w:t>
      </w:r>
      <w:r>
        <w:rPr>
          <w:rFonts w:ascii="Times New Roman" w:hAnsi="Times New Roman"/>
          <w:sz w:val="20"/>
          <w:u w:val="single"/>
        </w:rPr>
        <w:t>VI</w:t>
      </w:r>
      <w:r>
        <w:rPr>
          <w:rFonts w:ascii="Times New Roman" w:hAnsi="Times New Roman"/>
          <w:sz w:val="20"/>
        </w:rPr>
        <w:t xml:space="preserve"> and </w:t>
      </w:r>
      <w:r>
        <w:rPr>
          <w:rFonts w:ascii="Times New Roman" w:hAnsi="Times New Roman"/>
          <w:sz w:val="20"/>
          <w:u w:val="single"/>
        </w:rPr>
        <w:t>XII</w:t>
      </w:r>
      <w:r>
        <w:rPr>
          <w:rFonts w:ascii="Times New Roman" w:hAnsi="Times New Roman"/>
          <w:sz w:val="20"/>
        </w:rPr>
        <w:t xml:space="preserve">) shall thereupon cease, except the right to receive the purchase price (determined in accordance with </w:t>
      </w:r>
      <w:r>
        <w:rPr>
          <w:rFonts w:ascii="Times New Roman" w:hAnsi="Times New Roman"/>
          <w:sz w:val="20"/>
          <w:u w:val="single"/>
        </w:rPr>
        <w:t>Section 15.1(a)</w:t>
      </w:r>
      <w:r>
        <w:rPr>
          <w:rFonts w:ascii="Times New Roman" w:hAnsi="Times New Roman"/>
          <w:sz w:val="20"/>
        </w:rPr>
        <w:t xml:space="preserve">) for Limited Partner Interests therefor, without interest, upon surrender to the Transfer Agent of the Certificates representing such Limited Partner Interests, and such Limited Partner Interests shall thereupon be deemed to be transferred to the General Partner, its Affiliate or the Partnership, as the case may be, on the record books of the Transfer Agent and the Partnership, and the General Partner or any Affiliate of the General Partner, or the Partnership, as the case may be, shall be deemed to be the owner of all such Limited Partner Interests from and after the Purchase Date and shall have all rights as the owner of such Limited Partner Interests (including all rights as owner of such Limited Partner Interests pursuant to </w:t>
      </w:r>
      <w:r>
        <w:rPr>
          <w:rFonts w:ascii="Times New Roman" w:hAnsi="Times New Roman"/>
          <w:sz w:val="20"/>
          <w:u w:val="single"/>
        </w:rPr>
        <w:t>Articles IV</w:t>
      </w:r>
      <w:r>
        <w:rPr>
          <w:rFonts w:ascii="Times New Roman" w:hAnsi="Times New Roman"/>
          <w:sz w:val="20"/>
        </w:rPr>
        <w:t xml:space="preserve">, </w:t>
      </w:r>
      <w:r>
        <w:rPr>
          <w:rFonts w:ascii="Times New Roman" w:hAnsi="Times New Roman"/>
          <w:sz w:val="20"/>
          <w:u w:val="single"/>
        </w:rPr>
        <w:t>V</w:t>
      </w:r>
      <w:r>
        <w:rPr>
          <w:rFonts w:ascii="Times New Roman" w:hAnsi="Times New Roman"/>
          <w:sz w:val="20"/>
        </w:rPr>
        <w:t xml:space="preserve">, </w:t>
      </w:r>
      <w:r>
        <w:rPr>
          <w:rFonts w:ascii="Times New Roman" w:hAnsi="Times New Roman"/>
          <w:sz w:val="20"/>
          <w:u w:val="single"/>
        </w:rPr>
        <w:t>VI</w:t>
      </w:r>
      <w:r>
        <w:rPr>
          <w:rFonts w:ascii="Times New Roman" w:hAnsi="Times New Roman"/>
          <w:sz w:val="20"/>
        </w:rPr>
        <w:t xml:space="preserve"> and </w:t>
      </w:r>
      <w:r>
        <w:rPr>
          <w:rFonts w:ascii="Times New Roman" w:hAnsi="Times New Roman"/>
          <w:sz w:val="20"/>
          <w:u w:val="single"/>
        </w:rPr>
        <w:t>XII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At any time from and after the Purchase Date, a holder of an Outstanding Limited Partner Interest subject to purchase as provided in this </w:t>
      </w:r>
      <w:r>
        <w:rPr>
          <w:rFonts w:ascii="Times New Roman" w:hAnsi="Times New Roman"/>
          <w:sz w:val="20"/>
          <w:u w:val="single"/>
        </w:rPr>
        <w:t>Section 15.1</w:t>
      </w:r>
      <w:r>
        <w:rPr>
          <w:rFonts w:ascii="Times New Roman" w:hAnsi="Times New Roman"/>
          <w:sz w:val="20"/>
        </w:rPr>
        <w:t xml:space="preserve"> may surrender his Certificate evidencing such Limited Partner Interest to the Transfer Agent in exchange for payment of the amount described in </w:t>
      </w:r>
      <w:r>
        <w:rPr>
          <w:rFonts w:ascii="Times New Roman" w:hAnsi="Times New Roman"/>
          <w:sz w:val="20"/>
          <w:u w:val="single"/>
        </w:rPr>
        <w:t>Section 15.1(a)</w:t>
      </w:r>
      <w:r>
        <w:rPr>
          <w:rFonts w:ascii="Times New Roman" w:hAnsi="Times New Roman"/>
          <w:sz w:val="20"/>
        </w:rPr>
        <w:t xml:space="preserve">, therefor, without interest thereon.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in </w:t>
      </w:r>
      <w:r>
        <w:rPr>
          <w:rFonts w:ascii="Times New Roman" w:hAnsi="Times New Roman"/>
          <w:sz w:val="20"/>
          <w:u w:val="single"/>
        </w:rPr>
        <w:t>Article XIII</w:t>
      </w:r>
      <w:r>
        <w:rPr>
          <w:rFonts w:ascii="Times New Roman" w:hAnsi="Times New Roman"/>
          <w:sz w:val="20"/>
        </w:rPr>
        <w:t xml:space="preserve"> to the contrary, this Article cannot be amended without the affirmative vote of the holders of not less than 90% of the Outstanding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XVI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16.1 </w:t>
      </w:r>
      <w:r>
        <w:rPr>
          <w:rFonts w:ascii="Times New Roman" w:hAnsi="Times New Roman"/>
          <w:sz w:val="20"/>
          <w:u w:val="single"/>
        </w:rPr>
        <w:t>Addresses and Notices</w:t>
      </w:r>
      <w:r>
        <w:rPr>
          <w:rFonts w:ascii="Times New Roman" w:hAnsi="Times New Roman"/>
          <w:sz w:val="20"/>
        </w:rPr>
        <w:t xml:space="preserve">. Any notice, demand, request, report or proxy materials required or permitted to be given or made to a Partner or Assignee under this Agreement shall be in writing and shall be deemed given or made when delivered in person or when sent by first class United States mail or by other means of written communication to the Partner or Assignee at the address described below. Any notice, payment or report to be given or made to a Partner or Assignee hereunder shall be deemed conclusively to have been given or made, and the obligation to give such notice or report or to make such payment shall be deemed conclusively to have been fully satisfied, upon sending of such notice, payment or report to the Record Holder of such Partnership Securities at his address as shown on the records of the Transfer Agent or as otherwise shown on the records of the Partnership, regardless of any claim of any Person who may have an interest in such Partnership Securities by reason of any assignment or otherwise. An affidavit or certificate of making of any notice, payment or report in accordance with the provisions of this </w:t>
      </w:r>
      <w:r>
        <w:rPr>
          <w:rFonts w:ascii="Times New Roman" w:hAnsi="Times New Roman"/>
          <w:sz w:val="20"/>
          <w:u w:val="single"/>
        </w:rPr>
        <w:t>Section 16.1</w:t>
      </w:r>
      <w:r>
        <w:rPr>
          <w:rFonts w:ascii="Times New Roman" w:hAnsi="Times New Roman"/>
          <w:sz w:val="20"/>
        </w:rPr>
        <w:t xml:space="preserve"> executed by the General Partner, the Transfer Agent or the mailing organization shall be prima facie evidence of the giving or making of such notice, payment or report. If any notice, payment or report addressed to a Record Holder at the address of such Record Holder appearing on the books and records of the Transfer Agent or the Partnership is returned by the United States Postal Service marked to indicate that the United States Postal Service is unable to deliver it, such notice, payment or report and any subsequent notices, payments and reports shall be deemed to have been duly given or made without further mailing (until such time as such Record Holder or another Person notifies the Transfer Agent or the Partnership of a change in his address) if they are available for the Partner or Assignee at the principal office of the Partnership for a period of one year from the date of the giving or making of such notice, payment or report to the other Partners and Assignees. Any notice to the Partnership shall be deemed given if received by the General Partner at the principal office of the Partnership designated pursuant to </w:t>
      </w:r>
      <w:r>
        <w:rPr>
          <w:rFonts w:ascii="Times New Roman" w:hAnsi="Times New Roman"/>
          <w:sz w:val="20"/>
          <w:u w:val="single"/>
        </w:rPr>
        <w:t>Section 2.3</w:t>
      </w:r>
      <w:r>
        <w:rPr>
          <w:rFonts w:ascii="Times New Roman" w:hAnsi="Times New Roman"/>
          <w:sz w:val="20"/>
        </w:rPr>
        <w:t xml:space="preserve">. The General Partner may rely and shall be protected in relying on any notice or other document from a Partner or Assignee or other Person if believed by it to be genuine. </w:t>
      </w:r>
    </w:p>
    <w:p>
      <w:pPr>
        <w:pStyle w:val="TextBody"/>
        <w:bidi w:val="0"/>
        <w:spacing w:before="240" w:after="0"/>
        <w:jc w:val="left"/>
        <w:rPr>
          <w:rFonts w:ascii="Times New Roman" w:hAnsi="Times New Roman"/>
          <w:sz w:val="20"/>
        </w:rPr>
      </w:pPr>
      <w:r>
        <w:rPr>
          <w:rFonts w:ascii="Times New Roman" w:hAnsi="Times New Roman"/>
          <w:sz w:val="20"/>
        </w:rPr>
        <w:t xml:space="preserve">Section 16.2 </w:t>
      </w:r>
      <w:r>
        <w:rPr>
          <w:rFonts w:ascii="Times New Roman" w:hAnsi="Times New Roman"/>
          <w:sz w:val="20"/>
          <w:u w:val="single"/>
        </w:rPr>
        <w:t>Further Action</w:t>
      </w:r>
      <w:r>
        <w:rPr>
          <w:rFonts w:ascii="Times New Roman" w:hAnsi="Times New Roman"/>
          <w:sz w:val="20"/>
        </w:rPr>
        <w:t xml:space="preserve">. The parties shall execute and deliver all documents, provide all information and take or refrain from taking action as may be necessary or appropriate to achieve the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16.3 </w:t>
      </w:r>
      <w:r>
        <w:rPr>
          <w:rFonts w:ascii="Times New Roman" w:hAnsi="Times New Roman"/>
          <w:sz w:val="20"/>
          <w:u w:val="single"/>
        </w:rPr>
        <w:t>Binding Effect</w:t>
      </w:r>
      <w:r>
        <w:rPr>
          <w:rFonts w:ascii="Times New Roman" w:hAnsi="Times New Roman"/>
          <w:sz w:val="20"/>
        </w:rPr>
        <w:t xml:space="preserve">. This Agreement shall be binding upon and inure to the benefit of the parties hereto and their heirs, executors, administrators, successors, legal representatives and permitted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16.4 </w:t>
      </w:r>
      <w:r>
        <w:rPr>
          <w:rFonts w:ascii="Times New Roman" w:hAnsi="Times New Roman"/>
          <w:sz w:val="20"/>
          <w:u w:val="single"/>
        </w:rPr>
        <w:t>Integration</w:t>
      </w:r>
      <w:r>
        <w:rPr>
          <w:rFonts w:ascii="Times New Roman" w:hAnsi="Times New Roman"/>
          <w:sz w:val="20"/>
        </w:rPr>
        <w:t xml:space="preserve">. This Agreement constitutes the entire agreement among the parties hereto pertaining to the subject matter hereof and supersedes all prior agreements and understandings pertaining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16.5 </w:t>
      </w:r>
      <w:r>
        <w:rPr>
          <w:rFonts w:ascii="Times New Roman" w:hAnsi="Times New Roman"/>
          <w:sz w:val="20"/>
          <w:u w:val="single"/>
        </w:rPr>
        <w:t>Creditors</w:t>
      </w:r>
      <w:r>
        <w:rPr>
          <w:rFonts w:ascii="Times New Roman" w:hAnsi="Times New Roman"/>
          <w:sz w:val="20"/>
        </w:rPr>
        <w:t xml:space="preserve">. None of the provisions of this Agreement shall be for the benefit of, or shall be enforceable by, any creditor of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Section 16.6 </w:t>
      </w:r>
      <w:r>
        <w:rPr>
          <w:rFonts w:ascii="Times New Roman" w:hAnsi="Times New Roman"/>
          <w:sz w:val="20"/>
          <w:u w:val="single"/>
        </w:rPr>
        <w:t>Waiver</w:t>
      </w:r>
      <w:r>
        <w:rPr>
          <w:rFonts w:ascii="Times New Roman" w:hAnsi="Times New Roman"/>
          <w:sz w:val="20"/>
        </w:rPr>
        <w:t xml:space="preserve">.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16.7 </w:t>
      </w:r>
      <w:r>
        <w:rPr>
          <w:rFonts w:ascii="Times New Roman" w:hAnsi="Times New Roman"/>
          <w:sz w:val="20"/>
          <w:u w:val="single"/>
        </w:rPr>
        <w:t>Counterparts</w:t>
      </w:r>
      <w:r>
        <w:rPr>
          <w:rFonts w:ascii="Times New Roman" w:hAnsi="Times New Roman"/>
          <w:sz w:val="20"/>
        </w:rPr>
        <w:t xml:space="preserve">. 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 or, in the case of a Person acquiring a Limited Partner Interest upon accepting the certificate evidencing such Limited Partner Interest or executing and delivering a Transfer Application as herein described, independently of the signature of any other party. </w:t>
      </w:r>
    </w:p>
    <w:p>
      <w:pPr>
        <w:pStyle w:val="TextBody"/>
        <w:bidi w:val="0"/>
        <w:spacing w:before="240" w:after="0"/>
        <w:jc w:val="left"/>
        <w:rPr>
          <w:rFonts w:ascii="Times New Roman" w:hAnsi="Times New Roman"/>
          <w:sz w:val="20"/>
        </w:rPr>
      </w:pPr>
      <w:r>
        <w:rPr>
          <w:rFonts w:ascii="Times New Roman" w:hAnsi="Times New Roman"/>
          <w:sz w:val="20"/>
        </w:rPr>
        <w:t xml:space="preserve">Section 16.8 </w:t>
      </w:r>
      <w:r>
        <w:rPr>
          <w:rFonts w:ascii="Times New Roman" w:hAnsi="Times New Roman"/>
          <w:sz w:val="20"/>
          <w:u w:val="single"/>
        </w:rPr>
        <w:t>Applicable Law</w:t>
      </w:r>
      <w:r>
        <w:rPr>
          <w:rFonts w:ascii="Times New Roman" w:hAnsi="Times New Roman"/>
          <w:sz w:val="20"/>
        </w:rPr>
        <w:t xml:space="preserve">. This Agreement shall be construed in accordance with and governed by the laws of the State of Texas, without regard to the principles of conflicts of law. </w:t>
      </w:r>
    </w:p>
    <w:p>
      <w:pPr>
        <w:pStyle w:val="TextBody"/>
        <w:bidi w:val="0"/>
        <w:spacing w:before="240" w:after="0"/>
        <w:jc w:val="left"/>
        <w:rPr>
          <w:rFonts w:ascii="Times New Roman" w:hAnsi="Times New Roman"/>
          <w:sz w:val="20"/>
        </w:rPr>
      </w:pPr>
      <w:r>
        <w:rPr>
          <w:rFonts w:ascii="Times New Roman" w:hAnsi="Times New Roman"/>
          <w:sz w:val="20"/>
        </w:rPr>
        <w:t xml:space="preserve">Section 16.9 </w:t>
      </w:r>
      <w:r>
        <w:rPr>
          <w:rFonts w:ascii="Times New Roman" w:hAnsi="Times New Roman"/>
          <w:sz w:val="20"/>
          <w:u w:val="single"/>
        </w:rPr>
        <w:t>Invalidity of Provisions</w:t>
      </w:r>
      <w:r>
        <w:rPr>
          <w:rFonts w:ascii="Times New Roman" w:hAnsi="Times New Roman"/>
          <w:sz w:val="20"/>
        </w:rPr>
        <w:t xml:space="preserve">. If any provision of this Agreement is or becomes invalid, illegal or unenforceable in any respect, the validity, legality and enforceability of the remaining provisions contained herein shall not be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16.10 </w:t>
      </w:r>
      <w:r>
        <w:rPr>
          <w:rFonts w:ascii="Times New Roman" w:hAnsi="Times New Roman"/>
          <w:sz w:val="20"/>
          <w:u w:val="single"/>
        </w:rPr>
        <w:t>Consent of Partners</w:t>
      </w:r>
      <w:r>
        <w:rPr>
          <w:rFonts w:ascii="Times New Roman" w:hAnsi="Times New Roman"/>
          <w:sz w:val="20"/>
        </w:rPr>
        <w:t xml:space="preserve">. Each Limited Partner hereby expressly consents and agrees that, whenever in this Agreement it is specified that an action may be taken upon the affirmative vote or consent of less than all of the Partners, such action may be so taken upon the concurrence of less than all of the Partners and each Partner shall be bound by the results of such action. </w:t>
      </w:r>
    </w:p>
    <w:p>
      <w:pPr>
        <w:pStyle w:val="TextBody"/>
        <w:bidi w:val="0"/>
        <w:spacing w:before="240" w:after="0"/>
        <w:jc w:val="left"/>
        <w:rPr>
          <w:rFonts w:ascii="Times New Roman" w:hAnsi="Times New Roman"/>
          <w:sz w:val="20"/>
        </w:rPr>
      </w:pPr>
      <w:r>
        <w:rPr>
          <w:rFonts w:ascii="Times New Roman" w:hAnsi="Times New Roman"/>
          <w:sz w:val="20"/>
        </w:rPr>
        <w:t xml:space="preserve">Section 16.11 </w:t>
      </w:r>
      <w:r>
        <w:rPr>
          <w:rFonts w:ascii="Times New Roman" w:hAnsi="Times New Roman"/>
          <w:sz w:val="20"/>
          <w:u w:val="single"/>
        </w:rPr>
        <w:t>Facsimile Signatures</w:t>
      </w:r>
      <w:r>
        <w:rPr>
          <w:rFonts w:ascii="Times New Roman" w:hAnsi="Times New Roman"/>
          <w:sz w:val="20"/>
        </w:rPr>
        <w:t xml:space="preserve">. The use of facsimile signatures affixed in the name and on behalf of the transfer agent and registrar of the Partnership on certificates representing Common Units is expressly permitted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16.12 </w:t>
      </w:r>
      <w:r>
        <w:rPr>
          <w:rFonts w:ascii="Times New Roman" w:hAnsi="Times New Roman"/>
          <w:sz w:val="20"/>
          <w:u w:val="single"/>
        </w:rPr>
        <w:t>Third Party Beneficiaries</w:t>
      </w:r>
      <w:r>
        <w:rPr>
          <w:rFonts w:ascii="Times New Roman" w:hAnsi="Times New Roman"/>
          <w:sz w:val="20"/>
        </w:rPr>
        <w:t xml:space="preserve">. Each Limited Partner agrees that any Indemnitee shall be entitled to assert rights and remedies hereunder as a third party beneficiary hereto with respect to those provisions of this Agreement affording a right, benefit or privilege to such Indemnitee.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Rest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LE GP, LLC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/s/ Dylan A. Bramhall</w:t>
            </w:r>
          </w:p>
        </w:tc>
      </w:tr>
      <w:tr>
        <w:trPr/>
        <w:tc>
          <w:tcPr>
            <w:tcW w:w="672"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Dylan A. Bramhall</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Executive Vice President and Group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LIMITED PARTNERS: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 xml:space="preserve">All Limited Partners now and hereafter admitted as Limited Partners of the Partnership, pursuant to powers of attorney now and hereafter executed in favor of, and granted and delivered to the General Partner or without execution hereof pursuant to </w:t>
            </w:r>
            <w:r>
              <w:rPr>
                <w:u w:val="single"/>
              </w:rPr>
              <w:t>Section 10.1(a)</w:t>
            </w:r>
            <w:r>
              <w:rPr/>
              <w:t>.</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vAlign w:val="bottom"/>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b/>
              </w:rPr>
            </w:pPr>
            <w:r>
              <w:rPr>
                <w:b/>
              </w:rPr>
              <w:t>LE GP,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General Partner, as attorney-in-fact for the Limited Partners pursuant to the Powers of Attorney granted pursuant to Section 2.6.</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/s/ Dylan A. Bramhall</w:t>
            </w:r>
          </w:p>
        </w:tc>
      </w:tr>
      <w:tr>
        <w:trPr/>
        <w:tc>
          <w:tcPr>
            <w:tcW w:w="672"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Dylan A. Bramhall</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Executive Vice President and Group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to the Agreement of Limited Partnership of </w:t>
      </w:r>
    </w:p>
    <w:p>
      <w:pPr>
        <w:pStyle w:val="TextBody"/>
        <w:bidi w:val="0"/>
        <w:spacing w:before="240" w:after="0"/>
        <w:jc w:val="center"/>
        <w:rPr>
          <w:rFonts w:ascii="Times New Roman" w:hAnsi="Times New Roman"/>
          <w:b/>
          <w:sz w:val="20"/>
        </w:rPr>
      </w:pPr>
      <w:r>
        <w:rPr>
          <w:rFonts w:ascii="Times New Roman" w:hAnsi="Times New Roman"/>
          <w:b/>
          <w:sz w:val="20"/>
        </w:rPr>
        <w:t xml:space="preserve">Energy Transfer LP Certificate Evidencing Common Units </w:t>
      </w:r>
    </w:p>
    <w:p>
      <w:pPr>
        <w:pStyle w:val="TextBody"/>
        <w:bidi w:val="0"/>
        <w:spacing w:before="240" w:after="0"/>
        <w:jc w:val="center"/>
        <w:rPr>
          <w:rFonts w:ascii="Times New Roman" w:hAnsi="Times New Roman"/>
          <w:b/>
          <w:sz w:val="20"/>
        </w:rPr>
      </w:pPr>
      <w:r>
        <w:rPr>
          <w:rFonts w:ascii="Times New Roman" w:hAnsi="Times New Roman"/>
          <w:b/>
          <w:sz w:val="20"/>
        </w:rPr>
        <w:t xml:space="preserve">Representing Limited Partner Interests in Energy Transfer LP </w:t>
      </w:r>
    </w:p>
    <w:p>
      <w:pPr>
        <w:pStyle w:val="TextBody"/>
        <w:bidi w:val="0"/>
        <w:spacing w:before="360" w:after="0"/>
        <w:jc w:val="left"/>
        <w:rPr>
          <w:rFonts w:ascii="Times New Roman" w:hAnsi="Times New Roman"/>
          <w:sz w:val="20"/>
        </w:rPr>
      </w:pPr>
      <w:r>
        <w:rPr>
          <w:rFonts w:ascii="Times New Roman" w:hAnsi="Times New Roman"/>
          <w:sz w:val="20"/>
        </w:rPr>
        <w:t xml:space="preserve">No. _______________                                      _______________ Common Units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w:t>
      </w:r>
      <w:r>
        <w:rPr>
          <w:rFonts w:ascii="Times New Roman" w:hAnsi="Times New Roman"/>
          <w:sz w:val="20"/>
          <w:u w:val="single"/>
        </w:rPr>
        <w:t>Section 4.1</w:t>
      </w:r>
      <w:r>
        <w:rPr>
          <w:rFonts w:ascii="Times New Roman" w:hAnsi="Times New Roman"/>
          <w:sz w:val="20"/>
        </w:rPr>
        <w:t xml:space="preserve"> of the Agreement of Limited Partnership of Energy Transfer LP, as amended, supplemented or restated from time to time (the “</w:t>
      </w:r>
      <w:r>
        <w:rPr>
          <w:rFonts w:ascii="Times New Roman" w:hAnsi="Times New Roman"/>
          <w:i/>
          <w:sz w:val="20"/>
        </w:rPr>
        <w:t>Partnership Agreement</w:t>
      </w:r>
      <w:r>
        <w:rPr>
          <w:rFonts w:ascii="Times New Roman" w:hAnsi="Times New Roman"/>
          <w:sz w:val="20"/>
        </w:rPr>
        <w:t>”), Energy Transfer LP, a Texas limited partnership (the “</w:t>
      </w:r>
      <w:r>
        <w:rPr>
          <w:rFonts w:ascii="Times New Roman" w:hAnsi="Times New Roman"/>
          <w:i/>
          <w:sz w:val="20"/>
        </w:rPr>
        <w:t>Partnership</w:t>
      </w:r>
      <w:r>
        <w:rPr>
          <w:rFonts w:ascii="Times New Roman" w:hAnsi="Times New Roman"/>
          <w:sz w:val="20"/>
        </w:rPr>
        <w:t>”), hereby certifies that ___________________ (the “</w:t>
      </w:r>
      <w:r>
        <w:rPr>
          <w:rFonts w:ascii="Times New Roman" w:hAnsi="Times New Roman"/>
          <w:i/>
          <w:sz w:val="20"/>
        </w:rPr>
        <w:t>Holder</w:t>
      </w:r>
      <w:r>
        <w:rPr>
          <w:rFonts w:ascii="Times New Roman" w:hAnsi="Times New Roman"/>
          <w:sz w:val="20"/>
        </w:rPr>
        <w:t>”) is the registered owner of Common Units representing limited partner interests in the Partnership (the “</w:t>
      </w:r>
      <w:r>
        <w:rPr>
          <w:rFonts w:ascii="Times New Roman" w:hAnsi="Times New Roman"/>
          <w:i/>
          <w:sz w:val="20"/>
        </w:rPr>
        <w:t>Common Units</w:t>
      </w:r>
      <w:r>
        <w:rPr>
          <w:rFonts w:ascii="Times New Roman" w:hAnsi="Times New Roman"/>
          <w:sz w:val="20"/>
        </w:rPr>
        <w:t xml:space="preserve">”) transferable on the books of the Partnership, in person or by duly authorized attorney, upon surrender of this Certificate properly endorsed and accompanied by a properly executed application for transfer of the Common Units represented by this Certificate. The rights, preferences and limitations of the Common Units are set forth in, and this Certificate and the Common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8111 Westchester Drive, Suite 600, Dallas, Texas 75225. Capitalized terms used herein but not defined shall have the meanings given them in the Partnership Agreement. </w:t>
      </w:r>
    </w:p>
    <w:p>
      <w:pPr>
        <w:pStyle w:val="TextBody"/>
        <w:bidi w:val="0"/>
        <w:spacing w:before="240" w:after="0"/>
        <w:jc w:val="left"/>
        <w:rPr>
          <w:rFonts w:ascii="Times New Roman" w:hAnsi="Times New Roman"/>
          <w:sz w:val="20"/>
        </w:rPr>
      </w:pPr>
      <w:r>
        <w:rPr>
          <w:rFonts w:ascii="Times New Roman" w:hAnsi="Times New Roman"/>
          <w:sz w:val="20"/>
        </w:rPr>
        <w:t xml:space="preserve">The Holder, by accepting this Certificate, is deemed to have (i) requested admission as, and agreed to become, a Limited Partner and to have agreed to comply with and be bound by and to have executed the Partnership Agreement, (ii) represented and warranted that the Holder has all right, power and authority and, if an individual, the capacity necessary to enter into the Partnership Agreement, (iii) granted the powers of attorney provided for in the Partnership Agreement and (iv) made the waivers and given the consents and approvals contained in the Partnership Agreement. </w:t>
      </w:r>
    </w:p>
    <w:p>
      <w:pPr>
        <w:pStyle w:val="TextBody"/>
        <w:bidi w:val="0"/>
        <w:spacing w:before="240" w:after="0"/>
        <w:jc w:val="left"/>
        <w:rPr>
          <w:rFonts w:ascii="Times New Roman" w:hAnsi="Times New Roman"/>
          <w:sz w:val="20"/>
        </w:rPr>
      </w:pPr>
      <w:r>
        <w:rPr>
          <w:rFonts w:ascii="Times New Roman" w:hAnsi="Times New Roman"/>
          <w:sz w:val="20"/>
        </w:rPr>
        <w:t xml:space="preserve">THE HOLDER OF THIS SECURITY ACKNOWLEDGES FOR THE BENEFIT OF ENERGY TRANSFER LP THAT THIS SECURITY MAY NOT BE SOLD, OFFERED, RESOLD, PLEDGED OR OTHERWISE TRANSFERRED IF SUCH TRANSFER WOULD (A) VIOLATE THE THEN APPLICABLE FEDERAL OR STATE SECURITIES LAWS OR RULES AND REGULATIONS OF THE SECURITIES AND EXCHANGE COMMISSION, ANY STATE SECURITIES COMMISSION OR ANY OTHER GOVERNMENTAL AUTHORITY WITH JURISDICTION OVER SUCH TRANSFER, (B) TERMINATE THE EXISTENCE OR QUALIFICATION OF ENERGY TRANSFER LP UNDER THE LAWS OF THE STATE OF TEXAS, OR (C) CAUSE ENERGY TRANSFER LP TO BE TREATED AS AN ASSOCIATION TAXABLE AS A CORPORATION OR OTHERWISE TO BE TAXED AS AN ENTITY FOR FEDERAL INCOME TAX PURPOSES (TO THE EXTENT NOT ALREADY SO TREATED OR TAXED). LE GP, LLC, THE GENERAL PARTNER OF ENERGY TRANSFER LP, MAY IMPOSE ADDITIONAL RESTRICTIONS ON THE TRANSFER OF THIS SECURITY IF IT RECEIVES AN OPINION OF COUNSEL THAT SUCH RESTRICTIONS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ARE NECESSARY TO AVOID A SIGNIFICANT RISK OF ENERGY TRANSFER LP BECOMING TAXABLE AS A CORPORATION OR OTHERWISE BECOMING TAXABLE AS AN ENTITY FOR FEDERAL INCOME TAX PURPOSES. THE RESTRICTIONS SET FORTH ABOVE SHALL NOT PRECLUDE THE SETTLEMENT OF ANY TRANSACTIONS INVOLVING THIS SECURITY ENTERED INTO THROUGH THE FACILITIES OF ANY NATIONAL SECURITIES EXCHANGE ON WHICH THIS SECURITY IS LISTED OR ADMITTED TO TRADING. </w:t>
      </w:r>
    </w:p>
    <w:p>
      <w:pPr>
        <w:pStyle w:val="TextBody"/>
        <w:bidi w:val="0"/>
        <w:spacing w:before="240" w:after="0"/>
        <w:jc w:val="left"/>
        <w:rPr>
          <w:rFonts w:ascii="Times New Roman" w:hAnsi="Times New Roman"/>
          <w:sz w:val="20"/>
        </w:rPr>
      </w:pPr>
      <w:r>
        <w:rPr>
          <w:rFonts w:ascii="Times New Roman" w:hAnsi="Times New Roman"/>
          <w:sz w:val="20"/>
        </w:rPr>
        <w:t xml:space="preserve">This Certificate shall not be valid for any purpose unless it has been countersigned and registered by the Transfer Agent and Registrar.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Dated: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Energy Transfer LP</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LE GP, LLC,</w:t>
            </w:r>
          </w:p>
        </w:tc>
      </w:tr>
      <w:tr>
        <w:trPr/>
        <w:tc>
          <w:tcPr>
            <w:tcW w:w="66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its General Partner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 </w:t>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 </w:t>
            </w:r>
          </w:p>
        </w:tc>
      </w:tr>
      <w:tr>
        <w:trPr/>
        <w:tc>
          <w:tcPr>
            <w:tcW w:w="66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082" w:type="dxa"/>
            <w:gridSpan w:val="3"/>
            <w:tcBorders/>
            <w:vAlign w:val="bottom"/>
          </w:tcPr>
          <w:p>
            <w:pPr>
              <w:pStyle w:val="TableContents"/>
              <w:bidi w:val="0"/>
              <w:spacing w:before="0" w:after="283"/>
              <w:jc w:val="left"/>
              <w:rPr/>
            </w:pPr>
            <w:r>
              <w:rPr/>
              <w:t>Countersigned and Registered by: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082" w:type="dxa"/>
            <w:gridSpan w:val="3"/>
            <w:tcBorders/>
            <w:vAlign w:val="bottom"/>
          </w:tcPr>
          <w:p>
            <w:pPr>
              <w:pStyle w:val="TableContents"/>
              <w:bidi w:val="0"/>
              <w:spacing w:before="0" w:after="283"/>
              <w:jc w:val="left"/>
              <w:rPr/>
            </w:pPr>
            <w:r>
              <w:rPr/>
              <w:t>as Transfer Agent and Registrar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vAlign w:val="bottom"/>
          </w:tcPr>
          <w:p>
            <w:pPr>
              <w:pStyle w:val="TableContents"/>
              <w:bidi w:val="0"/>
              <w:spacing w:before="0" w:after="283"/>
              <w:jc w:val="left"/>
              <w:rPr/>
            </w:pPr>
            <w:r>
              <w:rPr/>
              <w:t> </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 </w:t>
            </w:r>
          </w:p>
        </w:tc>
      </w:tr>
      <w:tr>
        <w:trPr/>
        <w:tc>
          <w:tcPr>
            <w:tcW w:w="6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Signature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Certificate] </w:t>
      </w:r>
    </w:p>
    <w:p>
      <w:pPr>
        <w:pStyle w:val="TextBody"/>
        <w:bidi w:val="0"/>
        <w:spacing w:before="0" w:after="0"/>
        <w:jc w:val="center"/>
        <w:rPr>
          <w:rFonts w:ascii="Times New Roman" w:hAnsi="Times New Roman"/>
          <w:b/>
          <w:sz w:val="20"/>
        </w:rPr>
      </w:pPr>
      <w:r>
        <w:rPr>
          <w:rFonts w:ascii="Times New Roman" w:hAnsi="Times New Roman"/>
          <w:b/>
          <w:sz w:val="20"/>
        </w:rPr>
        <w:t xml:space="preserve">ABBREVIATIONS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abbreviations, when used in the inscription on the face of this Certificate, shall be construed as follows according to applicable laws or regulations: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61"/>
        <w:gridCol w:w="132"/>
        <w:gridCol w:w="4337"/>
        <w:gridCol w:w="132"/>
        <w:gridCol w:w="4343"/>
      </w:tblGrid>
      <w:tr>
        <w:trPr/>
        <w:tc>
          <w:tcPr>
            <w:tcW w:w="1261"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4337"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4343" w:type="dxa"/>
            <w:tcBorders/>
            <w:vAlign w:val="center"/>
          </w:tcPr>
          <w:p>
            <w:pPr>
              <w:pStyle w:val="TableContents"/>
              <w:bidi w:val="0"/>
              <w:spacing w:before="0" w:after="283"/>
              <w:jc w:val="left"/>
              <w:rPr>
                <w:sz w:val="4"/>
                <w:szCs w:val="4"/>
              </w:rPr>
            </w:pPr>
            <w:r>
              <w:rPr>
                <w:sz w:val="4"/>
                <w:szCs w:val="4"/>
              </w:rPr>
            </w:r>
          </w:p>
        </w:tc>
      </w:tr>
      <w:tr>
        <w:trPr/>
        <w:tc>
          <w:tcPr>
            <w:tcW w:w="1261" w:type="dxa"/>
            <w:tcBorders/>
          </w:tcPr>
          <w:p>
            <w:pPr>
              <w:pStyle w:val="TableContents"/>
              <w:bidi w:val="0"/>
              <w:spacing w:before="0" w:after="283"/>
              <w:jc w:val="left"/>
              <w:rPr/>
            </w:pPr>
            <w:r>
              <w:rPr/>
              <w:t>TEN COM -</w:t>
            </w:r>
          </w:p>
        </w:tc>
        <w:tc>
          <w:tcPr>
            <w:tcW w:w="132" w:type="dxa"/>
            <w:tcBorders/>
            <w:vAlign w:val="bottom"/>
          </w:tcPr>
          <w:p>
            <w:pPr>
              <w:pStyle w:val="TableContents"/>
              <w:bidi w:val="0"/>
              <w:spacing w:before="0" w:after="283"/>
              <w:jc w:val="left"/>
              <w:rPr/>
            </w:pPr>
            <w:r>
              <w:rPr/>
              <w:t>  </w:t>
            </w:r>
          </w:p>
        </w:tc>
        <w:tc>
          <w:tcPr>
            <w:tcW w:w="4337" w:type="dxa"/>
            <w:tcBorders/>
          </w:tcPr>
          <w:p>
            <w:pPr>
              <w:pStyle w:val="TableContents"/>
              <w:bidi w:val="0"/>
              <w:spacing w:before="0" w:after="283"/>
              <w:jc w:val="left"/>
              <w:rPr/>
            </w:pPr>
            <w:r>
              <w:rPr/>
              <w:t>as tenants in common</w:t>
            </w:r>
          </w:p>
        </w:tc>
        <w:tc>
          <w:tcPr>
            <w:tcW w:w="132" w:type="dxa"/>
            <w:tcBorders/>
            <w:vAlign w:val="bottom"/>
          </w:tcPr>
          <w:p>
            <w:pPr>
              <w:pStyle w:val="TableContents"/>
              <w:bidi w:val="0"/>
              <w:spacing w:before="0" w:after="283"/>
              <w:jc w:val="left"/>
              <w:rPr/>
            </w:pPr>
            <w:r>
              <w:rPr/>
              <w:t>  </w:t>
            </w:r>
          </w:p>
        </w:tc>
        <w:tc>
          <w:tcPr>
            <w:tcW w:w="4343" w:type="dxa"/>
            <w:tcBorders/>
          </w:tcPr>
          <w:p>
            <w:pPr>
              <w:pStyle w:val="TableContents"/>
              <w:bidi w:val="0"/>
              <w:spacing w:before="0" w:after="283"/>
              <w:jc w:val="left"/>
              <w:rPr/>
            </w:pPr>
            <w:r>
              <w:rPr/>
              <w:t>UNIF GIFT/TRANSFERS MIN ACT</w:t>
            </w:r>
          </w:p>
        </w:tc>
      </w:tr>
      <w:tr>
        <w:trPr>
          <w:trHeight w:val="120" w:hRule="atLeast"/>
        </w:trPr>
        <w:tc>
          <w:tcPr>
            <w:tcW w:w="1261" w:type="dxa"/>
            <w:tcBorders/>
            <w:vAlign w:val="center"/>
          </w:tcPr>
          <w:p>
            <w:pPr>
              <w:pStyle w:val="TableContents"/>
              <w:bidi w:val="0"/>
              <w:spacing w:before="0" w:after="283"/>
              <w:jc w:val="left"/>
              <w:rPr>
                <w:sz w:val="4"/>
                <w:szCs w:val="4"/>
              </w:rPr>
            </w:pPr>
            <w:r>
              <w:rPr>
                <w:sz w:val="4"/>
                <w:szCs w:val="4"/>
              </w:rPr>
            </w:r>
          </w:p>
        </w:tc>
        <w:tc>
          <w:tcPr>
            <w:tcW w:w="4469" w:type="dxa"/>
            <w:gridSpan w:val="2"/>
            <w:tcBorders/>
            <w:vAlign w:val="center"/>
          </w:tcPr>
          <w:p>
            <w:pPr>
              <w:pStyle w:val="TableContents"/>
              <w:bidi w:val="0"/>
              <w:spacing w:before="0" w:after="283"/>
              <w:jc w:val="left"/>
              <w:rPr>
                <w:sz w:val="4"/>
                <w:szCs w:val="4"/>
              </w:rPr>
            </w:pPr>
            <w:r>
              <w:rPr>
                <w:sz w:val="4"/>
                <w:szCs w:val="4"/>
              </w:rPr>
            </w:r>
          </w:p>
        </w:tc>
        <w:tc>
          <w:tcPr>
            <w:tcW w:w="4475" w:type="dxa"/>
            <w:gridSpan w:val="2"/>
            <w:tcBorders/>
            <w:vAlign w:val="center"/>
          </w:tcPr>
          <w:p>
            <w:pPr>
              <w:pStyle w:val="TableContents"/>
              <w:bidi w:val="0"/>
              <w:spacing w:before="0" w:after="283"/>
              <w:jc w:val="left"/>
              <w:rPr>
                <w:sz w:val="4"/>
                <w:szCs w:val="4"/>
              </w:rPr>
            </w:pPr>
            <w:r>
              <w:rPr>
                <w:sz w:val="4"/>
                <w:szCs w:val="4"/>
              </w:rPr>
            </w:r>
          </w:p>
        </w:tc>
      </w:tr>
      <w:tr>
        <w:trPr/>
        <w:tc>
          <w:tcPr>
            <w:tcW w:w="1261" w:type="dxa"/>
            <w:tcBorders/>
          </w:tcPr>
          <w:p>
            <w:pPr>
              <w:pStyle w:val="TableContents"/>
              <w:bidi w:val="0"/>
              <w:spacing w:before="0" w:after="283"/>
              <w:jc w:val="left"/>
              <w:rPr/>
            </w:pPr>
            <w:r>
              <w:rPr/>
              <w:t>TEN ENT -</w:t>
            </w:r>
          </w:p>
        </w:tc>
        <w:tc>
          <w:tcPr>
            <w:tcW w:w="132" w:type="dxa"/>
            <w:tcBorders/>
            <w:vAlign w:val="bottom"/>
          </w:tcPr>
          <w:p>
            <w:pPr>
              <w:pStyle w:val="TableContents"/>
              <w:bidi w:val="0"/>
              <w:spacing w:before="0" w:after="283"/>
              <w:jc w:val="left"/>
              <w:rPr/>
            </w:pPr>
            <w:r>
              <w:rPr/>
              <w:t>  </w:t>
            </w:r>
          </w:p>
        </w:tc>
        <w:tc>
          <w:tcPr>
            <w:tcW w:w="4337" w:type="dxa"/>
            <w:tcBorders/>
          </w:tcPr>
          <w:p>
            <w:pPr>
              <w:pStyle w:val="TableContents"/>
              <w:bidi w:val="0"/>
              <w:spacing w:before="0" w:after="283"/>
              <w:jc w:val="left"/>
              <w:rPr/>
            </w:pPr>
            <w:r>
              <w:rPr/>
              <w:t>as tenants by the entireties</w:t>
            </w:r>
          </w:p>
        </w:tc>
        <w:tc>
          <w:tcPr>
            <w:tcW w:w="132" w:type="dxa"/>
            <w:tcBorders/>
            <w:vAlign w:val="bottom"/>
          </w:tcPr>
          <w:p>
            <w:pPr>
              <w:pStyle w:val="TableContents"/>
              <w:bidi w:val="0"/>
              <w:spacing w:before="0" w:after="283"/>
              <w:jc w:val="left"/>
              <w:rPr/>
            </w:pPr>
            <w:r>
              <w:rPr/>
              <w:t>  </w:t>
            </w:r>
          </w:p>
        </w:tc>
        <w:tc>
          <w:tcPr>
            <w:tcW w:w="434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Custodian</w:t>
            </w:r>
          </w:p>
        </w:tc>
      </w:tr>
      <w:tr>
        <w:trPr>
          <w:trHeight w:val="120" w:hRule="atLeast"/>
        </w:trPr>
        <w:tc>
          <w:tcPr>
            <w:tcW w:w="1261" w:type="dxa"/>
            <w:tcBorders/>
            <w:vAlign w:val="center"/>
          </w:tcPr>
          <w:p>
            <w:pPr>
              <w:pStyle w:val="TableContents"/>
              <w:bidi w:val="0"/>
              <w:spacing w:before="0" w:after="283"/>
              <w:jc w:val="left"/>
              <w:rPr>
                <w:sz w:val="4"/>
                <w:szCs w:val="4"/>
              </w:rPr>
            </w:pPr>
            <w:r>
              <w:rPr>
                <w:sz w:val="4"/>
                <w:szCs w:val="4"/>
              </w:rPr>
            </w:r>
          </w:p>
        </w:tc>
        <w:tc>
          <w:tcPr>
            <w:tcW w:w="4469" w:type="dxa"/>
            <w:gridSpan w:val="2"/>
            <w:tcBorders/>
            <w:vAlign w:val="center"/>
          </w:tcPr>
          <w:p>
            <w:pPr>
              <w:pStyle w:val="TableContents"/>
              <w:bidi w:val="0"/>
              <w:spacing w:before="0" w:after="283"/>
              <w:jc w:val="left"/>
              <w:rPr>
                <w:sz w:val="4"/>
                <w:szCs w:val="4"/>
              </w:rPr>
            </w:pPr>
            <w:r>
              <w:rPr>
                <w:sz w:val="4"/>
                <w:szCs w:val="4"/>
              </w:rPr>
            </w:r>
          </w:p>
        </w:tc>
        <w:tc>
          <w:tcPr>
            <w:tcW w:w="4475" w:type="dxa"/>
            <w:gridSpan w:val="2"/>
            <w:tcBorders/>
            <w:vAlign w:val="center"/>
          </w:tcPr>
          <w:p>
            <w:pPr>
              <w:pStyle w:val="TableContents"/>
              <w:bidi w:val="0"/>
              <w:spacing w:before="0" w:after="283"/>
              <w:jc w:val="left"/>
              <w:rPr>
                <w:sz w:val="4"/>
                <w:szCs w:val="4"/>
              </w:rPr>
            </w:pPr>
            <w:r>
              <w:rPr>
                <w:sz w:val="4"/>
                <w:szCs w:val="4"/>
              </w:rPr>
            </w:r>
          </w:p>
        </w:tc>
      </w:tr>
      <w:tr>
        <w:trPr/>
        <w:tc>
          <w:tcPr>
            <w:tcW w:w="1261"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4337"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4343" w:type="dxa"/>
            <w:tcBorders/>
          </w:tcPr>
          <w:p>
            <w:pPr>
              <w:pStyle w:val="TableContents"/>
              <w:bidi w:val="0"/>
              <w:spacing w:before="0" w:after="283"/>
              <w:jc w:val="left"/>
              <w:rPr/>
            </w:pPr>
            <w:r>
              <w:rPr/>
              <w:t>(Cust) (Minor)</w:t>
            </w:r>
          </w:p>
        </w:tc>
      </w:tr>
      <w:tr>
        <w:trPr>
          <w:trHeight w:val="120" w:hRule="atLeast"/>
        </w:trPr>
        <w:tc>
          <w:tcPr>
            <w:tcW w:w="1261" w:type="dxa"/>
            <w:tcBorders/>
            <w:vAlign w:val="center"/>
          </w:tcPr>
          <w:p>
            <w:pPr>
              <w:pStyle w:val="TableContents"/>
              <w:bidi w:val="0"/>
              <w:spacing w:before="0" w:after="283"/>
              <w:jc w:val="left"/>
              <w:rPr>
                <w:sz w:val="4"/>
                <w:szCs w:val="4"/>
              </w:rPr>
            </w:pPr>
            <w:r>
              <w:rPr>
                <w:sz w:val="4"/>
                <w:szCs w:val="4"/>
              </w:rPr>
            </w:r>
          </w:p>
        </w:tc>
        <w:tc>
          <w:tcPr>
            <w:tcW w:w="4469" w:type="dxa"/>
            <w:gridSpan w:val="2"/>
            <w:tcBorders/>
            <w:vAlign w:val="center"/>
          </w:tcPr>
          <w:p>
            <w:pPr>
              <w:pStyle w:val="TableContents"/>
              <w:bidi w:val="0"/>
              <w:spacing w:before="0" w:after="283"/>
              <w:jc w:val="left"/>
              <w:rPr>
                <w:sz w:val="4"/>
                <w:szCs w:val="4"/>
              </w:rPr>
            </w:pPr>
            <w:r>
              <w:rPr>
                <w:sz w:val="4"/>
                <w:szCs w:val="4"/>
              </w:rPr>
            </w:r>
          </w:p>
        </w:tc>
        <w:tc>
          <w:tcPr>
            <w:tcW w:w="4475" w:type="dxa"/>
            <w:gridSpan w:val="2"/>
            <w:tcBorders/>
            <w:vAlign w:val="center"/>
          </w:tcPr>
          <w:p>
            <w:pPr>
              <w:pStyle w:val="TableContents"/>
              <w:bidi w:val="0"/>
              <w:spacing w:before="0" w:after="283"/>
              <w:jc w:val="left"/>
              <w:rPr>
                <w:sz w:val="4"/>
                <w:szCs w:val="4"/>
              </w:rPr>
            </w:pPr>
            <w:r>
              <w:rPr>
                <w:sz w:val="4"/>
                <w:szCs w:val="4"/>
              </w:rPr>
            </w:r>
          </w:p>
        </w:tc>
      </w:tr>
      <w:tr>
        <w:trPr/>
        <w:tc>
          <w:tcPr>
            <w:tcW w:w="1261" w:type="dxa"/>
            <w:tcBorders/>
          </w:tcPr>
          <w:p>
            <w:pPr>
              <w:pStyle w:val="TableContents"/>
              <w:bidi w:val="0"/>
              <w:spacing w:before="0" w:after="283"/>
              <w:jc w:val="left"/>
              <w:rPr/>
            </w:pPr>
            <w:r>
              <w:rPr/>
              <w:t>JT TEN -</w:t>
            </w:r>
          </w:p>
        </w:tc>
        <w:tc>
          <w:tcPr>
            <w:tcW w:w="132" w:type="dxa"/>
            <w:tcBorders/>
            <w:vAlign w:val="bottom"/>
          </w:tcPr>
          <w:p>
            <w:pPr>
              <w:pStyle w:val="TableContents"/>
              <w:bidi w:val="0"/>
              <w:spacing w:before="0" w:after="283"/>
              <w:jc w:val="left"/>
              <w:rPr/>
            </w:pPr>
            <w:r>
              <w:rPr/>
              <w:t>  </w:t>
            </w:r>
          </w:p>
        </w:tc>
        <w:tc>
          <w:tcPr>
            <w:tcW w:w="4337" w:type="dxa"/>
            <w:tcBorders/>
          </w:tcPr>
          <w:p>
            <w:pPr>
              <w:pStyle w:val="TableContents"/>
              <w:bidi w:val="0"/>
              <w:spacing w:before="0" w:after="283"/>
              <w:jc w:val="left"/>
              <w:rPr/>
            </w:pPr>
            <w:r>
              <w:rPr/>
              <w:t>as joint tenants with right of survivorship and not as tenants in common</w:t>
            </w:r>
          </w:p>
        </w:tc>
        <w:tc>
          <w:tcPr>
            <w:tcW w:w="132" w:type="dxa"/>
            <w:tcBorders/>
            <w:vAlign w:val="bottom"/>
          </w:tcPr>
          <w:p>
            <w:pPr>
              <w:pStyle w:val="TableContents"/>
              <w:bidi w:val="0"/>
              <w:spacing w:before="0" w:after="283"/>
              <w:jc w:val="left"/>
              <w:rPr/>
            </w:pPr>
            <w:r>
              <w:rPr/>
              <w:t>  </w:t>
            </w:r>
          </w:p>
        </w:tc>
        <w:tc>
          <w:tcPr>
            <w:tcW w:w="4343" w:type="dxa"/>
            <w:tcBorders/>
          </w:tcPr>
          <w:p>
            <w:pPr>
              <w:pStyle w:val="TableContents"/>
              <w:bidi w:val="0"/>
              <w:spacing w:before="0" w:after="283"/>
              <w:jc w:val="left"/>
              <w:rPr/>
            </w:pPr>
            <w:r>
              <w:rPr/>
              <w:t>under Uniform Gifts/Transfers to CD Minors Act (State)</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 abbreviations, though not in the above list, may also be used.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__________ hereby assigns, conveys, sells and transfers unto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96"/>
        <w:gridCol w:w="102"/>
        <w:gridCol w:w="408"/>
        <w:gridCol w:w="102"/>
        <w:gridCol w:w="4797"/>
      </w:tblGrid>
      <w:tr>
        <w:trPr/>
        <w:tc>
          <w:tcPr>
            <w:tcW w:w="479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4796" w:type="dxa"/>
            <w:tcBorders>
              <w:top w:val="single" w:sz="2" w:space="0" w:color="000000"/>
            </w:tcBorders>
            <w:tcMar>
              <w:top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(Please print or typewrite name</w:t>
            </w:r>
          </w:p>
          <w:p>
            <w:pPr>
              <w:pStyle w:val="TableContents"/>
              <w:bidi w:val="0"/>
              <w:spacing w:before="0" w:after="20"/>
              <w:jc w:val="left"/>
              <w:rPr>
                <w:rFonts w:ascii="Times New Roman" w:hAnsi="Times New Roman"/>
                <w:sz w:val="20"/>
              </w:rPr>
            </w:pPr>
            <w:r>
              <w:rPr>
                <w:rFonts w:ascii="Times New Roman" w:hAnsi="Times New Roman"/>
                <w:sz w:val="20"/>
              </w:rPr>
              <w:t>and address of Assignee)</w:t>
            </w:r>
          </w:p>
        </w:tc>
        <w:tc>
          <w:tcPr>
            <w:tcW w:w="102"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2" w:type="dxa"/>
            <w:tcBorders>
              <w:top w:val="single" w:sz="2" w:space="0" w:color="000000"/>
            </w:tcBorders>
            <w:tcMar>
              <w:top w:w="28" w:type="dxa"/>
            </w:tcMar>
            <w:vAlign w:val="bottom"/>
          </w:tcPr>
          <w:p>
            <w:pPr>
              <w:pStyle w:val="TableContents"/>
              <w:bidi w:val="0"/>
              <w:spacing w:before="0" w:after="283"/>
              <w:jc w:val="left"/>
              <w:rPr/>
            </w:pPr>
            <w:r>
              <w:rPr/>
              <w:t> </w:t>
            </w:r>
          </w:p>
        </w:tc>
        <w:tc>
          <w:tcPr>
            <w:tcW w:w="4797" w:type="dxa"/>
            <w:tcBorders>
              <w:top w:val="single" w:sz="2" w:space="0" w:color="000000"/>
            </w:tcBorders>
            <w:tcMar>
              <w:top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(Please insert Social Security or other</w:t>
            </w:r>
          </w:p>
          <w:p>
            <w:pPr>
              <w:pStyle w:val="TableContents"/>
              <w:bidi w:val="0"/>
              <w:spacing w:before="0" w:after="20"/>
              <w:jc w:val="left"/>
              <w:rPr>
                <w:rFonts w:ascii="Times New Roman" w:hAnsi="Times New Roman"/>
                <w:sz w:val="20"/>
              </w:rPr>
            </w:pPr>
            <w:r>
              <w:rPr>
                <w:rFonts w:ascii="Times New Roman" w:hAnsi="Times New Roman"/>
                <w:sz w:val="20"/>
              </w:rPr>
              <w:t>identifying number of Assignee)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to the Agreement of Limited Partnership of </w:t>
      </w:r>
    </w:p>
    <w:p>
      <w:pPr>
        <w:pStyle w:val="TextBody"/>
        <w:bidi w:val="0"/>
        <w:spacing w:before="120" w:after="0"/>
        <w:jc w:val="center"/>
        <w:rPr>
          <w:rFonts w:ascii="Times New Roman" w:hAnsi="Times New Roman"/>
          <w:b/>
          <w:sz w:val="20"/>
        </w:rPr>
      </w:pPr>
      <w:r>
        <w:rPr>
          <w:rFonts w:ascii="Times New Roman" w:hAnsi="Times New Roman"/>
          <w:b/>
          <w:sz w:val="20"/>
        </w:rPr>
        <w:t xml:space="preserve">Energy Transfer LP Application for Transfer of Common Units </w:t>
      </w:r>
    </w:p>
    <w:p>
      <w:pPr>
        <w:pStyle w:val="TextBody"/>
        <w:bidi w:val="0"/>
        <w:spacing w:before="240" w:after="0"/>
        <w:jc w:val="left"/>
        <w:rPr>
          <w:rFonts w:ascii="Times New Roman" w:hAnsi="Times New Roman"/>
          <w:sz w:val="20"/>
        </w:rPr>
      </w:pPr>
      <w:r>
        <w:rPr>
          <w:rFonts w:ascii="Times New Roman" w:hAnsi="Times New Roman"/>
          <w:sz w:val="20"/>
        </w:rPr>
        <w:t xml:space="preserve">Following a FERC Notice, transferees of Common Units must execute and deliver this application to </w:t>
      </w:r>
      <w:r>
        <w:rPr>
          <w:rFonts w:ascii="Times New Roman" w:hAnsi="Times New Roman"/>
          <w:b/>
          <w:sz w:val="20"/>
        </w:rPr>
        <w:t>Energy Transfer LP, c/o LE GP, LLC, 8111 Westchester Drive, Dallas, Texas 75225; Attn: CFO</w:t>
      </w:r>
      <w:r>
        <w:rPr>
          <w:rFonts w:ascii="Times New Roman" w:hAnsi="Times New Roman"/>
          <w:sz w:val="20"/>
        </w:rPr>
        <w:t>, to be admitted as limited partners of Energy Transfer LP (the “</w:t>
      </w:r>
      <w:r>
        <w:rPr>
          <w:rFonts w:ascii="Times New Roman" w:hAnsi="Times New Roman"/>
          <w:i/>
          <w:sz w:val="20"/>
        </w:rPr>
        <w:t>Partnership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undersigned (“</w:t>
      </w:r>
      <w:r>
        <w:rPr>
          <w:rFonts w:ascii="Times New Roman" w:hAnsi="Times New Roman"/>
          <w:i/>
          <w:sz w:val="20"/>
        </w:rPr>
        <w:t>Assignee</w:t>
      </w:r>
      <w:r>
        <w:rPr>
          <w:rFonts w:ascii="Times New Roman" w:hAnsi="Times New Roman"/>
          <w:sz w:val="20"/>
        </w:rPr>
        <w:t>”) hereby (a) applies for transfer to the name of the Assignee the Common Units evidenced hereby, (b) requests admission as a Substituted Limited Partner and agrees to comply with and be bound by, and hereby executes, the Agreement of Limited Partnership of Energy Transfer LP, as amended, supplemented or restated to the date hereof (the “</w:t>
      </w:r>
      <w:r>
        <w:rPr>
          <w:rFonts w:ascii="Times New Roman" w:hAnsi="Times New Roman"/>
          <w:i/>
          <w:sz w:val="20"/>
        </w:rPr>
        <w:t>Partnership Agreement</w:t>
      </w:r>
      <w:r>
        <w:rPr>
          <w:rFonts w:ascii="Times New Roman" w:hAnsi="Times New Roman"/>
          <w:sz w:val="20"/>
        </w:rPr>
        <w:t xml:space="preserve">”), (c) represents and warrants that the Assignee has all right, power and authority and, if an individual, the capacity necessary to enter into the Partnership Agreement, (d) appoints the General Partner of the Partnership and, if a Liquidator shall be appointed, the Liquidator of the Partnership as the Assignee’s attorney-in-fact to execute, swear to, acknowledge and file any document, including the Partnership Agreement and any amendment thereto and the Certificate of Formation of the Partnership and any amendment thereto, necessary or appropriate for the Assignee’s admission as a Substituted Limited Partner and as a party to the Partnership Agreement, (e) gives the powers of attorney provided for in the Partnership Agreement, and (f) makes the waivers and gives the consents and approvals contained in the Partnership Agreement. Capitalized terms not defined herein have the meanings assigned to such terms in the Partnership Agreement. This application constitutes a Taxation Certification, as defined in the Partnership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97"/>
        <w:gridCol w:w="101"/>
        <w:gridCol w:w="408"/>
        <w:gridCol w:w="101"/>
        <w:gridCol w:w="4798"/>
      </w:tblGrid>
      <w:tr>
        <w:trPr/>
        <w:tc>
          <w:tcPr>
            <w:tcW w:w="479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4797" w:type="dxa"/>
            <w:tcBorders/>
            <w:vAlign w:val="bottom"/>
          </w:tcPr>
          <w:p>
            <w:pPr>
              <w:pStyle w:val="TableContents"/>
              <w:bidi w:val="0"/>
              <w:spacing w:before="0" w:after="283"/>
              <w:jc w:val="left"/>
              <w:rPr/>
            </w:pPr>
            <w:r>
              <w:rPr/>
              <w:t>Date: </w:t>
            </w:r>
            <w:r>
              <w:rPr>
                <w:u w:val="single"/>
              </w:rPr>
              <w:t>                    </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vAlign w:val="bottom"/>
          </w:tcPr>
          <w:p>
            <w:pPr>
              <w:pStyle w:val="TableContents"/>
              <w:pBdr>
                <w:bottom w:val="single" w:sz="2" w:space="1" w:color="000000"/>
              </w:pBdr>
              <w:bidi w:val="0"/>
              <w:spacing w:before="0" w:after="20"/>
              <w:jc w:val="left"/>
              <w:rPr/>
            </w:pPr>
            <w:r>
              <w:rPr/>
              <w:t> </w:t>
            </w:r>
          </w:p>
        </w:tc>
      </w:tr>
      <w:tr>
        <w:trPr/>
        <w:tc>
          <w:tcPr>
            <w:tcW w:w="479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pPr>
            <w:r>
              <w:rPr/>
              <w:t>Signature of Assignee</w:t>
            </w:r>
          </w:p>
        </w:tc>
      </w:tr>
      <w:tr>
        <w:trPr>
          <w:trHeight w:val="120" w:hRule="atLeast"/>
        </w:trPr>
        <w:tc>
          <w:tcPr>
            <w:tcW w:w="4797"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7" w:type="dxa"/>
            <w:tcBorders/>
            <w:vAlign w:val="bottom"/>
          </w:tcPr>
          <w:p>
            <w:pPr>
              <w:pStyle w:val="TableContents"/>
              <w:pBdr>
                <w:bottom w:val="single" w:sz="2" w:space="1" w:color="000000"/>
              </w:pBdr>
              <w:bidi w:val="0"/>
              <w:spacing w:before="0" w:after="20"/>
              <w:jc w:val="left"/>
              <w:rPr/>
            </w:pPr>
            <w:r>
              <w:rPr/>
              <w:t> </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vAlign w:val="bottom"/>
          </w:tcPr>
          <w:p>
            <w:pPr>
              <w:pStyle w:val="TableContents"/>
              <w:pBdr>
                <w:bottom w:val="single" w:sz="2" w:space="1" w:color="000000"/>
              </w:pBdr>
              <w:bidi w:val="0"/>
              <w:spacing w:before="0" w:after="20"/>
              <w:jc w:val="left"/>
              <w:rPr/>
            </w:pPr>
            <w:r>
              <w:rPr/>
              <w:t> </w:t>
            </w:r>
          </w:p>
        </w:tc>
      </w:tr>
      <w:tr>
        <w:trPr/>
        <w:tc>
          <w:tcPr>
            <w:tcW w:w="4797" w:type="dxa"/>
            <w:tcBorders/>
            <w:vAlign w:val="bottom"/>
          </w:tcPr>
          <w:p>
            <w:pPr>
              <w:pStyle w:val="TableContents"/>
              <w:bidi w:val="0"/>
              <w:spacing w:before="0" w:after="283"/>
              <w:jc w:val="left"/>
              <w:rPr/>
            </w:pPr>
            <w:r>
              <w:rPr/>
              <w:t>Social Security or other identifying number</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pPr>
            <w:r>
              <w:rPr/>
              <w:t>Name and Address of Assignee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120" w:after="0"/>
        <w:jc w:val="center"/>
        <w:rPr>
          <w:rFonts w:ascii="Times New Roman" w:hAnsi="Times New Roman"/>
          <w:b/>
          <w:sz w:val="20"/>
        </w:rPr>
      </w:pPr>
      <w:r>
        <w:rPr>
          <w:rFonts w:ascii="Times New Roman" w:hAnsi="Times New Roman"/>
          <w:b/>
          <w:sz w:val="20"/>
        </w:rPr>
        <w:t xml:space="preserve">Taxation Certification </w:t>
      </w:r>
    </w:p>
    <w:p>
      <w:pPr>
        <w:pStyle w:val="TextBody"/>
        <w:bidi w:val="0"/>
        <w:spacing w:before="240" w:after="0"/>
        <w:jc w:val="left"/>
        <w:rPr>
          <w:rFonts w:ascii="Times New Roman" w:hAnsi="Times New Roman"/>
          <w:sz w:val="20"/>
        </w:rPr>
      </w:pPr>
      <w:r>
        <w:rPr>
          <w:rFonts w:ascii="Times New Roman" w:hAnsi="Times New Roman"/>
          <w:sz w:val="20"/>
        </w:rPr>
        <w:t>The undersigned hereby certifies to Energy Transfer LP (the “</w:t>
      </w:r>
      <w:r>
        <w:rPr>
          <w:rFonts w:ascii="Times New Roman" w:hAnsi="Times New Roman"/>
          <w:i/>
          <w:sz w:val="20"/>
        </w:rPr>
        <w:t>Partnership</w:t>
      </w:r>
      <w:r>
        <w:rPr>
          <w:rFonts w:ascii="Times New Roman" w:hAnsi="Times New Roman"/>
          <w:sz w:val="20"/>
        </w:rPr>
        <w:t xml:space="preserve">”) that the Assignee (including to the best of Assignee’s knowledge, any person for whom the Assignee will hold the Common Units) is an Eligible Holder.1 Type of Assignee (check one):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9"/>
        <w:gridCol w:w="121"/>
        <w:gridCol w:w="3537"/>
        <w:gridCol w:w="121"/>
        <w:gridCol w:w="240"/>
        <w:gridCol w:w="472"/>
        <w:gridCol w:w="1847"/>
        <w:gridCol w:w="121"/>
        <w:gridCol w:w="240"/>
        <w:gridCol w:w="121"/>
        <w:gridCol w:w="3146"/>
      </w:tblGrid>
      <w:tr>
        <w:trPr/>
        <w:tc>
          <w:tcPr>
            <w:tcW w:w="23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53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46" w:type="dxa"/>
            <w:tcBorders/>
            <w:vAlign w:val="center"/>
          </w:tcPr>
          <w:p>
            <w:pPr>
              <w:pStyle w:val="TableContents"/>
              <w:bidi w:val="0"/>
              <w:spacing w:before="0" w:after="283"/>
              <w:jc w:val="left"/>
              <w:rPr>
                <w:sz w:val="4"/>
                <w:szCs w:val="4"/>
              </w:rPr>
            </w:pPr>
            <w:r>
              <w:rPr>
                <w:sz w:val="4"/>
                <w:szCs w:val="4"/>
              </w:rPr>
            </w:r>
          </w:p>
        </w:tc>
      </w:tr>
      <w:tr>
        <w:trPr/>
        <w:tc>
          <w:tcPr>
            <w:tcW w:w="239"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3537" w:type="dxa"/>
            <w:tcBorders/>
          </w:tcPr>
          <w:p>
            <w:pPr>
              <w:pStyle w:val="TableContents"/>
              <w:bidi w:val="0"/>
              <w:spacing w:before="0" w:after="283"/>
              <w:jc w:val="left"/>
              <w:rPr/>
            </w:pPr>
            <w:r>
              <w:rPr/>
              <w:t>Individual</w:t>
            </w:r>
          </w:p>
        </w:tc>
        <w:tc>
          <w:tcPr>
            <w:tcW w:w="121" w:type="dxa"/>
            <w:tcBorders/>
            <w:vAlign w:val="bottom"/>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w:t>
            </w:r>
          </w:p>
        </w:tc>
        <w:tc>
          <w:tcPr>
            <w:tcW w:w="472" w:type="dxa"/>
            <w:tcBorders/>
            <w:vAlign w:val="bottom"/>
          </w:tcPr>
          <w:p>
            <w:pPr>
              <w:pStyle w:val="TableContents"/>
              <w:bidi w:val="0"/>
              <w:spacing w:before="0" w:after="283"/>
              <w:jc w:val="left"/>
              <w:rPr/>
            </w:pPr>
            <w:r>
              <w:rPr/>
              <w:t>  </w:t>
            </w:r>
          </w:p>
        </w:tc>
        <w:tc>
          <w:tcPr>
            <w:tcW w:w="1847" w:type="dxa"/>
            <w:tcBorders/>
          </w:tcPr>
          <w:p>
            <w:pPr>
              <w:pStyle w:val="TableContents"/>
              <w:bidi w:val="0"/>
              <w:spacing w:before="0" w:after="283"/>
              <w:jc w:val="left"/>
              <w:rPr/>
            </w:pPr>
            <w:r>
              <w:rPr/>
              <w:t>Partnership</w:t>
            </w:r>
          </w:p>
        </w:tc>
        <w:tc>
          <w:tcPr>
            <w:tcW w:w="121" w:type="dxa"/>
            <w:tcBorders/>
            <w:vAlign w:val="bottom"/>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3146" w:type="dxa"/>
            <w:tcBorders/>
          </w:tcPr>
          <w:p>
            <w:pPr>
              <w:pStyle w:val="TableContents"/>
              <w:bidi w:val="0"/>
              <w:spacing w:before="0" w:after="283"/>
              <w:jc w:val="left"/>
              <w:rPr/>
            </w:pPr>
            <w:r>
              <w:rPr/>
              <w:t>Corporation (Subchapter C)</w:t>
            </w:r>
          </w:p>
        </w:tc>
      </w:tr>
      <w:tr>
        <w:trPr>
          <w:trHeight w:val="120" w:hRule="atLeast"/>
        </w:trPr>
        <w:tc>
          <w:tcPr>
            <w:tcW w:w="239" w:type="dxa"/>
            <w:tcBorders/>
            <w:vAlign w:val="center"/>
          </w:tcPr>
          <w:p>
            <w:pPr>
              <w:pStyle w:val="TableContents"/>
              <w:bidi w:val="0"/>
              <w:spacing w:before="0" w:after="283"/>
              <w:jc w:val="left"/>
              <w:rPr>
                <w:sz w:val="4"/>
                <w:szCs w:val="4"/>
              </w:rPr>
            </w:pPr>
            <w:r>
              <w:rPr>
                <w:sz w:val="4"/>
                <w:szCs w:val="4"/>
              </w:rPr>
            </w:r>
          </w:p>
        </w:tc>
        <w:tc>
          <w:tcPr>
            <w:tcW w:w="3658"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vAlign w:val="center"/>
          </w:tcPr>
          <w:p>
            <w:pPr>
              <w:pStyle w:val="TableContents"/>
              <w:bidi w:val="0"/>
              <w:spacing w:before="0" w:after="283"/>
              <w:jc w:val="left"/>
              <w:rPr>
                <w:sz w:val="4"/>
                <w:szCs w:val="4"/>
              </w:rPr>
            </w:pPr>
            <w:r>
              <w:rPr>
                <w:sz w:val="4"/>
                <w:szCs w:val="4"/>
              </w:rPr>
            </w:r>
          </w:p>
        </w:tc>
        <w:tc>
          <w:tcPr>
            <w:tcW w:w="2319"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vAlign w:val="center"/>
          </w:tcPr>
          <w:p>
            <w:pPr>
              <w:pStyle w:val="TableContents"/>
              <w:bidi w:val="0"/>
              <w:spacing w:before="0" w:after="283"/>
              <w:jc w:val="left"/>
              <w:rPr>
                <w:sz w:val="4"/>
                <w:szCs w:val="4"/>
              </w:rPr>
            </w:pPr>
            <w:r>
              <w:rPr>
                <w:sz w:val="4"/>
                <w:szCs w:val="4"/>
              </w:rPr>
            </w:r>
          </w:p>
        </w:tc>
        <w:tc>
          <w:tcPr>
            <w:tcW w:w="3267" w:type="dxa"/>
            <w:gridSpan w:val="2"/>
            <w:tcBorders/>
            <w:vAlign w:val="center"/>
          </w:tcPr>
          <w:p>
            <w:pPr>
              <w:pStyle w:val="TableContents"/>
              <w:bidi w:val="0"/>
              <w:spacing w:before="0" w:after="283"/>
              <w:jc w:val="left"/>
              <w:rPr>
                <w:sz w:val="4"/>
                <w:szCs w:val="4"/>
              </w:rPr>
            </w:pPr>
            <w:r>
              <w:rPr>
                <w:sz w:val="4"/>
                <w:szCs w:val="4"/>
              </w:rPr>
            </w:r>
          </w:p>
        </w:tc>
      </w:tr>
      <w:tr>
        <w:trPr/>
        <w:tc>
          <w:tcPr>
            <w:tcW w:w="239"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3537" w:type="dxa"/>
            <w:tcBorders/>
          </w:tcPr>
          <w:p>
            <w:pPr>
              <w:pStyle w:val="TableContents"/>
              <w:bidi w:val="0"/>
              <w:spacing w:before="0" w:after="283"/>
              <w:jc w:val="left"/>
              <w:rPr/>
            </w:pPr>
            <w:r>
              <w:rPr/>
              <w:t>Corporation (Subchapter S)</w:t>
            </w:r>
          </w:p>
        </w:tc>
        <w:tc>
          <w:tcPr>
            <w:tcW w:w="121" w:type="dxa"/>
            <w:tcBorders/>
            <w:vAlign w:val="bottom"/>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w:t>
            </w:r>
          </w:p>
        </w:tc>
        <w:tc>
          <w:tcPr>
            <w:tcW w:w="472" w:type="dxa"/>
            <w:tcBorders/>
            <w:vAlign w:val="bottom"/>
          </w:tcPr>
          <w:p>
            <w:pPr>
              <w:pStyle w:val="TableContents"/>
              <w:bidi w:val="0"/>
              <w:spacing w:before="0" w:after="283"/>
              <w:jc w:val="left"/>
              <w:rPr/>
            </w:pPr>
            <w:r>
              <w:rPr/>
              <w:t>  </w:t>
            </w:r>
          </w:p>
        </w:tc>
        <w:tc>
          <w:tcPr>
            <w:tcW w:w="184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3146" w:type="dxa"/>
            <w:tcBorders/>
          </w:tcPr>
          <w:p>
            <w:pPr>
              <w:pStyle w:val="TableContents"/>
              <w:bidi w:val="0"/>
              <w:spacing w:before="0" w:after="283"/>
              <w:jc w:val="left"/>
              <w:rPr/>
            </w:pPr>
            <w:r>
              <w:rPr/>
              <w:t>Pension Fund, IRA or KEOGH Plan</w:t>
            </w:r>
          </w:p>
        </w:tc>
      </w:tr>
      <w:tr>
        <w:trPr>
          <w:trHeight w:val="120" w:hRule="atLeast"/>
        </w:trPr>
        <w:tc>
          <w:tcPr>
            <w:tcW w:w="239" w:type="dxa"/>
            <w:tcBorders/>
            <w:vAlign w:val="center"/>
          </w:tcPr>
          <w:p>
            <w:pPr>
              <w:pStyle w:val="TableContents"/>
              <w:bidi w:val="0"/>
              <w:spacing w:before="0" w:after="283"/>
              <w:jc w:val="left"/>
              <w:rPr>
                <w:sz w:val="4"/>
                <w:szCs w:val="4"/>
              </w:rPr>
            </w:pPr>
            <w:r>
              <w:rPr>
                <w:sz w:val="4"/>
                <w:szCs w:val="4"/>
              </w:rPr>
            </w:r>
          </w:p>
        </w:tc>
        <w:tc>
          <w:tcPr>
            <w:tcW w:w="3658"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vAlign w:val="center"/>
          </w:tcPr>
          <w:p>
            <w:pPr>
              <w:pStyle w:val="TableContents"/>
              <w:bidi w:val="0"/>
              <w:spacing w:before="0" w:after="283"/>
              <w:jc w:val="left"/>
              <w:rPr>
                <w:sz w:val="4"/>
                <w:szCs w:val="4"/>
              </w:rPr>
            </w:pPr>
            <w:r>
              <w:rPr>
                <w:sz w:val="4"/>
                <w:szCs w:val="4"/>
              </w:rPr>
            </w:r>
          </w:p>
        </w:tc>
        <w:tc>
          <w:tcPr>
            <w:tcW w:w="2319"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vAlign w:val="center"/>
          </w:tcPr>
          <w:p>
            <w:pPr>
              <w:pStyle w:val="TableContents"/>
              <w:bidi w:val="0"/>
              <w:spacing w:before="0" w:after="283"/>
              <w:jc w:val="left"/>
              <w:rPr>
                <w:sz w:val="4"/>
                <w:szCs w:val="4"/>
              </w:rPr>
            </w:pPr>
            <w:r>
              <w:rPr>
                <w:sz w:val="4"/>
                <w:szCs w:val="4"/>
              </w:rPr>
            </w:r>
          </w:p>
        </w:tc>
        <w:tc>
          <w:tcPr>
            <w:tcW w:w="3267" w:type="dxa"/>
            <w:gridSpan w:val="2"/>
            <w:tcBorders/>
            <w:vAlign w:val="center"/>
          </w:tcPr>
          <w:p>
            <w:pPr>
              <w:pStyle w:val="TableContents"/>
              <w:bidi w:val="0"/>
              <w:spacing w:before="0" w:after="283"/>
              <w:jc w:val="left"/>
              <w:rPr>
                <w:sz w:val="4"/>
                <w:szCs w:val="4"/>
              </w:rPr>
            </w:pPr>
            <w:r>
              <w:rPr>
                <w:sz w:val="4"/>
                <w:szCs w:val="4"/>
              </w:rPr>
            </w:r>
          </w:p>
        </w:tc>
      </w:tr>
      <w:tr>
        <w:trPr/>
        <w:tc>
          <w:tcPr>
            <w:tcW w:w="239"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3537" w:type="dxa"/>
            <w:tcBorders/>
          </w:tcPr>
          <w:p>
            <w:pPr>
              <w:pStyle w:val="TableContents"/>
              <w:bidi w:val="0"/>
              <w:spacing w:before="0" w:after="283"/>
              <w:jc w:val="left"/>
              <w:rPr/>
            </w:pPr>
            <w:r>
              <w:rPr/>
              <w:t>Tax-exempt entities such as municipalities</w:t>
            </w:r>
          </w:p>
        </w:tc>
        <w:tc>
          <w:tcPr>
            <w:tcW w:w="121" w:type="dxa"/>
            <w:tcBorders/>
            <w:vAlign w:val="bottom"/>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w:t>
            </w:r>
          </w:p>
        </w:tc>
        <w:tc>
          <w:tcPr>
            <w:tcW w:w="472" w:type="dxa"/>
            <w:tcBorders/>
            <w:vAlign w:val="bottom"/>
          </w:tcPr>
          <w:p>
            <w:pPr>
              <w:pStyle w:val="TableContents"/>
              <w:bidi w:val="0"/>
              <w:spacing w:before="0" w:after="283"/>
              <w:jc w:val="left"/>
              <w:rPr/>
            </w:pPr>
            <w:r>
              <w:rPr/>
              <w:t>  </w:t>
            </w:r>
          </w:p>
        </w:tc>
        <w:tc>
          <w:tcPr>
            <w:tcW w:w="184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3146" w:type="dxa"/>
            <w:tcBorders/>
          </w:tcPr>
          <w:p>
            <w:pPr>
              <w:pStyle w:val="TableContents"/>
              <w:bidi w:val="0"/>
              <w:spacing w:before="0" w:after="283"/>
              <w:jc w:val="left"/>
              <w:rPr>
                <w:sz w:val="4"/>
                <w:szCs w:val="4"/>
              </w:rPr>
            </w:pPr>
            <w:r>
              <w:rPr>
                <w:sz w:val="4"/>
                <w:szCs w:val="4"/>
              </w:rPr>
            </w:r>
          </w:p>
        </w:tc>
      </w:tr>
      <w:tr>
        <w:trPr>
          <w:trHeight w:val="120" w:hRule="atLeast"/>
        </w:trPr>
        <w:tc>
          <w:tcPr>
            <w:tcW w:w="239" w:type="dxa"/>
            <w:tcBorders/>
            <w:vAlign w:val="center"/>
          </w:tcPr>
          <w:p>
            <w:pPr>
              <w:pStyle w:val="TableContents"/>
              <w:bidi w:val="0"/>
              <w:spacing w:before="0" w:after="283"/>
              <w:jc w:val="left"/>
              <w:rPr>
                <w:sz w:val="4"/>
                <w:szCs w:val="4"/>
              </w:rPr>
            </w:pPr>
            <w:r>
              <w:rPr>
                <w:sz w:val="4"/>
                <w:szCs w:val="4"/>
              </w:rPr>
            </w:r>
          </w:p>
        </w:tc>
        <w:tc>
          <w:tcPr>
            <w:tcW w:w="3658"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vAlign w:val="center"/>
          </w:tcPr>
          <w:p>
            <w:pPr>
              <w:pStyle w:val="TableContents"/>
              <w:bidi w:val="0"/>
              <w:spacing w:before="0" w:after="283"/>
              <w:jc w:val="left"/>
              <w:rPr>
                <w:sz w:val="4"/>
                <w:szCs w:val="4"/>
              </w:rPr>
            </w:pPr>
            <w:r>
              <w:rPr>
                <w:sz w:val="4"/>
                <w:szCs w:val="4"/>
              </w:rPr>
            </w:r>
          </w:p>
        </w:tc>
        <w:tc>
          <w:tcPr>
            <w:tcW w:w="2319"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vAlign w:val="center"/>
          </w:tcPr>
          <w:p>
            <w:pPr>
              <w:pStyle w:val="TableContents"/>
              <w:bidi w:val="0"/>
              <w:spacing w:before="0" w:after="283"/>
              <w:jc w:val="left"/>
              <w:rPr>
                <w:sz w:val="4"/>
                <w:szCs w:val="4"/>
              </w:rPr>
            </w:pPr>
            <w:r>
              <w:rPr>
                <w:sz w:val="4"/>
                <w:szCs w:val="4"/>
              </w:rPr>
            </w:r>
          </w:p>
        </w:tc>
        <w:tc>
          <w:tcPr>
            <w:tcW w:w="3267" w:type="dxa"/>
            <w:gridSpan w:val="2"/>
            <w:tcBorders/>
            <w:vAlign w:val="center"/>
          </w:tcPr>
          <w:p>
            <w:pPr>
              <w:pStyle w:val="TableContents"/>
              <w:bidi w:val="0"/>
              <w:spacing w:before="0" w:after="283"/>
              <w:jc w:val="left"/>
              <w:rPr>
                <w:sz w:val="4"/>
                <w:szCs w:val="4"/>
              </w:rPr>
            </w:pPr>
            <w:r>
              <w:rPr>
                <w:sz w:val="4"/>
                <w:szCs w:val="4"/>
              </w:rPr>
            </w:r>
          </w:p>
        </w:tc>
      </w:tr>
      <w:tr>
        <w:trPr/>
        <w:tc>
          <w:tcPr>
            <w:tcW w:w="239"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3537" w:type="dxa"/>
            <w:tcBorders/>
          </w:tcPr>
          <w:p>
            <w:pPr>
              <w:pStyle w:val="TableContents"/>
              <w:bidi w:val="0"/>
              <w:spacing w:before="0" w:after="283"/>
              <w:jc w:val="left"/>
              <w:rPr/>
            </w:pPr>
            <w:r>
              <w:rPr/>
              <w:t>Trust</w:t>
            </w:r>
          </w:p>
        </w:tc>
        <w:tc>
          <w:tcPr>
            <w:tcW w:w="121" w:type="dxa"/>
            <w:tcBorders/>
            <w:vAlign w:val="bottom"/>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w:t>
            </w:r>
          </w:p>
        </w:tc>
        <w:tc>
          <w:tcPr>
            <w:tcW w:w="472" w:type="dxa"/>
            <w:tcBorders/>
            <w:vAlign w:val="bottom"/>
          </w:tcPr>
          <w:p>
            <w:pPr>
              <w:pStyle w:val="TableContents"/>
              <w:bidi w:val="0"/>
              <w:spacing w:before="0" w:after="283"/>
              <w:jc w:val="left"/>
              <w:rPr/>
            </w:pPr>
            <w:r>
              <w:rPr/>
              <w:t>  </w:t>
            </w:r>
          </w:p>
        </w:tc>
        <w:tc>
          <w:tcPr>
            <w:tcW w:w="1847" w:type="dxa"/>
            <w:tcBorders/>
          </w:tcPr>
          <w:p>
            <w:pPr>
              <w:pStyle w:val="TableContents"/>
              <w:bidi w:val="0"/>
              <w:spacing w:before="0" w:after="283"/>
              <w:jc w:val="left"/>
              <w:rPr/>
            </w:pPr>
            <w:r>
              <w:rPr/>
              <w:t>Mutual Fund    </w:t>
            </w:r>
          </w:p>
        </w:tc>
        <w:tc>
          <w:tcPr>
            <w:tcW w:w="121" w:type="dxa"/>
            <w:tcBorders/>
            <w:vAlign w:val="bottom"/>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3146" w:type="dxa"/>
            <w:tcBorders/>
          </w:tcPr>
          <w:p>
            <w:pPr>
              <w:pStyle w:val="TableContents"/>
              <w:bidi w:val="0"/>
              <w:spacing w:before="0" w:after="283"/>
              <w:jc w:val="left"/>
              <w:rPr/>
            </w:pPr>
            <w:r>
              <w:rPr/>
              <w:t>Other (specify)</w:t>
            </w:r>
          </w:p>
        </w:tc>
      </w:tr>
      <w:tr>
        <w:trPr>
          <w:trHeight w:val="120" w:hRule="atLeast"/>
        </w:trPr>
        <w:tc>
          <w:tcPr>
            <w:tcW w:w="239" w:type="dxa"/>
            <w:tcBorders/>
            <w:vAlign w:val="center"/>
          </w:tcPr>
          <w:p>
            <w:pPr>
              <w:pStyle w:val="TableContents"/>
              <w:bidi w:val="0"/>
              <w:spacing w:before="0" w:after="283"/>
              <w:jc w:val="left"/>
              <w:rPr>
                <w:sz w:val="4"/>
                <w:szCs w:val="4"/>
              </w:rPr>
            </w:pPr>
            <w:r>
              <w:rPr>
                <w:sz w:val="4"/>
                <w:szCs w:val="4"/>
              </w:rPr>
            </w:r>
          </w:p>
        </w:tc>
        <w:tc>
          <w:tcPr>
            <w:tcW w:w="3658"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vAlign w:val="center"/>
          </w:tcPr>
          <w:p>
            <w:pPr>
              <w:pStyle w:val="TableContents"/>
              <w:bidi w:val="0"/>
              <w:spacing w:before="0" w:after="283"/>
              <w:jc w:val="left"/>
              <w:rPr>
                <w:sz w:val="4"/>
                <w:szCs w:val="4"/>
              </w:rPr>
            </w:pPr>
            <w:r>
              <w:rPr>
                <w:sz w:val="4"/>
                <w:szCs w:val="4"/>
              </w:rPr>
            </w:r>
          </w:p>
        </w:tc>
        <w:tc>
          <w:tcPr>
            <w:tcW w:w="2319"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vAlign w:val="center"/>
          </w:tcPr>
          <w:p>
            <w:pPr>
              <w:pStyle w:val="TableContents"/>
              <w:bidi w:val="0"/>
              <w:spacing w:before="0" w:after="283"/>
              <w:jc w:val="left"/>
              <w:rPr>
                <w:sz w:val="4"/>
                <w:szCs w:val="4"/>
              </w:rPr>
            </w:pPr>
            <w:r>
              <w:rPr>
                <w:sz w:val="4"/>
                <w:szCs w:val="4"/>
              </w:rPr>
            </w:r>
          </w:p>
        </w:tc>
        <w:tc>
          <w:tcPr>
            <w:tcW w:w="3267" w:type="dxa"/>
            <w:gridSpan w:val="2"/>
            <w:tcBorders/>
            <w:vAlign w:val="center"/>
          </w:tcPr>
          <w:p>
            <w:pPr>
              <w:pStyle w:val="TableContents"/>
              <w:bidi w:val="0"/>
              <w:spacing w:before="0" w:after="283"/>
              <w:jc w:val="left"/>
              <w:rPr>
                <w:sz w:val="4"/>
                <w:szCs w:val="4"/>
              </w:rPr>
            </w:pPr>
            <w:r>
              <w:rPr>
                <w:sz w:val="4"/>
                <w:szCs w:val="4"/>
              </w:rPr>
            </w:r>
          </w:p>
        </w:tc>
      </w:tr>
      <w:tr>
        <w:trPr/>
        <w:tc>
          <w:tcPr>
            <w:tcW w:w="239"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3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40" w:type="dxa"/>
            <w:tcBorders/>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184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4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46" w:type="dxa"/>
            <w:tcBorders/>
          </w:tcPr>
          <w:p>
            <w:pPr>
              <w:pStyle w:val="TableContents"/>
              <w:bidi w:val="0"/>
              <w:spacing w:before="0" w:after="283"/>
              <w:jc w:val="left"/>
              <w:rPr>
                <w:u w:val="single"/>
              </w:rPr>
            </w:pPr>
            <w:r>
              <w:rPr>
                <w:u w:val="single"/>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not an Individual (check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entity is subject to United States federal income taxation on the income generated by the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entity is not subject to United States federal income taxation, but it is a pass-through entity and all of its beneficial owners are subject to United States federal income tax on the income generated by the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entity is not subject to United States federal income taxation and it is (a) not a pass-through entity or (b) a pass-through entity, but not all of its beneficial owners are subject to United States federal income taxation on the income generated by the Partnership. [</w:t>
            </w:r>
            <w:r>
              <w:rPr>
                <w:rFonts w:ascii="Times New Roman" w:hAnsi="Times New Roman"/>
                <w:b/>
                <w:sz w:val="20"/>
              </w:rPr>
              <w:t>IMPORTANT NOTE</w:t>
            </w:r>
            <w:r>
              <w:rPr>
                <w:rFonts w:ascii="Times New Roman" w:hAnsi="Times New Roman"/>
                <w:sz w:val="20"/>
              </w:rPr>
              <w:t xml:space="preserve">—by checking this box, the undersigned is acknowledging that it is not an Eligible 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Type of Tax Return Filed by Assignee (check one):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9"/>
        <w:gridCol w:w="121"/>
        <w:gridCol w:w="2928"/>
        <w:gridCol w:w="121"/>
        <w:gridCol w:w="240"/>
        <w:gridCol w:w="495"/>
        <w:gridCol w:w="2867"/>
        <w:gridCol w:w="121"/>
        <w:gridCol w:w="240"/>
        <w:gridCol w:w="121"/>
        <w:gridCol w:w="2712"/>
      </w:tblGrid>
      <w:tr>
        <w:trPr/>
        <w:tc>
          <w:tcPr>
            <w:tcW w:w="23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5" w:type="dxa"/>
            <w:tcBorders/>
            <w:vAlign w:val="bottom"/>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r>
      <w:tr>
        <w:trPr/>
        <w:tc>
          <w:tcPr>
            <w:tcW w:w="239" w:type="dxa"/>
            <w:tcBorders/>
            <w:vAlign w:val="bottom"/>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2928" w:type="dxa"/>
            <w:tcBorders/>
            <w:vAlign w:val="bottom"/>
          </w:tcPr>
          <w:p>
            <w:pPr>
              <w:pStyle w:val="TableContents"/>
              <w:bidi w:val="0"/>
              <w:spacing w:before="0" w:after="283"/>
              <w:jc w:val="left"/>
              <w:rPr/>
            </w:pPr>
            <w:r>
              <w:rPr/>
              <w:t>Form 1040</w:t>
            </w:r>
          </w:p>
        </w:tc>
        <w:tc>
          <w:tcPr>
            <w:tcW w:w="12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95" w:type="dxa"/>
            <w:tcBorders/>
            <w:vAlign w:val="bottom"/>
          </w:tcPr>
          <w:p>
            <w:pPr>
              <w:pStyle w:val="TableContents"/>
              <w:bidi w:val="0"/>
              <w:spacing w:before="0" w:after="283"/>
              <w:jc w:val="left"/>
              <w:rPr/>
            </w:pPr>
            <w:r>
              <w:rPr/>
              <w:t>  </w:t>
            </w:r>
          </w:p>
        </w:tc>
        <w:tc>
          <w:tcPr>
            <w:tcW w:w="2867" w:type="dxa"/>
            <w:tcBorders/>
            <w:vAlign w:val="bottom"/>
          </w:tcPr>
          <w:p>
            <w:pPr>
              <w:pStyle w:val="TableContents"/>
              <w:bidi w:val="0"/>
              <w:spacing w:before="0" w:after="283"/>
              <w:jc w:val="left"/>
              <w:rPr/>
            </w:pPr>
            <w:r>
              <w:rPr/>
              <w:t>Form 1120</w:t>
            </w:r>
          </w:p>
        </w:tc>
        <w:tc>
          <w:tcPr>
            <w:tcW w:w="12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2712" w:type="dxa"/>
            <w:tcBorders/>
            <w:vAlign w:val="bottom"/>
          </w:tcPr>
          <w:p>
            <w:pPr>
              <w:pStyle w:val="TableContents"/>
              <w:bidi w:val="0"/>
              <w:spacing w:before="0" w:after="283"/>
              <w:jc w:val="left"/>
              <w:rPr/>
            </w:pPr>
            <w:r>
              <w:rPr/>
              <w:t>Other (specify)</w:t>
            </w:r>
          </w:p>
        </w:tc>
      </w:tr>
      <w:tr>
        <w:trPr>
          <w:trHeight w:val="120" w:hRule="atLeast"/>
        </w:trPr>
        <w:tc>
          <w:tcPr>
            <w:tcW w:w="239" w:type="dxa"/>
            <w:tcBorders/>
            <w:vAlign w:val="center"/>
          </w:tcPr>
          <w:p>
            <w:pPr>
              <w:pStyle w:val="TableContents"/>
              <w:bidi w:val="0"/>
              <w:spacing w:before="0" w:after="283"/>
              <w:jc w:val="left"/>
              <w:rPr>
                <w:sz w:val="4"/>
                <w:szCs w:val="4"/>
              </w:rPr>
            </w:pPr>
            <w:r>
              <w:rPr>
                <w:sz w:val="4"/>
                <w:szCs w:val="4"/>
              </w:rPr>
            </w:r>
          </w:p>
        </w:tc>
        <w:tc>
          <w:tcPr>
            <w:tcW w:w="3049"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vAlign w:val="center"/>
          </w:tcPr>
          <w:p>
            <w:pPr>
              <w:pStyle w:val="TableContents"/>
              <w:bidi w:val="0"/>
              <w:spacing w:before="0" w:after="283"/>
              <w:jc w:val="left"/>
              <w:rPr>
                <w:sz w:val="4"/>
                <w:szCs w:val="4"/>
              </w:rPr>
            </w:pPr>
            <w:r>
              <w:rPr>
                <w:sz w:val="4"/>
                <w:szCs w:val="4"/>
              </w:rPr>
            </w:r>
          </w:p>
        </w:tc>
        <w:tc>
          <w:tcPr>
            <w:tcW w:w="3362"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vAlign w:val="center"/>
          </w:tcPr>
          <w:p>
            <w:pPr>
              <w:pStyle w:val="TableContents"/>
              <w:bidi w:val="0"/>
              <w:spacing w:before="0" w:after="283"/>
              <w:jc w:val="left"/>
              <w:rPr>
                <w:sz w:val="4"/>
                <w:szCs w:val="4"/>
              </w:rPr>
            </w:pPr>
            <w:r>
              <w:rPr>
                <w:sz w:val="4"/>
                <w:szCs w:val="4"/>
              </w:rPr>
            </w:r>
          </w:p>
        </w:tc>
        <w:tc>
          <w:tcPr>
            <w:tcW w:w="2833" w:type="dxa"/>
            <w:gridSpan w:val="2"/>
            <w:tcBorders/>
            <w:vAlign w:val="center"/>
          </w:tcPr>
          <w:p>
            <w:pPr>
              <w:pStyle w:val="TableContents"/>
              <w:bidi w:val="0"/>
              <w:spacing w:before="0" w:after="283"/>
              <w:jc w:val="left"/>
              <w:rPr>
                <w:sz w:val="4"/>
                <w:szCs w:val="4"/>
              </w:rPr>
            </w:pPr>
            <w:r>
              <w:rPr>
                <w:sz w:val="4"/>
                <w:szCs w:val="4"/>
              </w:rPr>
            </w:r>
          </w:p>
        </w:tc>
      </w:tr>
      <w:tr>
        <w:trPr/>
        <w:tc>
          <w:tcPr>
            <w:tcW w:w="239"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92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40" w:type="dxa"/>
            <w:tcBorders/>
          </w:tcPr>
          <w:p>
            <w:pPr>
              <w:pStyle w:val="TableContents"/>
              <w:bidi w:val="0"/>
              <w:spacing w:before="0" w:after="283"/>
              <w:jc w:val="left"/>
              <w:rPr>
                <w:sz w:val="4"/>
                <w:szCs w:val="4"/>
              </w:rPr>
            </w:pPr>
            <w:r>
              <w:rPr>
                <w:sz w:val="4"/>
                <w:szCs w:val="4"/>
              </w:rPr>
            </w:r>
          </w:p>
        </w:tc>
        <w:tc>
          <w:tcPr>
            <w:tcW w:w="495" w:type="dxa"/>
            <w:tcBorders/>
            <w:vAlign w:val="bottom"/>
          </w:tcPr>
          <w:p>
            <w:pPr>
              <w:pStyle w:val="TableContents"/>
              <w:bidi w:val="0"/>
              <w:spacing w:before="0" w:after="283"/>
              <w:jc w:val="left"/>
              <w:rPr/>
            </w:pPr>
            <w:r>
              <w:rPr/>
              <w:t>  </w:t>
            </w:r>
          </w:p>
        </w:tc>
        <w:tc>
          <w:tcPr>
            <w:tcW w:w="286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4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712" w:type="dxa"/>
            <w:tcBorders/>
          </w:tcPr>
          <w:p>
            <w:pPr>
              <w:pStyle w:val="TableContents"/>
              <w:bidi w:val="0"/>
              <w:spacing w:before="0" w:after="283"/>
              <w:jc w:val="left"/>
              <w:rPr>
                <w:u w:val="single"/>
              </w:rPr>
            </w:pPr>
            <w:r>
              <w:rPr>
                <w:u w:val="single"/>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 “Eligible Holder” means (a) an individual or entity subject to United States federal income taxation on the income generated by the Partnership; or (b) an entity not subject to United States federal income taxation on the income generated by the Partnership, so long as all of the entity’s owners are subject to United States federal income taxation on the income generated by the Partnership. Schedule I hereto contains a list of various types of investors that are categorized and identified as either “Eligible Holders” or “Non-Eligible 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Nationality (check one):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2"/>
        <w:gridCol w:w="123"/>
        <w:gridCol w:w="4804"/>
        <w:gridCol w:w="123"/>
        <w:gridCol w:w="243"/>
        <w:gridCol w:w="123"/>
        <w:gridCol w:w="4547"/>
      </w:tblGrid>
      <w:tr>
        <w:trPr/>
        <w:tc>
          <w:tcPr>
            <w:tcW w:w="24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0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547" w:type="dxa"/>
            <w:tcBorders/>
            <w:vAlign w:val="center"/>
          </w:tcPr>
          <w:p>
            <w:pPr>
              <w:pStyle w:val="TableContents"/>
              <w:bidi w:val="0"/>
              <w:spacing w:before="0" w:after="283"/>
              <w:jc w:val="left"/>
              <w:rPr>
                <w:sz w:val="4"/>
                <w:szCs w:val="4"/>
              </w:rPr>
            </w:pPr>
            <w:r>
              <w:rPr>
                <w:sz w:val="4"/>
                <w:szCs w:val="4"/>
              </w:rPr>
            </w:r>
          </w:p>
        </w:tc>
      </w:tr>
      <w:tr>
        <w:trPr/>
        <w:tc>
          <w:tcPr>
            <w:tcW w:w="242"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4804" w:type="dxa"/>
            <w:tcBorders/>
          </w:tcPr>
          <w:p>
            <w:pPr>
              <w:pStyle w:val="TableContents"/>
              <w:bidi w:val="0"/>
              <w:spacing w:before="0" w:after="283"/>
              <w:jc w:val="left"/>
              <w:rPr/>
            </w:pPr>
            <w:r>
              <w:rPr/>
              <w:t>U.S. Citizen, Resident or Domestic Entity</w:t>
            </w:r>
          </w:p>
        </w:tc>
        <w:tc>
          <w:tcPr>
            <w:tcW w:w="123" w:type="dxa"/>
            <w:tcBorders/>
            <w:vAlign w:val="bottom"/>
          </w:tcPr>
          <w:p>
            <w:pPr>
              <w:pStyle w:val="TableContents"/>
              <w:bidi w:val="0"/>
              <w:spacing w:before="0" w:after="283"/>
              <w:jc w:val="left"/>
              <w:rPr/>
            </w:pPr>
            <w:r>
              <w:rPr/>
              <w:t>  </w:t>
            </w:r>
          </w:p>
        </w:tc>
        <w:tc>
          <w:tcPr>
            <w:tcW w:w="24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47" w:type="dxa"/>
            <w:tcBorders/>
          </w:tcPr>
          <w:p>
            <w:pPr>
              <w:pStyle w:val="TableContents"/>
              <w:bidi w:val="0"/>
              <w:spacing w:before="0" w:after="283"/>
              <w:jc w:val="left"/>
              <w:rPr>
                <w:sz w:val="4"/>
                <w:szCs w:val="4"/>
              </w:rPr>
            </w:pPr>
            <w:r>
              <w:rPr>
                <w:sz w:val="4"/>
                <w:szCs w:val="4"/>
              </w:rPr>
            </w:r>
          </w:p>
        </w:tc>
      </w:tr>
      <w:tr>
        <w:trPr>
          <w:trHeight w:val="120" w:hRule="atLeast"/>
        </w:trPr>
        <w:tc>
          <w:tcPr>
            <w:tcW w:w="242" w:type="dxa"/>
            <w:tcBorders/>
            <w:vAlign w:val="center"/>
          </w:tcPr>
          <w:p>
            <w:pPr>
              <w:pStyle w:val="TableContents"/>
              <w:bidi w:val="0"/>
              <w:spacing w:before="0" w:after="283"/>
              <w:jc w:val="left"/>
              <w:rPr>
                <w:sz w:val="4"/>
                <w:szCs w:val="4"/>
              </w:rPr>
            </w:pPr>
            <w:r>
              <w:rPr>
                <w:sz w:val="4"/>
                <w:szCs w:val="4"/>
              </w:rPr>
            </w:r>
          </w:p>
        </w:tc>
        <w:tc>
          <w:tcPr>
            <w:tcW w:w="4927" w:type="dxa"/>
            <w:gridSpan w:val="2"/>
            <w:tcBorders/>
            <w:vAlign w:val="center"/>
          </w:tcPr>
          <w:p>
            <w:pPr>
              <w:pStyle w:val="TableContents"/>
              <w:bidi w:val="0"/>
              <w:spacing w:before="0" w:after="283"/>
              <w:jc w:val="left"/>
              <w:rPr>
                <w:sz w:val="4"/>
                <w:szCs w:val="4"/>
              </w:rPr>
            </w:pPr>
            <w:r>
              <w:rPr>
                <w:sz w:val="4"/>
                <w:szCs w:val="4"/>
              </w:rPr>
            </w:r>
          </w:p>
        </w:tc>
        <w:tc>
          <w:tcPr>
            <w:tcW w:w="366" w:type="dxa"/>
            <w:gridSpan w:val="2"/>
            <w:tcBorders/>
            <w:vAlign w:val="center"/>
          </w:tcPr>
          <w:p>
            <w:pPr>
              <w:pStyle w:val="TableContents"/>
              <w:bidi w:val="0"/>
              <w:spacing w:before="0" w:after="283"/>
              <w:jc w:val="left"/>
              <w:rPr>
                <w:sz w:val="4"/>
                <w:szCs w:val="4"/>
              </w:rPr>
            </w:pPr>
            <w:r>
              <w:rPr>
                <w:sz w:val="4"/>
                <w:szCs w:val="4"/>
              </w:rPr>
            </w:r>
          </w:p>
        </w:tc>
        <w:tc>
          <w:tcPr>
            <w:tcW w:w="4670" w:type="dxa"/>
            <w:gridSpan w:val="2"/>
            <w:tcBorders/>
            <w:vAlign w:val="center"/>
          </w:tcPr>
          <w:p>
            <w:pPr>
              <w:pStyle w:val="TableContents"/>
              <w:bidi w:val="0"/>
              <w:spacing w:before="0" w:after="283"/>
              <w:jc w:val="left"/>
              <w:rPr>
                <w:sz w:val="4"/>
                <w:szCs w:val="4"/>
              </w:rPr>
            </w:pPr>
            <w:r>
              <w:rPr>
                <w:sz w:val="4"/>
                <w:szCs w:val="4"/>
              </w:rPr>
            </w:r>
          </w:p>
        </w:tc>
      </w:tr>
      <w:tr>
        <w:trPr/>
        <w:tc>
          <w:tcPr>
            <w:tcW w:w="242"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4804" w:type="dxa"/>
            <w:tcBorders/>
          </w:tcPr>
          <w:p>
            <w:pPr>
              <w:pStyle w:val="TableContents"/>
              <w:bidi w:val="0"/>
              <w:spacing w:before="0" w:after="283"/>
              <w:jc w:val="left"/>
              <w:rPr/>
            </w:pPr>
            <w:r>
              <w:rPr/>
              <w:t>Foreign Corporation</w:t>
            </w:r>
          </w:p>
        </w:tc>
        <w:tc>
          <w:tcPr>
            <w:tcW w:w="123" w:type="dxa"/>
            <w:tcBorders/>
            <w:vAlign w:val="bottom"/>
          </w:tcPr>
          <w:p>
            <w:pPr>
              <w:pStyle w:val="TableContents"/>
              <w:bidi w:val="0"/>
              <w:spacing w:before="0" w:after="283"/>
              <w:jc w:val="left"/>
              <w:rPr/>
            </w:pPr>
            <w:r>
              <w:rPr/>
              <w:t>  </w:t>
            </w:r>
          </w:p>
        </w:tc>
        <w:tc>
          <w:tcPr>
            <w:tcW w:w="243"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4547" w:type="dxa"/>
            <w:tcBorders/>
          </w:tcPr>
          <w:p>
            <w:pPr>
              <w:pStyle w:val="TableContents"/>
              <w:bidi w:val="0"/>
              <w:spacing w:before="0" w:after="283"/>
              <w:jc w:val="left"/>
              <w:rPr/>
            </w:pPr>
            <w:r>
              <w:rPr/>
              <w:t>Non-resident Alien</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U.S. Citizen, Resident or Domestic Entity box is checked, the following certification must be completed. </w:t>
      </w:r>
    </w:p>
    <w:p>
      <w:pPr>
        <w:pStyle w:val="TextBody"/>
        <w:bidi w:val="0"/>
        <w:spacing w:before="240" w:after="0"/>
        <w:jc w:val="left"/>
        <w:rPr>
          <w:rFonts w:ascii="Times New Roman" w:hAnsi="Times New Roman"/>
          <w:sz w:val="20"/>
        </w:rPr>
      </w:pPr>
      <w:r>
        <w:rPr>
          <w:rFonts w:ascii="Times New Roman" w:hAnsi="Times New Roman"/>
          <w:sz w:val="20"/>
        </w:rPr>
        <w:t>Under Section 1445(e) of the Internal Revenue Code of 1986, as amended (the “</w:t>
      </w:r>
      <w:r>
        <w:rPr>
          <w:rFonts w:ascii="Times New Roman" w:hAnsi="Times New Roman"/>
          <w:i/>
          <w:sz w:val="20"/>
        </w:rPr>
        <w:t>Code</w:t>
      </w:r>
      <w:r>
        <w:rPr>
          <w:rFonts w:ascii="Times New Roman" w:hAnsi="Times New Roman"/>
          <w:sz w:val="20"/>
        </w:rPr>
        <w:t xml:space="preserve">”), the Partnership must withhold tax with respect to certain transfers of property if a holder of an interest in the Partnership is a foreign person. To inform the Partnership that no withholding is required with respect to the undersigned’s interest in it, the undersigned hereby certifies the following (or, if applicable, certifies the following on behalf of the holder of the interest). </w:t>
      </w:r>
    </w:p>
    <w:p>
      <w:pPr>
        <w:pStyle w:val="TextBody"/>
        <w:bidi w:val="0"/>
        <w:spacing w:before="240" w:after="0"/>
        <w:jc w:val="left"/>
        <w:rPr>
          <w:rFonts w:ascii="Times New Roman" w:hAnsi="Times New Roman"/>
          <w:sz w:val="20"/>
        </w:rPr>
      </w:pPr>
      <w:r>
        <w:rPr>
          <w:rFonts w:ascii="Times New Roman" w:hAnsi="Times New Roman"/>
          <w:sz w:val="20"/>
        </w:rPr>
        <w:t xml:space="preserve">Complete Either A or B: </w:t>
      </w:r>
    </w:p>
    <w:p>
      <w:pPr>
        <w:pStyle w:val="TextBody"/>
        <w:bidi w:val="0"/>
        <w:spacing w:before="120" w:after="0"/>
        <w:jc w:val="left"/>
        <w:rPr>
          <w:rFonts w:ascii="Times New Roman" w:hAnsi="Times New Roman"/>
          <w:sz w:val="20"/>
        </w:rPr>
      </w:pPr>
      <w:r>
        <w:rPr>
          <w:rFonts w:ascii="Times New Roman" w:hAnsi="Times New Roman"/>
          <w:sz w:val="20"/>
        </w:rPr>
        <w:t xml:space="preserve">A. Individual </w:t>
      </w:r>
    </w:p>
    <w:p>
      <w:pPr>
        <w:pStyle w:val="TextBody"/>
        <w:bidi w:val="0"/>
        <w:spacing w:before="120" w:after="0"/>
        <w:jc w:val="left"/>
        <w:rPr>
          <w:rFonts w:ascii="Times New Roman" w:hAnsi="Times New Roman"/>
          <w:sz w:val="20"/>
        </w:rPr>
      </w:pPr>
      <w:r>
        <w:rPr>
          <w:rFonts w:ascii="Times New Roman" w:hAnsi="Times New Roman"/>
          <w:sz w:val="20"/>
        </w:rPr>
        <w:t xml:space="preserve">1. I am not a non-resident alien for purposes of U.S. income taxation. </w:t>
      </w:r>
    </w:p>
    <w:p>
      <w:pPr>
        <w:pStyle w:val="TextBody"/>
        <w:bidi w:val="0"/>
        <w:spacing w:before="240" w:after="0"/>
        <w:jc w:val="left"/>
        <w:rPr>
          <w:rFonts w:ascii="Times New Roman" w:hAnsi="Times New Roman"/>
          <w:sz w:val="20"/>
        </w:rPr>
      </w:pPr>
      <w:r>
        <w:rPr>
          <w:rFonts w:ascii="Times New Roman" w:hAnsi="Times New Roman"/>
          <w:sz w:val="20"/>
        </w:rPr>
        <w:t xml:space="preserve">2. My U.S. taxpayer identification number (Social Security Number) is 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3. My home address is _______________. </w:t>
      </w:r>
    </w:p>
    <w:p>
      <w:pPr>
        <w:pStyle w:val="TextBody"/>
        <w:bidi w:val="0"/>
        <w:spacing w:before="360" w:after="0"/>
        <w:jc w:val="left"/>
        <w:rPr>
          <w:rFonts w:ascii="Times New Roman" w:hAnsi="Times New Roman"/>
          <w:sz w:val="20"/>
        </w:rPr>
      </w:pPr>
      <w:r>
        <w:rPr>
          <w:rFonts w:ascii="Times New Roman" w:hAnsi="Times New Roman"/>
          <w:sz w:val="20"/>
        </w:rPr>
        <w:t xml:space="preserve">B. Partnership, Corporation or Other </w:t>
      </w:r>
    </w:p>
    <w:p>
      <w:pPr>
        <w:pStyle w:val="TextBody"/>
        <w:bidi w:val="0"/>
        <w:spacing w:before="120" w:after="0"/>
        <w:jc w:val="left"/>
        <w:rPr>
          <w:rFonts w:ascii="Times New Roman" w:hAnsi="Times New Roman"/>
          <w:sz w:val="20"/>
        </w:rPr>
      </w:pPr>
      <w:r>
        <w:rPr>
          <w:rFonts w:ascii="Times New Roman" w:hAnsi="Times New Roman"/>
          <w:sz w:val="20"/>
        </w:rPr>
        <w:t xml:space="preserve">1. ______________________________ is not a foreign corporation, foreign partnership, foreign trust (name of undersigned) or foreign estate (as those terms are defined in the Code and Treasury Regulations). </w:t>
      </w:r>
    </w:p>
    <w:p>
      <w:pPr>
        <w:pStyle w:val="TextBody"/>
        <w:bidi w:val="0"/>
        <w:spacing w:before="240" w:after="0"/>
        <w:jc w:val="left"/>
        <w:rPr>
          <w:rFonts w:ascii="Times New Roman" w:hAnsi="Times New Roman"/>
          <w:sz w:val="20"/>
        </w:rPr>
      </w:pPr>
      <w:r>
        <w:rPr>
          <w:rFonts w:ascii="Times New Roman" w:hAnsi="Times New Roman"/>
          <w:sz w:val="20"/>
        </w:rPr>
        <w:t xml:space="preserve">2. The undersigned’s U.S. employer identification number is 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agrees to notify the Partnership within sixty (60) days of the date the undersigned becomes a foreign person. </w:t>
      </w:r>
    </w:p>
    <w:p>
      <w:pPr>
        <w:pStyle w:val="TextBody"/>
        <w:bidi w:val="0"/>
        <w:spacing w:before="240" w:after="0"/>
        <w:jc w:val="left"/>
        <w:rPr>
          <w:rFonts w:ascii="Times New Roman" w:hAnsi="Times New Roman"/>
          <w:sz w:val="20"/>
        </w:rPr>
      </w:pPr>
      <w:r>
        <w:rPr>
          <w:rFonts w:ascii="Times New Roman" w:hAnsi="Times New Roman"/>
          <w:sz w:val="20"/>
        </w:rPr>
        <w:t xml:space="preserve">3. The undersigned’s office address and place of incorporation (if applicable) is _____________________________________________.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this certificate may be disclosed to the Internal Revenue Service by the Partnership and that any false statement contained herein could be punishable by fine, imprisonment or both.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penalties of perjury, I declare that I have examined this certification and to the best of my knowledge and belief it is true, correct and complete and, if applicable, I further declare that I have authority to sign this document on behalf of: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op w:val="single" w:sz="2" w:space="0" w:color="000000"/>
            </w:tcBorders>
            <w:tcMar>
              <w:top w:w="28" w:type="dxa"/>
            </w:tcMar>
            <w:vAlign w:val="bottom"/>
          </w:tcPr>
          <w:p>
            <w:pPr>
              <w:pStyle w:val="TableContents"/>
              <w:bidi w:val="0"/>
              <w:spacing w:before="0" w:after="283"/>
              <w:jc w:val="left"/>
              <w:rPr/>
            </w:pPr>
            <w:r>
              <w:rPr/>
              <w:t>Name of Holder of Interest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082" w:type="dxa"/>
            <w:tcBorders/>
            <w:vAlign w:val="bottom"/>
          </w:tcPr>
          <w:p>
            <w:pPr>
              <w:pStyle w:val="TableContents"/>
              <w:bidi w:val="0"/>
              <w:spacing w:before="0" w:after="283"/>
              <w:jc w:val="left"/>
              <w:rPr/>
            </w:pPr>
            <w:r>
              <w:rPr/>
              <w:t>Signature and Date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082" w:type="dxa"/>
            <w:tcBorders/>
            <w:vAlign w:val="bottom"/>
          </w:tcPr>
          <w:p>
            <w:pPr>
              <w:pStyle w:val="TableContents"/>
              <w:bidi w:val="0"/>
              <w:spacing w:before="0" w:after="283"/>
              <w:jc w:val="left"/>
              <w:rPr/>
            </w:pPr>
            <w:r>
              <w:rPr/>
              <w:t>Title (if applicable)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Note: If the undersigned is a broker, dealer, bank, trust company, clearing corporation, other nominee holder or an agent of any of the foregoing, and is holding for the account of any other person, this application should be completed by an officer thereof or, in the case of a broker or dealer, by a registered representative who is a member of a registered national securities exchange or a member of the National Association of Securities Dealers, Inc., or, in the case of any other nominee holder, a person performing a similar function. If the undersigned is a broker, dealer, bank, trust company, clearing corporation, other nominee owner or an agent of any of the foregoing, the above certification as to any person for whom the undersigned will hold the Common Units shall be made to the best of the undersigned’s knowledge.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120" w:after="0"/>
        <w:jc w:val="center"/>
        <w:rPr>
          <w:rFonts w:ascii="Times New Roman" w:hAnsi="Times New Roman"/>
          <w:b/>
          <w:sz w:val="20"/>
        </w:rPr>
      </w:pPr>
      <w:r>
        <w:rPr>
          <w:rFonts w:ascii="Times New Roman" w:hAnsi="Times New Roman"/>
          <w:b/>
          <w:sz w:val="20"/>
        </w:rPr>
        <w:t xml:space="preserve">Eligible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considered Eligible 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Individuals (U.S. or non-U.S.)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 corporations (U.S. or non-U.S.)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Tax exempt organizations subject to tax on unrelated business taxable income or “</w:t>
            </w:r>
            <w:r>
              <w:rPr>
                <w:rFonts w:ascii="Times New Roman" w:hAnsi="Times New Roman"/>
                <w:i/>
                <w:sz w:val="20"/>
              </w:rPr>
              <w:t>UBTI</w:t>
            </w:r>
            <w:r>
              <w:rPr>
                <w:rFonts w:ascii="Times New Roman" w:hAnsi="Times New Roman"/>
                <w:sz w:val="20"/>
              </w:rPr>
              <w:t xml:space="preserve">,” including IRAs, 401(k) plans and Keogh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with shareholders that are individuals, trusts or tax exempt organizations subject to tax on UBTI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Potentially Eligible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are considered Eligible Holders, unless the information in parenthesis applies: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(unless they have ESOP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Partnerships (unless its partners include mutual funds, real estate investment trusts or “</w:t>
            </w:r>
            <w:r>
              <w:rPr>
                <w:rFonts w:ascii="Times New Roman" w:hAnsi="Times New Roman"/>
                <w:i/>
                <w:sz w:val="20"/>
              </w:rPr>
              <w:t>REITs</w:t>
            </w:r>
            <w:r>
              <w:rPr>
                <w:rFonts w:ascii="Times New Roman" w:hAnsi="Times New Roman"/>
                <w:sz w:val="20"/>
              </w:rPr>
              <w:t xml:space="preserve">,” governmental entities and agencies, S corporations with ESOP shareholders* or other partnerships with such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Trusts (unless beneficiaries are not subject to tax)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Non-Eligible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are </w:t>
      </w:r>
      <w:r>
        <w:rPr>
          <w:rFonts w:ascii="Times New Roman" w:hAnsi="Times New Roman"/>
          <w:b/>
          <w:sz w:val="20"/>
          <w:u w:val="single"/>
        </w:rPr>
        <w:t>not</w:t>
      </w:r>
      <w:r>
        <w:rPr>
          <w:rFonts w:ascii="Times New Roman" w:hAnsi="Times New Roman"/>
          <w:sz w:val="20"/>
        </w:rPr>
        <w:t xml:space="preserve"> considered Eligible 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Mutual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entities and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with ESOP shareholders*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w:t>
            </w:r>
            <w:r>
              <w:rPr>
                <w:rFonts w:ascii="Times New Roman" w:hAnsi="Times New Roman"/>
                <w:sz w:val="20"/>
              </w:rPr>
              <w:t xml:space="preserve">S corporations with ESOP shareholders” are S corporations with shareholders that include employee stock ownership plans.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p>
    <w:p>
      <w:pPr>
        <w:pStyle w:val="TextBody"/>
        <w:bidi w:val="0"/>
        <w:spacing w:before="0" w:after="0"/>
        <w:jc w:val="right"/>
        <w:rPr>
          <w:rFonts w:ascii="Times New Roman" w:hAnsi="Times New Roman"/>
          <w:b/>
          <w:sz w:val="20"/>
        </w:rPr>
      </w:pPr>
      <w:bookmarkStart w:id="8" w:name="d109647dex991.htm"/>
      <w:bookmarkStart w:id="9" w:name="ksd109647dex991"/>
      <w:bookmarkEnd w:id="8"/>
      <w:bookmarkEnd w:id="9"/>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updates to risk factors that were previously disclosed by the Partnership in its Annual Report on Form 10-K to reflect the Partnership’s conversion from a Delaware limited partnership to a Texas limited partnership. These risk factors should be read in conjunction with the risk factors described in “Part I – Item 1A. Risk Factors” of the Partnership’s Annual Report on Form 10-K for the year ended December 31, 2025 filed with the SEC on February 19, 2026. </w:t>
      </w:r>
    </w:p>
    <w:p>
      <w:pPr>
        <w:pStyle w:val="TextBody"/>
        <w:bidi w:val="0"/>
        <w:spacing w:before="360" w:after="0"/>
        <w:jc w:val="left"/>
        <w:rPr>
          <w:rFonts w:ascii="Times New Roman" w:hAnsi="Times New Roman"/>
          <w:i/>
          <w:sz w:val="20"/>
        </w:rPr>
      </w:pPr>
      <w:r>
        <w:rPr>
          <w:rFonts w:ascii="Times New Roman" w:hAnsi="Times New Roman"/>
          <w:i/>
          <w:sz w:val="20"/>
        </w:rPr>
        <w:t xml:space="preserve">Unitholders may have liability to repay distributions. </w:t>
      </w:r>
    </w:p>
    <w:p>
      <w:pPr>
        <w:pStyle w:val="TextBody"/>
        <w:bidi w:val="0"/>
        <w:spacing w:before="120" w:after="0"/>
        <w:jc w:val="left"/>
        <w:rPr>
          <w:rFonts w:ascii="Times New Roman" w:hAnsi="Times New Roman"/>
          <w:sz w:val="20"/>
        </w:rPr>
      </w:pPr>
      <w:r>
        <w:rPr>
          <w:rFonts w:ascii="Times New Roman" w:hAnsi="Times New Roman"/>
          <w:sz w:val="20"/>
        </w:rPr>
        <w:t xml:space="preserve">Under certain circumstances, Unitholders may have to repay us amounts wrongfully distributed to them. Under Texas law, we may not make a distribution to Unitholders if the distribution causes our liabilities to exceed the fair value of our assets. Liabilities to partners on account of their partnership interests and non-recourse liabilities are not counted for purposes of determining whether a distribution is permitted. Texas law provides that a limited partner who receives such a distribution and knew at the time of the distribution that the distribution violated Texas law, will be liable to the limited partnership for the distribution amount for two years from the distribution date. </w:t>
      </w:r>
    </w:p>
    <w:p>
      <w:pPr>
        <w:pStyle w:val="TextBody"/>
        <w:bidi w:val="0"/>
        <w:spacing w:before="360" w:after="0"/>
        <w:jc w:val="left"/>
        <w:rPr>
          <w:rFonts w:ascii="Times New Roman" w:hAnsi="Times New Roman"/>
          <w:i/>
          <w:sz w:val="20"/>
        </w:rPr>
      </w:pPr>
      <w:r>
        <w:rPr>
          <w:rFonts w:ascii="Times New Roman" w:hAnsi="Times New Roman"/>
          <w:i/>
          <w:sz w:val="20"/>
        </w:rPr>
        <w:t xml:space="preserve">Unitholders may not have limited liability if a court finds that limited partner actions constitute control of our business. </w:t>
      </w:r>
    </w:p>
    <w:p>
      <w:pPr>
        <w:pStyle w:val="TextBody"/>
        <w:bidi w:val="0"/>
        <w:spacing w:before="120" w:after="0"/>
        <w:jc w:val="left"/>
        <w:rPr>
          <w:rFonts w:ascii="Times New Roman" w:hAnsi="Times New Roman"/>
          <w:sz w:val="20"/>
        </w:rPr>
      </w:pPr>
      <w:r>
        <w:rPr>
          <w:rFonts w:ascii="Times New Roman" w:hAnsi="Times New Roman"/>
          <w:sz w:val="20"/>
        </w:rPr>
        <w:t xml:space="preserve">Under Texas law, unitholders could be held liable for our obligations to the same extent as a general partner if a court determined that the right of limited partners to remove our general partner or to take other action under the Partnership Agreement constituted participation in the “control” of our business. Additionally, under Texas law, our general partner has unlimited liability for the obligations of Energy Transfer, such as our debts and environmental liabilities, except for those contractual obligations of Energy Transfer that are expressly made without recourse to the general partner. </w:t>
      </w:r>
    </w:p>
    <w:p>
      <w:pPr>
        <w:pStyle w:val="TextBody"/>
        <w:bidi w:val="0"/>
        <w:spacing w:before="240" w:after="0"/>
        <w:jc w:val="left"/>
        <w:rPr>
          <w:rFonts w:ascii="Times New Roman" w:hAnsi="Times New Roman"/>
          <w:sz w:val="20"/>
        </w:rPr>
      </w:pPr>
      <w:r>
        <w:rPr>
          <w:rFonts w:ascii="Times New Roman" w:hAnsi="Times New Roman"/>
          <w:sz w:val="20"/>
        </w:rPr>
        <w:t xml:space="preserve">The limitations on the liability of holders of limited partner interests for the obligations of a limited partnership have not been clearly established in some of the states in which we do business. Unitholders could have unlimited liability for obligations of the Partnership if a court or government agency determined that (i) we were conducting business in a state, but had not complied with that particular state’s partnership statute; or (ii) a Unitholder’s right to act with other Unitholders to remove or replace our general partner, to approve some amendments to our Partnership Agreement or to take other actions under the Partnership Agreement constituted “control” of our business. </w:t>
      </w:r>
    </w:p>
    <w:p>
      <w:pPr>
        <w:pStyle w:val="TextBody"/>
        <w:bidi w:val="0"/>
        <w:spacing w:before="360" w:after="0"/>
        <w:jc w:val="left"/>
        <w:rPr>
          <w:rFonts w:ascii="Times New Roman" w:hAnsi="Times New Roman"/>
          <w:i/>
          <w:sz w:val="20"/>
        </w:rPr>
      </w:pPr>
      <w:r>
        <w:rPr>
          <w:rFonts w:ascii="Times New Roman" w:hAnsi="Times New Roman"/>
          <w:i/>
          <w:sz w:val="20"/>
        </w:rPr>
        <w:t xml:space="preserve">Our tax treatment depends on our continuing status as a partnership for federal income tax purposes, as well as our not being subject to a material amount of entity-level taxation. If the IRS were to treat us and our subsidiaries, including Sunoco LP and USAC as a corporation for federal income tax purposes or if we, Sunoco LP or USAC become subject to a material amount of entity-level taxation for state tax purposes, then our cash available for distribution would be substantially reduced. </w:t>
      </w:r>
    </w:p>
    <w:p>
      <w:pPr>
        <w:pStyle w:val="TextBody"/>
        <w:bidi w:val="0"/>
        <w:spacing w:before="120" w:after="0"/>
        <w:jc w:val="left"/>
        <w:rPr>
          <w:rFonts w:ascii="Times New Roman" w:hAnsi="Times New Roman"/>
          <w:sz w:val="20"/>
        </w:rPr>
      </w:pPr>
      <w:r>
        <w:rPr>
          <w:rFonts w:ascii="Times New Roman" w:hAnsi="Times New Roman"/>
          <w:sz w:val="20"/>
        </w:rPr>
        <w:t xml:space="preserve">The anticipated after-tax economic benefit of an investment in our units depends largely on our being treated as a partnership for federal income tax purposes. We have not requested, and do not plan to request, a ruling from the IRS on this matter. The value of our investments in Sunoco LP and USAC, depend largely on Sunoco LP and USAC being treated as partnerships for federal income tax purposes. Despite the fact that we, Sunoco LP and USAC are each a limited partnership under Texas law, we would each be treated as a corporation for federal income tax purposes unless we satisfy a “qualifying income” requirement. Based upon our current operations and current Treasury Regulations, we believe we, Sunoco LP and USAC satisfy the qualifying income requirement. Failing to meet the qualifying income requirement or a change in current law could cause us, Sunoco LP or USAC to be treated as a corporation for federal income tax purposes or otherwise subject us to taxation as an entity. </w:t>
      </w:r>
    </w:p>
    <w:p>
      <w:pPr>
        <w:pStyle w:val="TextBody"/>
        <w:bidi w:val="0"/>
        <w:spacing w:before="240" w:after="0"/>
        <w:jc w:val="left"/>
        <w:rPr>
          <w:rFonts w:ascii="Times New Roman" w:hAnsi="Times New Roman"/>
          <w:sz w:val="20"/>
        </w:rPr>
      </w:pPr>
      <w:r>
        <w:rPr>
          <w:rFonts w:ascii="Times New Roman" w:hAnsi="Times New Roman"/>
          <w:sz w:val="20"/>
        </w:rPr>
        <w:t xml:space="preserve">If we, Sunoco LP or USAC were treated as a corporation for federal income tax purposes, we would pay federal income tax at the corporate tax rate and we would likely pay additional state income taxes at varying rates. Distributions to Unitholders would generally be taxed again as corporate distributions, and none of our income, gains, losses or deductions would flow through to Unitholders. Because a tax would be imposed upon us as a corporation, our cash available for distribution to Unitholders would be substantially reduced. Therefore, treatment of us as a corporation would result in a material reduction in the anticipated cash flow and after-tax return to the Unitholders, likely causing a substantial reduction in the value of our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the state level, several states have been evaluating ways to subject partnerships to entity-level taxation through the imposition of state income, franchise, or other forms of taxation. We currently own property or conduct business in many states that impose a margin or franchise tax. In the future, we may expand our operations. Imposition of a similar tax on us in the jurisdictions in which we operate or in other jurisdictions to which we may expand could substantially reduce our cash available for distribution to our Unitholders. Our Partnership Agreement provides that if a law is enacted or existing law is modified or interpreted in a manner that subjects us to taxation as a corporation or otherwise subjects us to entity-level taxation for U.S. federal, state, local or foreign income tax purposes, the target distribution amounts may be adjusted to reflect the impact of that law or interpretation on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340</Pages>
  <Words>169743</Words>
  <Characters>887289</Characters>
  <CharactersWithSpaces>1058260</CharactersWithSpaces>
  <Paragraphs>5500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